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rPr>
          <w:rFonts w:ascii="Arial" w:cs="Arial" w:eastAsia="Arial" w:hAnsi="Arial"/>
          <w:b/>
          <w:bCs/>
          <w:color w:val="1B4332"/>
          <w:sz w:val="52"/>
          <w:szCs w:val="52"/>
        </w:rPr>
        <w:t xml:space="preserve">New Member Onboarding</w:t>
      </w:r>
    </w:p>
    <w:p>
      <w:pPr>
        <w:pStyle w:val="DocSubtitle"/>
      </w:pPr>
      <w:r>
        <w:rPr>
          <w:rFonts w:ascii="Arial" w:cs="Arial" w:eastAsia="Arial" w:hAnsi="Arial"/>
          <w:i/>
          <w:iCs/>
          <w:color w:val="52B788"/>
          <w:sz w:val="28"/>
          <w:szCs w:val="28"/>
        </w:rPr>
        <w:t xml:space="preserve">Mockup Screen Reference</w:t>
      </w:r>
    </w:p>
    <w:p>
      <w:pPr>
        <w:pStyle w:val="SectionHead"/>
      </w:pPr>
      <w:r>
        <w:rPr>
          <w:rFonts w:ascii="Arial" w:cs="Arial" w:eastAsia="Arial" w:hAnsi="Arial"/>
          <w:color w:val="6B7280"/>
          <w:sz w:val="24"/>
          <w:szCs w:val="24"/>
        </w:rPr>
        <w:t xml:space="preserve">Step 6: Notifications &amp; Calendar Sync  •  Step 7: Welcome Tour / Completion</w:t>
      </w:r>
    </w:p>
    <w:p>
      <w:pPr>
        <w:spacing w:after="60"/>
      </w:pPr>
      <w:r>
        <w:t xml:space="preserve"/>
      </w:r>
    </w:p>
    <w:p>
      <w:pPr>
        <w:pStyle w:val="BodyText"/>
      </w:pPr>
      <w:r>
        <w:rPr>
          <w:rFonts w:ascii="Arial" w:cs="Arial" w:eastAsia="Arial" w:hAnsi="Arial"/>
          <w:sz w:val="22"/>
          <w:szCs w:val="22"/>
        </w:rPr>
        <w:t xml:space="preserve">This document provides a detailed written description of the ROCA New Member Onboarding mockup screens for Steps 6 and 7 of the 7-step onboarding wizard. It covers Step 6: Notifications &amp; Calendar Sync (where new members configure how they receive alerts and optionally connect their personal calendar) and Step 7: Welcome Tour / Completion (the celebratory final screen that confirms the member's onboarding is complete, triggers engagement automation, and launches a brief contextual tour of the ROCA platform). This document serves as a reference companion to the visual mockup image, documenting the purpose, layout, and interaction design of each panel for the benefit of engineers, QA, and stakeholders.</w:t>
      </w:r>
    </w:p>
    <w:p>
      <w:pPr>
        <w:spacing w:after="60"/>
      </w:pPr>
      <w:r>
        <w:t xml:space="preserve"/>
      </w:r>
    </w:p>
    <w:p>
      <w:pPr>
        <w:pStyle w:val="Heading1"/>
        <w:spacing w:after="120" w:before="360"/>
      </w:pPr>
      <w:r>
        <w:rPr>
          <w:rFonts w:ascii="Arial" w:cs="Arial" w:eastAsia="Arial" w:hAnsi="Arial"/>
          <w:b/>
          <w:bCs/>
          <w:color w:val="1B4332"/>
          <w:sz w:val="32"/>
          <w:szCs w:val="32"/>
        </w:rPr>
        <w:t xml:space="preserve">1.  Onboarding Screens Mockup — Batch 4</w:t>
      </w:r>
    </w:p>
    <w:p>
      <w:pPr>
        <w:pStyle w:val="BodyText"/>
      </w:pPr>
      <w:r>
        <w:rPr>
          <w:rFonts w:ascii="Arial" w:cs="Arial" w:eastAsia="Arial" w:hAnsi="Arial"/>
          <w:sz w:val="22"/>
          <w:szCs w:val="22"/>
        </w:rPr>
        <w:t xml:space="preserve">The mockup below renders the two final screens of the ROCA onboarding wizard side by side, as they appear on a desktop web browser. The left panel covers Step 6 (Notifications &amp; Calendar Sync) and the right panel covers Step 7 (Welcome Tour / Completion). Both screens share the consistent ROCA global header, liturgical season banner, and the 7-step progress indicator. Step 7 introduces a distinct celebratory visual treatment that differs from the neutral utility screens of Steps 1–6.</w:t>
      </w:r>
    </w:p>
    <w:p>
      <w:pPr>
        <w:spacing w:after="60"/>
      </w:pPr>
      <w:r>
        <w:t xml:space="preserve"/>
      </w:r>
    </w:p>
    <w:p>
      <w:pPr>
        <w:jc w:val="center"/>
      </w:pPr>
      <w:r>
        <w:drawing>
          <wp:inline distT="0" distB="0" distL="0" distR="0">
            <wp:extent cx="5905500" cy="3314700"/>
            <wp:effectExtent t="0" r="0" b="0" l="0"/>
            <wp:docPr id="1" name="batch4mockup" descr="Step 6 Notifications and Calendar Sync left panel and Step 7 Welcome Tour Completion right panel" title="ROCA Onboarding Batch 4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14700"/>
                    </a:xfrm>
                    <a:prstGeom prst="rect">
                      <a:avLst/>
                    </a:prstGeom>
                  </pic:spPr>
                </pic:pic>
              </a:graphicData>
            </a:graphic>
          </wp:inline>
        </w:drawing>
      </w:r>
    </w:p>
    <w:p>
      <w:pPr>
        <w:pStyle w:val="Caption"/>
      </w:pPr>
      <w:r>
        <w:rPr>
          <w:rFonts w:ascii="Arial" w:cs="Arial" w:eastAsia="Arial" w:hAnsi="Arial"/>
          <w:i/>
          <w:iCs/>
          <w:color w:val="6B7280"/>
          <w:sz w:val="18"/>
          <w:szCs w:val="18"/>
        </w:rPr>
        <w:t xml:space="preserve">Figure 1 — ROCA New Member Onboarding: Step 6 (Notifications &amp; Calendar Sync, left) and Step 7 (Welcome Tour / Completion, right)</w:t>
      </w:r>
    </w:p>
    <w:p>
      <w:pPr>
        <w:spacing w:after="60"/>
      </w:pPr>
      <w:r>
        <w:t xml:space="preserve"/>
      </w:r>
    </w:p>
    <w:p>
      <w:pPr>
        <w:pStyle w:val="Heading1"/>
        <w:spacing w:after="120" w:before="360"/>
      </w:pPr>
      <w:r>
        <w:rPr>
          <w:rFonts w:ascii="Arial" w:cs="Arial" w:eastAsia="Arial" w:hAnsi="Arial"/>
          <w:b/>
          <w:bCs/>
          <w:color w:val="1B4332"/>
          <w:sz w:val="32"/>
          <w:szCs w:val="32"/>
        </w:rPr>
        <w:t xml:space="preserve">2.  Left Panel — Step 6: Notifications &amp; Calendar Sync</w:t>
      </w:r>
    </w:p>
    <w:p>
      <w:pPr>
        <w:pStyle w:val="BodyText"/>
      </w:pPr>
      <w:r>
        <w:rPr>
          <w:rFonts w:ascii="Arial" w:cs="Arial" w:eastAsia="Arial" w:hAnsi="Arial"/>
          <w:sz w:val="22"/>
          <w:szCs w:val="22"/>
        </w:rPr>
        <w:t xml:space="preserve">Step 6 is the utility and personalization layer of the ROCA onboarding wizard. Having captured the member's profile (Steps 1–3), interests (Step 4), and serving preferences (Step 5), the platform now asks the member how they want to stay connected. This screen handles two closely related concerns: notification channel preferences (push, email, SMS) and optional calendar synchronization with the member's personal calendar (Google Calendar, Apple Calendar, or Outlook). Both actions are optional, skip-friendly, and reversible from Settings at any time.</w:t>
      </w:r>
    </w:p>
    <w:p>
      <w:pPr>
        <w:spacing w:after="60"/>
      </w:pPr>
      <w:r>
        <w:t xml:space="preserve"/>
      </w:r>
    </w:p>
    <w:p>
      <w:pPr>
        <w:pStyle w:val="Heading2"/>
        <w:spacing w:after="100" w:before="280"/>
      </w:pPr>
      <w:r>
        <w:rPr>
          <w:rFonts w:ascii="Arial" w:cs="Arial" w:eastAsia="Arial" w:hAnsi="Arial"/>
          <w:b/>
          <w:bCs/>
          <w:color w:val="2D6A4F"/>
          <w:sz w:val="26"/>
          <w:szCs w:val="26"/>
        </w:rPr>
        <w:t xml:space="preserve">2.1  Purpose &amp; Goals</w:t>
      </w:r>
    </w:p>
    <w:p>
      <w:pPr>
        <w:pStyle w:val="BodyText"/>
        <w:spacing w:after="100"/>
      </w:pPr>
      <w:r>
        <w:rPr>
          <w:rFonts w:ascii="Arial" w:cs="Arial" w:eastAsia="Arial" w:hAnsi="Arial"/>
          <w:b/>
          <w:bCs/>
          <w:color w:val="1B4332"/>
          <w:sz w:val="22"/>
          <w:szCs w:val="22"/>
        </w:rPr>
        <w:t xml:space="preserve">Primary action: </w:t>
      </w:r>
      <w:r>
        <w:rPr>
          <w:rFonts w:ascii="Arial" w:cs="Arial" w:eastAsia="Arial" w:hAnsi="Arial"/>
          <w:color w:val="374151"/>
          <w:sz w:val="22"/>
          <w:szCs w:val="22"/>
        </w:rPr>
        <w:t xml:space="preserve">Configure notification delivery channels and optionally sync the ROCA event calendar to the member's personal calendar application.</w:t>
      </w:r>
    </w:p>
    <w:p>
      <w:pPr>
        <w:pStyle w:val="BodyText"/>
        <w:spacing w:after="100"/>
      </w:pPr>
      <w:r>
        <w:rPr>
          <w:rFonts w:ascii="Arial" w:cs="Arial" w:eastAsia="Arial" w:hAnsi="Arial"/>
          <w:b/>
          <w:bCs/>
          <w:color w:val="1B4332"/>
          <w:sz w:val="22"/>
          <w:szCs w:val="22"/>
        </w:rPr>
        <w:t xml:space="preserve">Engagement continuity: </w:t>
      </w:r>
      <w:r>
        <w:rPr>
          <w:rFonts w:ascii="Arial" w:cs="Arial" w:eastAsia="Arial" w:hAnsi="Arial"/>
          <w:color w:val="374151"/>
          <w:sz w:val="22"/>
          <w:szCs w:val="22"/>
        </w:rPr>
        <w:t xml:space="preserve">Notification preferences set here determine whether the member receives event reminders, group updates, and announcements through push, email, or SMS — directly impacting 30-day retention metrics.</w:t>
      </w:r>
    </w:p>
    <w:p>
      <w:pPr>
        <w:pStyle w:val="BodyText"/>
        <w:spacing w:after="100"/>
      </w:pPr>
      <w:r>
        <w:rPr>
          <w:rFonts w:ascii="Arial" w:cs="Arial" w:eastAsia="Arial" w:hAnsi="Arial"/>
          <w:b/>
          <w:bCs/>
          <w:color w:val="1B4332"/>
          <w:sz w:val="22"/>
          <w:szCs w:val="22"/>
        </w:rPr>
        <w:t xml:space="preserve">Calendar adoption: </w:t>
      </w:r>
      <w:r>
        <w:rPr>
          <w:rFonts w:ascii="Arial" w:cs="Arial" w:eastAsia="Arial" w:hAnsi="Arial"/>
          <w:color w:val="374151"/>
          <w:sz w:val="22"/>
          <w:szCs w:val="22"/>
        </w:rPr>
        <w:t xml:space="preserve">Calendar sync is a high-value feature that embeds ROCA events into the member's daily planning flow. Surfacing it during onboarding captures the opt-in at the highest motivation point.</w:t>
      </w:r>
    </w:p>
    <w:p>
      <w:pPr>
        <w:pStyle w:val="BodyText"/>
        <w:spacing w:after="100"/>
      </w:pPr>
      <w:r>
        <w:rPr>
          <w:rFonts w:ascii="Arial" w:cs="Arial" w:eastAsia="Arial" w:hAnsi="Arial"/>
          <w:b/>
          <w:bCs/>
          <w:color w:val="1B4332"/>
          <w:sz w:val="22"/>
          <w:szCs w:val="22"/>
        </w:rPr>
        <w:t xml:space="preserve">Permission priming: </w:t>
      </w:r>
      <w:r>
        <w:rPr>
          <w:rFonts w:ascii="Arial" w:cs="Arial" w:eastAsia="Arial" w:hAnsi="Arial"/>
          <w:color w:val="374151"/>
          <w:sz w:val="22"/>
          <w:szCs w:val="22"/>
        </w:rPr>
        <w:t xml:space="preserve">On native mobile, this step triggers the OS-level push notification permission dialog. The in-app copy is shown first to explain the value before the system dialog appears, following the deferred permission request pattern that maximizes grant rates.</w:t>
      </w:r>
    </w:p>
    <w:p>
      <w:pPr>
        <w:pStyle w:val="BodyText"/>
        <w:spacing w:after="100"/>
      </w:pPr>
      <w:r>
        <w:rPr>
          <w:rFonts w:ascii="Arial" w:cs="Arial" w:eastAsia="Arial" w:hAnsi="Arial"/>
          <w:b/>
          <w:bCs/>
          <w:color w:val="1B4332"/>
          <w:sz w:val="22"/>
          <w:szCs w:val="22"/>
        </w:rPr>
        <w:t xml:space="preserve">Skip-friendly: </w:t>
      </w:r>
      <w:r>
        <w:rPr>
          <w:rFonts w:ascii="Arial" w:cs="Arial" w:eastAsia="Arial" w:hAnsi="Arial"/>
          <w:color w:val="374151"/>
          <w:sz w:val="22"/>
          <w:szCs w:val="22"/>
        </w:rPr>
        <w:t xml:space="preserve">A prominent "Skip for now" option allows members to proceed without configuring anything. Default notification settings (email-only, no calendar sync) are applied if skipped.</w:t>
      </w:r>
    </w:p>
    <w:p>
      <w:pPr>
        <w:spacing w:after="60"/>
      </w:pPr>
      <w:r>
        <w:t xml:space="preserve"/>
      </w:r>
    </w:p>
    <w:p>
      <w:pPr>
        <w:pStyle w:val="Heading2"/>
        <w:spacing w:after="100" w:before="280"/>
      </w:pPr>
      <w:r>
        <w:rPr>
          <w:rFonts w:ascii="Arial" w:cs="Arial" w:eastAsia="Arial" w:hAnsi="Arial"/>
          <w:b/>
          <w:bCs/>
          <w:color w:val="2D6A4F"/>
          <w:sz w:val="26"/>
          <w:szCs w:val="26"/>
        </w:rPr>
        <w:t xml:space="preserve">2.2  Screen Layout</w:t>
      </w:r>
    </w:p>
    <w:p>
      <w:pPr>
        <w:pStyle w:val="BodyText"/>
      </w:pPr>
      <w:r>
        <w:rPr>
          <w:rFonts w:ascii="Arial" w:cs="Arial" w:eastAsia="Arial" w:hAnsi="Arial"/>
          <w:sz w:val="22"/>
          <w:szCs w:val="22"/>
        </w:rPr>
        <w:t xml:space="preserve">Step 6 shares the same 680px max-width wizard card, global header, liturgical season banner, and 7-step progress indicator as earlier steps. The progress indicator now shows Steps 1 through 5 as completed (green checkmark pills) and Step 6 as the active highlighted pill. Step 7 remains as a single grey outlined pill. The card is divided into two visually distinct sections separated by a horizontal divider line: the upper Notification Preferences section and the lower Calendar Sync section. Both sections are expanded by default on desktop; on mobile, the Calendar Sync section is collapsed with a tap-to-expand chevron to reduce initial scroll depth.</w:t>
      </w:r>
    </w:p>
    <w:p>
      <w:pPr>
        <w:spacing w:after="60"/>
      </w:pPr>
      <w:r>
        <w:t xml:space="preserve"/>
      </w:r>
    </w:p>
    <w:p>
      <w:pPr>
        <w:pStyle w:val="Heading2"/>
        <w:spacing w:after="100" w:before="280"/>
      </w:pPr>
      <w:r>
        <w:rPr>
          <w:rFonts w:ascii="Arial" w:cs="Arial" w:eastAsia="Arial" w:hAnsi="Arial"/>
          <w:b/>
          <w:bCs/>
          <w:color w:val="2D6A4F"/>
          <w:sz w:val="26"/>
          <w:szCs w:val="26"/>
        </w:rPr>
        <w:t xml:space="preserve">2.3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Zone</w:t>
            </w:r>
          </w:p>
        </w:tc>
        <w:tc>
          <w:tcPr>
            <w:tcW w:type="dxa" w:w="684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Content Description</w:t>
            </w:r>
          </w:p>
        </w:tc>
      </w:tr>
      <w:tr>
        <w:tc>
          <w:tcPr>
            <w:tcW w:type="dxa" w:w="2520"/>
            <w:tcBorders>
              <w:top w:val="single" w:color="CCCCCC" w:sz="1"/>
              <w:left w:val="single" w:color="CCCCCC" w:sz="1"/>
              <w:bottom w:val="single" w:color="CCCCCC" w:sz="1"/>
              <w:right w:val="single" w:color="CCCCCC" w:sz="1"/>
            </w:tcBorders>
            <w:shd w:fill="F0FDF4" w:val="clear"/>
          </w:tcPr>
          <w:p>
            <w:pPr>
              <w:spacing w:after="80"/>
              <w:jc w:val="left"/>
            </w:pPr>
            <w:r>
              <w:rPr>
                <w:rFonts w:ascii="Arial" w:cs="Arial" w:eastAsia="Arial" w:hAnsi="Arial"/>
                <w:b/>
                <w:bCs/>
                <w:sz w:val="20"/>
                <w:szCs w:val="20"/>
              </w:rPr>
              <w:t xml:space="preserve">Progress Bar</w:t>
            </w:r>
          </w:p>
        </w:tc>
        <w:tc>
          <w:tcPr>
            <w:tcW w:type="dxa" w:w="68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Steps 1 through 5 show green filled pills with a checkmark (✓). Step 6 is the active pill in dark green. Step 7 remains as a grey unfilled pill.</w:t>
            </w:r>
          </w:p>
        </w:tc>
      </w:tr>
      <w:tr>
        <w:tc>
          <w:tcPr>
            <w:tcW w:type="dxa" w:w="252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bCs/>
                <w:sz w:val="20"/>
                <w:szCs w:val="20"/>
              </w:rPr>
              <w:t xml:space="preserve">Headline Block</w:t>
            </w:r>
          </w:p>
        </w:tc>
        <w:tc>
          <w:tcPr>
            <w:tcW w:type="dxa" w:w="68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"Stay connected" — H1 heading in dark green (#1B4332). Subtitle: "Choose how you'd like to hear from us and sync upcoming events to your calendar." Both lines are centered.</w:t>
            </w:r>
          </w:p>
        </w:tc>
      </w:tr>
      <w:tr>
        <w:tc>
          <w:tcPr>
            <w:tcW w:type="dxa" w:w="2520"/>
            <w:tcBorders>
              <w:top w:val="single" w:color="CCCCCC" w:sz="1"/>
              <w:left w:val="single" w:color="CCCCCC" w:sz="1"/>
              <w:bottom w:val="single" w:color="CCCCCC" w:sz="1"/>
              <w:right w:val="single" w:color="CCCCCC" w:sz="1"/>
            </w:tcBorders>
            <w:shd w:fill="F0FDF4" w:val="clear"/>
          </w:tcPr>
          <w:p>
            <w:pPr>
              <w:spacing w:after="80"/>
              <w:jc w:val="left"/>
            </w:pPr>
            <w:r>
              <w:rPr>
                <w:rFonts w:ascii="Arial" w:cs="Arial" w:eastAsia="Arial" w:hAnsi="Arial"/>
                <w:b/>
                <w:bCs/>
                <w:sz w:val="20"/>
                <w:szCs w:val="20"/>
              </w:rPr>
              <w:t xml:space="preserve">Section Label — Notifications</w:t>
            </w:r>
          </w:p>
        </w:tc>
        <w:tc>
          <w:tcPr>
            <w:tcW w:type="dxa" w:w="68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Section header: "Notification Preferences" in bold dark green with a bell icon (🔔). A helper note below reads: "You can change these at any time from Settings → Notifications."</w:t>
            </w:r>
          </w:p>
        </w:tc>
      </w:tr>
      <w:tr>
        <w:tc>
          <w:tcPr>
            <w:tcW w:type="dxa" w:w="252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bCs/>
                <w:sz w:val="20"/>
                <w:szCs w:val="20"/>
              </w:rPr>
              <w:t xml:space="preserve">Notification Channel Toggles</w:t>
            </w:r>
          </w:p>
        </w:tc>
        <w:tc>
          <w:tcPr>
            <w:tcW w:type="dxa" w:w="68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Three toggle rows, each with an icon, label, description, and a toggle switch (on/off). Row 1: 📲 Push Notifications — "Get real-time alerts on your phone for events, group activity, and announcements." Default: ON. Row 2: ✉️ Email — "Receive event reminders, newsletters, and digest summaries." Default: ON. Row 3: 💬 SMS / Text — "Urgent event updates and schedule changes sent to your mobile number." Default: OFF.</w:t>
            </w:r>
          </w:p>
        </w:tc>
      </w:tr>
      <w:tr>
        <w:tc>
          <w:tcPr>
            <w:tcW w:type="dxa" w:w="2520"/>
            <w:tcBorders>
              <w:top w:val="single" w:color="CCCCCC" w:sz="1"/>
              <w:left w:val="single" w:color="CCCCCC" w:sz="1"/>
              <w:bottom w:val="single" w:color="CCCCCC" w:sz="1"/>
              <w:right w:val="single" w:color="CCCCCC" w:sz="1"/>
            </w:tcBorders>
            <w:shd w:fill="F0FDF4" w:val="clear"/>
          </w:tcPr>
          <w:p>
            <w:pPr>
              <w:spacing w:after="80"/>
              <w:jc w:val="left"/>
            </w:pPr>
            <w:r>
              <w:rPr>
                <w:rFonts w:ascii="Arial" w:cs="Arial" w:eastAsia="Arial" w:hAnsi="Arial"/>
                <w:b/>
                <w:bCs/>
                <w:sz w:val="20"/>
                <w:szCs w:val="20"/>
              </w:rPr>
              <w:t xml:space="preserve">Notification Frequency Selector</w:t>
            </w:r>
          </w:p>
        </w:tc>
        <w:tc>
          <w:tcPr>
            <w:tcW w:type="dxa" w:w="68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Below the channel toggles, a segmented pill selector for email digest frequency: [Immediately] [Daily Digest] [Weekly Digest]. Default is Daily Digest. Applies only to the Email channel. Rendered as a 3-pill toggle row with the active pill filled dark green and inactive pills in outlined grey.</w:t>
            </w:r>
          </w:p>
        </w:tc>
      </w:tr>
      <w:tr>
        <w:tc>
          <w:tcPr>
            <w:tcW w:type="dxa" w:w="252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bCs/>
                <w:sz w:val="20"/>
                <w:szCs w:val="20"/>
              </w:rPr>
              <w:t xml:space="preserve">Section Divider</w:t>
            </w:r>
          </w:p>
        </w:tc>
        <w:tc>
          <w:tcPr>
            <w:tcW w:type="dxa" w:w="68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A full-width 1px horizontal rule in light grey (#E5E7EB) separates the Notification section from the Calendar Sync section.</w:t>
            </w:r>
          </w:p>
        </w:tc>
      </w:tr>
      <w:tr>
        <w:tc>
          <w:tcPr>
            <w:tcW w:type="dxa" w:w="2520"/>
            <w:tcBorders>
              <w:top w:val="single" w:color="CCCCCC" w:sz="1"/>
              <w:left w:val="single" w:color="CCCCCC" w:sz="1"/>
              <w:bottom w:val="single" w:color="CCCCCC" w:sz="1"/>
              <w:right w:val="single" w:color="CCCCCC" w:sz="1"/>
            </w:tcBorders>
            <w:shd w:fill="F0FDF4" w:val="clear"/>
          </w:tcPr>
          <w:p>
            <w:pPr>
              <w:spacing w:after="80"/>
              <w:jc w:val="left"/>
            </w:pPr>
            <w:r>
              <w:rPr>
                <w:rFonts w:ascii="Arial" w:cs="Arial" w:eastAsia="Arial" w:hAnsi="Arial"/>
                <w:b/>
                <w:bCs/>
                <w:sz w:val="20"/>
                <w:szCs w:val="20"/>
              </w:rPr>
              <w:t xml:space="preserve">Section Label — Calendar</w:t>
            </w:r>
          </w:p>
        </w:tc>
        <w:tc>
          <w:tcPr>
            <w:tcW w:type="dxa" w:w="68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Section header: "Calendar Sync" in bold dark green with a calendar icon (📅). A helper note reads: "ROCA events will appear in your personal calendar automatically."</w:t>
            </w:r>
          </w:p>
        </w:tc>
      </w:tr>
      <w:tr>
        <w:tc>
          <w:tcPr>
            <w:tcW w:type="dxa" w:w="252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bCs/>
                <w:sz w:val="20"/>
                <w:szCs w:val="20"/>
              </w:rPr>
              <w:t xml:space="preserve">Calendar Provider Buttons</w:t>
            </w:r>
          </w:p>
        </w:tc>
        <w:tc>
          <w:tcPr>
            <w:tcW w:type="dxa" w:w="68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Three outlined buttons, each displaying a provider logo and name: [Google Calendar] [Apple Calendar] [Outlook / Office 365]. Tapping a button initiates the OAuth or CalDAV connection flow in a new modal overlay. A provider can show a "Connected ✓" state badge once linked.</w:t>
            </w:r>
          </w:p>
        </w:tc>
      </w:tr>
      <w:tr>
        <w:tc>
          <w:tcPr>
            <w:tcW w:type="dxa" w:w="2520"/>
            <w:tcBorders>
              <w:top w:val="single" w:color="CCCCCC" w:sz="1"/>
              <w:left w:val="single" w:color="CCCCCC" w:sz="1"/>
              <w:bottom w:val="single" w:color="CCCCCC" w:sz="1"/>
              <w:right w:val="single" w:color="CCCCCC" w:sz="1"/>
            </w:tcBorders>
            <w:shd w:fill="F0FDF4" w:val="clear"/>
          </w:tcPr>
          <w:p>
            <w:pPr>
              <w:spacing w:after="80"/>
              <w:jc w:val="left"/>
            </w:pPr>
            <w:r>
              <w:rPr>
                <w:rFonts w:ascii="Arial" w:cs="Arial" w:eastAsia="Arial" w:hAnsi="Arial"/>
                <w:b/>
                <w:bCs/>
                <w:sz w:val="20"/>
                <w:szCs w:val="20"/>
              </w:rPr>
              <w:t xml:space="preserve">Calendar Sync Options</w:t>
            </w:r>
          </w:p>
        </w:tc>
        <w:tc>
          <w:tcPr>
            <w:tcW w:type="dxa" w:w="68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Once a calendar is connected, two checkbox options appear: (1) "Sync all church events" — default checked. (2) "Sync only my groups' events" — default unchecked. This toggle applies per-connected calendar.</w:t>
            </w:r>
          </w:p>
        </w:tc>
      </w:tr>
      <w:tr>
        <w:tc>
          <w:tcPr>
            <w:tcW w:type="dxa" w:w="252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bCs/>
                <w:sz w:val="20"/>
                <w:szCs w:val="20"/>
              </w:rPr>
              <w:t xml:space="preserve">Back / CTA Row</w:t>
            </w:r>
          </w:p>
        </w:tc>
        <w:tc>
          <w:tcPr>
            <w:tcW w:type="dxa" w:w="68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[&lt;- Back] text link (navigates to Step 5) on the left. [Finish Setup -&gt;] primary button on the right. A [Skip for now] text link is placed between them, visually de-emphasized but accessible.</w:t>
            </w:r>
          </w:p>
        </w:tc>
      </w:tr>
    </w:tbl>
    <w:p>
      <w:pPr>
        <w:spacing w:after="60"/>
      </w:pPr>
      <w:r>
        <w:t xml:space="preserve"/>
      </w:r>
    </w:p>
    <w:p>
      <w:pPr>
        <w:pStyle w:val="Heading2"/>
        <w:spacing w:after="100" w:before="280"/>
      </w:pPr>
      <w:r>
        <w:rPr>
          <w:rFonts w:ascii="Arial" w:cs="Arial" w:eastAsia="Arial" w:hAnsi="Arial"/>
          <w:b/>
          <w:bCs/>
          <w:color w:val="2D6A4F"/>
          <w:sz w:val="26"/>
          <w:szCs w:val="26"/>
        </w:rPr>
        <w:t xml:space="preserve">2.4  Notification Preferences — Save Behavior</w:t>
      </w:r>
    </w:p>
    <w:p>
      <w:pPr>
        <w:pStyle w:val="BodyText"/>
        <w:spacing w:after="100"/>
      </w:pPr>
      <w:r>
        <w:rPr>
          <w:rFonts w:ascii="Arial" w:cs="Arial" w:eastAsia="Arial" w:hAnsi="Arial"/>
          <w:b/>
          <w:bCs/>
          <w:color w:val="1B4332"/>
          <w:sz w:val="22"/>
          <w:szCs w:val="22"/>
        </w:rPr>
        <w:t xml:space="preserve">Push notifications: </w:t>
      </w:r>
      <w:r>
        <w:rPr>
          <w:rFonts w:ascii="Arial" w:cs="Arial" w:eastAsia="Arial" w:hAnsi="Arial"/>
          <w:color w:val="374151"/>
          <w:sz w:val="22"/>
          <w:szCs w:val="22"/>
        </w:rPr>
        <w:t xml:space="preserve">On web, the browser Notification API is invoked when the Push toggle is turned ON. If permission is already granted, the preference is saved immediately. If not yet requested, the browser permission dialog appears. On React Native, the Expo Notifications API is used; the OS permission dialog is presented before the toggle activates.</w:t>
      </w:r>
    </w:p>
    <w:p>
      <w:pPr>
        <w:pStyle w:val="BodyText"/>
        <w:spacing w:after="100"/>
      </w:pPr>
      <w:r>
        <w:rPr>
          <w:rFonts w:ascii="Arial" w:cs="Arial" w:eastAsia="Arial" w:hAnsi="Arial"/>
          <w:b/>
          <w:bCs/>
          <w:color w:val="1B4332"/>
          <w:sz w:val="22"/>
          <w:szCs w:val="22"/>
        </w:rPr>
        <w:t xml:space="preserve">Email preference: </w:t>
      </w:r>
      <w:r>
        <w:rPr>
          <w:rFonts w:ascii="Arial" w:cs="Arial" w:eastAsia="Arial" w:hAnsi="Arial"/>
          <w:color w:val="374151"/>
          <w:sz w:val="22"/>
          <w:szCs w:val="22"/>
        </w:rPr>
        <w:t xml:space="preserve">Saved to the member record at member_notification_preferences.email_enabled and member_notification_preferences.email_frequency. Valid frequency values: IMMEDIATE, DAILY, WEEKLY.</w:t>
      </w:r>
    </w:p>
    <w:p>
      <w:pPr>
        <w:pStyle w:val="BodyText"/>
        <w:spacing w:after="100"/>
      </w:pPr>
      <w:r>
        <w:rPr>
          <w:rFonts w:ascii="Arial" w:cs="Arial" w:eastAsia="Arial" w:hAnsi="Arial"/>
          <w:b/>
          <w:bCs/>
          <w:color w:val="1B4332"/>
          <w:sz w:val="22"/>
          <w:szCs w:val="22"/>
        </w:rPr>
        <w:t xml:space="preserve">SMS preference: </w:t>
      </w:r>
      <w:r>
        <w:rPr>
          <w:rFonts w:ascii="Arial" w:cs="Arial" w:eastAsia="Arial" w:hAnsi="Arial"/>
          <w:color w:val="374151"/>
          <w:sz w:val="22"/>
          <w:szCs w:val="22"/>
        </w:rPr>
        <w:t xml:space="preserve">Only activates if a verified mobile number exists on the member profile (collected in Step 3). If no mobile number is present, the SMS toggle is shown as disabled with the tooltip: "Add a phone number in Profile Settings to enable SMS."</w:t>
      </w:r>
    </w:p>
    <w:p>
      <w:pPr>
        <w:pStyle w:val="BodyText"/>
        <w:spacing w:after="100"/>
      </w:pPr>
      <w:r>
        <w:rPr>
          <w:rFonts w:ascii="Arial" w:cs="Arial" w:eastAsia="Arial" w:hAnsi="Arial"/>
          <w:b/>
          <w:bCs/>
          <w:color w:val="1B4332"/>
          <w:sz w:val="22"/>
          <w:szCs w:val="22"/>
        </w:rPr>
        <w:t xml:space="preserve">API call: </w:t>
      </w:r>
      <w:r>
        <w:rPr>
          <w:rFonts w:ascii="Arial" w:cs="Arial" w:eastAsia="Arial" w:hAnsi="Arial"/>
          <w:color w:val="374151"/>
          <w:sz w:val="22"/>
          <w:szCs w:val="22"/>
        </w:rPr>
        <w:t xml:space="preserve">All preferences are submitted together via PUT /members/me/notification-preferences on "Finish Setup" click. Skipping sends no API call; defaults are applied server-side on first login.</w:t>
      </w:r>
    </w:p>
    <w:p>
      <w:pPr>
        <w:spacing w:after="60"/>
      </w:pPr>
      <w:r>
        <w:t xml:space="preserve"/>
      </w:r>
    </w:p>
    <w:p>
      <w:pPr>
        <w:pStyle w:val="Heading2"/>
        <w:spacing w:after="100" w:before="280"/>
      </w:pPr>
      <w:r>
        <w:rPr>
          <w:rFonts w:ascii="Arial" w:cs="Arial" w:eastAsia="Arial" w:hAnsi="Arial"/>
          <w:b/>
          <w:bCs/>
          <w:color w:val="2D6A4F"/>
          <w:sz w:val="26"/>
          <w:szCs w:val="26"/>
        </w:rPr>
        <w:t xml:space="preserve">2.5  Calendar Sync Logic</w:t>
      </w:r>
    </w:p>
    <w:p>
      <w:pPr>
        <w:pStyle w:val="BodyText"/>
        <w:spacing w:after="100"/>
      </w:pPr>
      <w:r>
        <w:rPr>
          <w:rFonts w:ascii="Arial" w:cs="Arial" w:eastAsia="Arial" w:hAnsi="Arial"/>
          <w:b/>
          <w:bCs/>
          <w:color w:val="1B4332"/>
          <w:sz w:val="22"/>
          <w:szCs w:val="22"/>
        </w:rPr>
        <w:t xml:space="preserve">Google Calendar: </w:t>
      </w:r>
      <w:r>
        <w:rPr>
          <w:rFonts w:ascii="Arial" w:cs="Arial" w:eastAsia="Arial" w:hAnsi="Arial"/>
          <w:color w:val="374151"/>
          <w:sz w:val="22"/>
          <w:szCs w:val="22"/>
        </w:rPr>
        <w:t xml:space="preserve">Uses Google OAuth 2.0 (scope: https://www.googleapis.com/auth/calendar.events). After OAuth completes, a service account webhook is registered to push new ROCA events to the connected calendar. The connection token is stored in calendar_integrations (member_id, provider, access_token, refresh_token, expires_at).</w:t>
      </w:r>
    </w:p>
    <w:p>
      <w:pPr>
        <w:pStyle w:val="BodyText"/>
        <w:spacing w:after="100"/>
      </w:pPr>
      <w:r>
        <w:rPr>
          <w:rFonts w:ascii="Arial" w:cs="Arial" w:eastAsia="Arial" w:hAnsi="Arial"/>
          <w:b/>
          <w:bCs/>
          <w:color w:val="1B4332"/>
          <w:sz w:val="22"/>
          <w:szCs w:val="22"/>
        </w:rPr>
        <w:t xml:space="preserve">Apple Calendar: </w:t>
      </w:r>
      <w:r>
        <w:rPr>
          <w:rFonts w:ascii="Arial" w:cs="Arial" w:eastAsia="Arial" w:hAnsi="Arial"/>
          <w:color w:val="374151"/>
          <w:sz w:val="22"/>
          <w:szCs w:val="22"/>
        </w:rPr>
        <w:t xml:space="preserve">Uses CalDAV protocol. A ROCA-generated .ics subscription URL is presented in a copy-to-clipboard modal. The member pastes this URL into Apple Calendar &gt; New Calendar Subscription. This is a read-only live feed and requires no stored credentials.</w:t>
      </w:r>
    </w:p>
    <w:p>
      <w:pPr>
        <w:pStyle w:val="BodyText"/>
        <w:spacing w:after="100"/>
      </w:pPr>
      <w:r>
        <w:rPr>
          <w:rFonts w:ascii="Arial" w:cs="Arial" w:eastAsia="Arial" w:hAnsi="Arial"/>
          <w:b/>
          <w:bCs/>
          <w:color w:val="1B4332"/>
          <w:sz w:val="22"/>
          <w:szCs w:val="22"/>
        </w:rPr>
        <w:t xml:space="preserve">Outlook / Office 365: </w:t>
      </w:r>
      <w:r>
        <w:rPr>
          <w:rFonts w:ascii="Arial" w:cs="Arial" w:eastAsia="Arial" w:hAnsi="Arial"/>
          <w:color w:val="374151"/>
          <w:sz w:val="22"/>
          <w:szCs w:val="22"/>
        </w:rPr>
        <w:t xml:space="preserve">Uses Microsoft Graph API OAuth 2.0 (scope: Calendars.ReadWrite). Flow is identical to Google Calendar. Token stored in the same calendar_integrations table with provider = "microsoft".</w:t>
      </w:r>
    </w:p>
    <w:p>
      <w:pPr>
        <w:pStyle w:val="BodyText"/>
        <w:spacing w:after="100"/>
      </w:pPr>
      <w:r>
        <w:rPr>
          <w:rFonts w:ascii="Arial" w:cs="Arial" w:eastAsia="Arial" w:hAnsi="Arial"/>
          <w:b/>
          <w:bCs/>
          <w:color w:val="1B4332"/>
          <w:sz w:val="22"/>
          <w:szCs w:val="22"/>
        </w:rPr>
        <w:t xml:space="preserve">Sync granularity: </w:t>
      </w:r>
      <w:r>
        <w:rPr>
          <w:rFonts w:ascii="Arial" w:cs="Arial" w:eastAsia="Arial" w:hAnsi="Arial"/>
          <w:color w:val="374151"/>
          <w:sz w:val="22"/>
          <w:szCs w:val="22"/>
        </w:rPr>
        <w:t xml:space="preserve">Events pushed to connected calendars include: title, date/time, location, description, and a deeplink back to the ROCA event detail page. Event updates (reschedules, cancellations) are propagated via the webhook within 60 seconds.</w:t>
      </w:r>
    </w:p>
    <w:p>
      <w:pPr>
        <w:spacing w:after="60"/>
      </w:pPr>
      <w:r>
        <w:t xml:space="preserve"/>
      </w:r>
    </w:p>
    <w:p>
      <w:pPr>
        <w:pStyle w:val="Heading2"/>
        <w:spacing w:after="100" w:before="280"/>
      </w:pPr>
      <w:r>
        <w:rPr>
          <w:rFonts w:ascii="Arial" w:cs="Arial" w:eastAsia="Arial" w:hAnsi="Arial"/>
          <w:b/>
          <w:bCs/>
          <w:color w:val="2D6A4F"/>
          <w:sz w:val="26"/>
          <w:szCs w:val="26"/>
        </w:rPr>
        <w:t xml:space="preserve">2.6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Trigger</w:t>
            </w:r>
          </w:p>
        </w:tc>
        <w:tc>
          <w:tcPr>
            <w:tcW w:type="dxa" w:w="324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System Action</w:t>
            </w:r>
          </w:p>
        </w:tc>
        <w:tc>
          <w:tcPr>
            <w:tcW w:type="dxa" w:w="324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User Feedback</w:t>
            </w:r>
          </w:p>
        </w:tc>
      </w:tr>
      <w:tr>
        <w:tc>
          <w:tcPr>
            <w:tcW w:type="dxa" w:w="288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Toggle Push ON (web)</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Browser Notification.requestPermission() called</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OS/browser permission dialog appears; on grant, toggle stays ON and preference queued</w:t>
            </w:r>
          </w:p>
        </w:tc>
      </w:tr>
      <w:tr>
        <w:tc>
          <w:tcPr>
            <w:tcW w:type="dxa" w:w="288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Toggle Push ON (native)</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Expo Notifications.requestPermissionsAsync() called</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iOS/Android system dialog appears; on grant, toggle stays ON</w:t>
            </w:r>
          </w:p>
        </w:tc>
      </w:tr>
      <w:tr>
        <w:tc>
          <w:tcPr>
            <w:tcW w:type="dxa" w:w="288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Toggle Push OFF</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Push preference set to false in local store</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Toggle switches to OFF state; no system dialog</w:t>
            </w:r>
          </w:p>
        </w:tc>
      </w:tr>
      <w:tr>
        <w:tc>
          <w:tcPr>
            <w:tcW w:type="dxa" w:w="288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Select email frequency pill</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Frequency value updated in local Zustand store</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Selected pill fills dark green; others return to outlined</w:t>
            </w:r>
          </w:p>
        </w:tc>
      </w:tr>
      <w:tr>
        <w:tc>
          <w:tcPr>
            <w:tcW w:type="dxa" w:w="288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[Google Calendar] button tap</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OAuth popup window opens to Google consent screen</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Modal overlay dims the wizard; on success, button shows "Connected ✓" badge in green</w:t>
            </w:r>
          </w:p>
        </w:tc>
      </w:tr>
      <w:tr>
        <w:tc>
          <w:tcPr>
            <w:tcW w:type="dxa" w:w="288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[Apple Calendar] button tap</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Copy-to-clipboard modal opens with .ics subscription URL</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URL displayed with [Copy Link] button; after copy, button shows "Copied ✓"</w:t>
            </w:r>
          </w:p>
        </w:tc>
      </w:tr>
      <w:tr>
        <w:tc>
          <w:tcPr>
            <w:tcW w:type="dxa" w:w="288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[Outlook] button tap</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Microsoft OAuth popup opens to MS consent screen</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Same connected badge as Google flow on success</w:t>
            </w:r>
          </w:p>
        </w:tc>
      </w:tr>
      <w:tr>
        <w:tc>
          <w:tcPr>
            <w:tcW w:type="dxa" w:w="288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[Finish Setup -&gt;]</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PUT /members/me/notification-preferences; onboarding_step = 7; onboarding_status = ONBOARDING_COMPLETE</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Loading spinner; slide animation to Step 7 (Welcome screen)</w:t>
            </w:r>
          </w:p>
        </w:tc>
      </w:tr>
      <w:tr>
        <w:tc>
          <w:tcPr>
            <w:tcW w:type="dxa" w:w="288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[Skip for now]</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No notification API call; default preferences applied server-side; onboarding_step = 7</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Immediate slide to Step 7; Settings nudge shown on dashboard for 14 days</w:t>
            </w:r>
          </w:p>
        </w:tc>
      </w:tr>
      <w:tr>
        <w:tc>
          <w:tcPr>
            <w:tcW w:type="dxa" w:w="288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[&lt;- Back]</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onboarding_step = 5; local store preserved</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Reverse slide animation; Step 5 content restored from Zustand store</w:t>
            </w:r>
          </w:p>
        </w:tc>
      </w:tr>
    </w:tbl>
    <w:p>
      <w:pPr>
        <w:spacing w:after="60"/>
      </w:pPr>
      <w:r>
        <w:t xml:space="preserve"/>
      </w:r>
    </w:p>
    <w:p>
      <w:pPr>
        <w:pStyle w:val="Heading2"/>
        <w:spacing w:after="100" w:before="280"/>
      </w:pPr>
      <w:r>
        <w:rPr>
          <w:rFonts w:ascii="Arial" w:cs="Arial" w:eastAsia="Arial" w:hAnsi="Arial"/>
          <w:b/>
          <w:bCs/>
          <w:color w:val="2D6A4F"/>
          <w:sz w:val="26"/>
          <w:szCs w:val="26"/>
        </w:rPr>
        <w:t xml:space="preserve">2.7  Design Notes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3"/>
              <w:left w:val="single" w:color="1B4332" w:sz="12"/>
              <w:bottom w:val="single" w:color="52B788" w:sz="3"/>
              <w:right w:val="single" w:color="52B788" w:sz="3"/>
            </w:tcBorders>
            <w:shd w:fill="F0FDF4" w:val="clear"/>
            <w:tcMar>
              <w:top w:type="dxa" w:w="120"/>
              <w:left w:type="dxa" w:w="180"/>
              <w:bottom w:type="dxa" w:w="120"/>
              <w:right w:type="dxa" w:w="180"/>
            </w:tcMar>
          </w:tcPr>
          <w:p>
            <w:pPr>
              <w:spacing w:after="80"/>
            </w:pPr>
            <w:r>
              <w:rPr>
                <w:rFonts w:ascii="Arial" w:cs="Arial" w:eastAsia="Arial" w:hAnsi="Arial"/>
                <w:b/>
                <w:bCs/>
                <w:color w:val="1B4332"/>
                <w:sz w:val="22"/>
                <w:szCs w:val="22"/>
              </w:rPr>
              <w:t xml:space="preserve">💡  Permission Priming — Why It Works</w:t>
            </w:r>
          </w:p>
          <w:p>
            <w:pPr>
              <w:spacing w:after="80"/>
            </w:pPr>
            <w:r>
              <w:rPr>
                <w:rFonts w:ascii="Arial" w:cs="Arial" w:eastAsia="Arial" w:hAnsi="Arial"/>
                <w:color w:val="374151"/>
                <w:sz w:val="22"/>
                <w:szCs w:val="22"/>
              </w:rPr>
              <w:t xml:space="preserve">Asking for push notification permission without context leads to 40–60% denial rates on mobile. ROCA follows the "justified ask" pattern: the in-app toggle and value description are shown first, so the member understands the benefit before the OS dialog appears. This sequence is shown to increase grant rates by 20–35% compared to cold prompts at app launch.</w:t>
            </w:r>
          </w:p>
          <w:p>
            <w:pPr>
              <w:spacing w:after="0"/>
            </w:pPr>
            <w:r>
              <w:rPr>
                <w:rFonts w:ascii="Arial" w:cs="Arial" w:eastAsia="Arial" w:hAnsi="Arial"/>
                <w:color w:val="374151"/>
                <w:sz w:val="22"/>
                <w:szCs w:val="22"/>
              </w:rPr>
              <w:t xml:space="preserve">SMS is defaulted to OFF because it carries a higher perceived intrusiveness. Members who explicitly turn SMS ON have significantly higher engagement with SMS-delivered content than those who are opted in by default.</w:t>
            </w:r>
          </w:p>
        </w:tc>
      </w:tr>
    </w:tbl>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3"/>
              <w:left w:val="single" w:color="1B4332" w:sz="12"/>
              <w:bottom w:val="single" w:color="52B788" w:sz="3"/>
              <w:right w:val="single" w:color="52B788" w:sz="3"/>
            </w:tcBorders>
            <w:shd w:fill="F0FDF4" w:val="clear"/>
            <w:tcMar>
              <w:top w:type="dxa" w:w="120"/>
              <w:left w:type="dxa" w:w="180"/>
              <w:bottom w:type="dxa" w:w="120"/>
              <w:right w:type="dxa" w:w="180"/>
            </w:tcMar>
          </w:tcPr>
          <w:p>
            <w:pPr>
              <w:spacing w:after="80"/>
            </w:pPr>
            <w:r>
              <w:rPr>
                <w:rFonts w:ascii="Arial" w:cs="Arial" w:eastAsia="Arial" w:hAnsi="Arial"/>
                <w:b/>
                <w:bCs/>
                <w:color w:val="1B4332"/>
                <w:sz w:val="22"/>
                <w:szCs w:val="22"/>
              </w:rPr>
              <w:t xml:space="preserve">📊  Calendar Integration Data Model</w:t>
            </w:r>
          </w:p>
          <w:p>
            <w:pPr>
              <w:spacing w:after="80"/>
            </w:pPr>
            <w:r>
              <w:rPr>
                <w:rFonts w:ascii="Arial" w:cs="Arial" w:eastAsia="Arial" w:hAnsi="Arial"/>
                <w:color w:val="374151"/>
                <w:sz w:val="22"/>
                <w:szCs w:val="22"/>
              </w:rPr>
              <w:t xml:space="preserve">Calendar connections are stored in the calendar_integrations table: id, member_id (FK), provider (ENUM: google | apple | microsoft), access_token (encrypted), refresh_token (encrypted), expires_at (TIMESTAMP), sync_scope (ENUM: all | groups_only), created_at, updated_at. A background worker (BullMQ queue) handles token refresh 5 minutes before expiry and processes calendar push jobs asynchronously, preventing any wizard navigation delay from calendar sync operations.</w:t>
            </w:r>
          </w:p>
        </w:tc>
      </w:tr>
    </w:tbl>
    <w:p>
      <w:pPr>
        <w:spacing w:after="60"/>
      </w:pPr>
      <w:r>
        <w:t xml:space="preserve"/>
      </w:r>
    </w:p>
    <w:p>
      <w:pPr>
        <w:pStyle w:val="Heading1"/>
        <w:spacing w:after="120" w:before="360"/>
      </w:pPr>
      <w:r>
        <w:rPr>
          <w:rFonts w:ascii="Arial" w:cs="Arial" w:eastAsia="Arial" w:hAnsi="Arial"/>
          <w:b/>
          <w:bCs/>
          <w:color w:val="1B4332"/>
          <w:sz w:val="32"/>
          <w:szCs w:val="32"/>
        </w:rPr>
        <w:t xml:space="preserve">3.  Right Panel — Step 7: Welcome Tour / Completion</w:t>
      </w:r>
    </w:p>
    <w:p>
      <w:pPr>
        <w:pStyle w:val="BodyText"/>
      </w:pPr>
      <w:r>
        <w:rPr>
          <w:rFonts w:ascii="Arial" w:cs="Arial" w:eastAsia="Arial" w:hAnsi="Arial"/>
          <w:sz w:val="22"/>
          <w:szCs w:val="22"/>
        </w:rPr>
        <w:t xml:space="preserve">Step 7 is the culminating screen of the ROCA onboarding wizard. It performs two roles simultaneously: it celebrates the new member's completion of onboarding with a warm, visually distinct congratulatory experience, and it fires the full set of post-onboarding system events that activate the member's engagement automation pipeline. Unlike the preceding utility screens (Steps 1–6), Step 7 is intentionally festive and positive — reinforcing the member's decision to join and setting a high emotional tone for their first interactions with the ROCA platform.</w:t>
      </w:r>
    </w:p>
    <w:p>
      <w:pPr>
        <w:spacing w:after="60"/>
      </w:pPr>
      <w:r>
        <w:t xml:space="preserve"/>
      </w:r>
    </w:p>
    <w:p>
      <w:pPr>
        <w:pStyle w:val="Heading2"/>
        <w:spacing w:after="100" w:before="280"/>
      </w:pPr>
      <w:r>
        <w:rPr>
          <w:rFonts w:ascii="Arial" w:cs="Arial" w:eastAsia="Arial" w:hAnsi="Arial"/>
          <w:b/>
          <w:bCs/>
          <w:color w:val="2D6A4F"/>
          <w:sz w:val="26"/>
          <w:szCs w:val="26"/>
        </w:rPr>
        <w:t xml:space="preserve">3.1  Purpose &amp; Goals</w:t>
      </w:r>
    </w:p>
    <w:p>
      <w:pPr>
        <w:pStyle w:val="BodyText"/>
        <w:spacing w:after="100"/>
      </w:pPr>
      <w:r>
        <w:rPr>
          <w:rFonts w:ascii="Arial" w:cs="Arial" w:eastAsia="Arial" w:hAnsi="Arial"/>
          <w:b/>
          <w:bCs/>
          <w:color w:val="1B4332"/>
          <w:sz w:val="22"/>
          <w:szCs w:val="22"/>
        </w:rPr>
        <w:t xml:space="preserve">Primary action: </w:t>
      </w:r>
      <w:r>
        <w:rPr>
          <w:rFonts w:ascii="Arial" w:cs="Arial" w:eastAsia="Arial" w:hAnsi="Arial"/>
          <w:color w:val="374151"/>
          <w:sz w:val="22"/>
          <w:szCs w:val="22"/>
        </w:rPr>
        <w:t xml:space="preserve">Confirm onboarding completion and present the member with an optional guided tour of the ROCA platform's key features.</w:t>
      </w:r>
    </w:p>
    <w:p>
      <w:pPr>
        <w:pStyle w:val="BodyText"/>
        <w:spacing w:after="100"/>
      </w:pPr>
      <w:r>
        <w:rPr>
          <w:rFonts w:ascii="Arial" w:cs="Arial" w:eastAsia="Arial" w:hAnsi="Arial"/>
          <w:b/>
          <w:bCs/>
          <w:color w:val="1B4332"/>
          <w:sz w:val="22"/>
          <w:szCs w:val="22"/>
        </w:rPr>
        <w:t xml:space="preserve">Celebratory moment: </w:t>
      </w:r>
      <w:r>
        <w:rPr>
          <w:rFonts w:ascii="Arial" w:cs="Arial" w:eastAsia="Arial" w:hAnsi="Arial"/>
          <w:color w:val="374151"/>
          <w:sz w:val="22"/>
          <w:szCs w:val="22"/>
        </w:rPr>
        <w:t xml:space="preserve">The visual design uses animated confetti, a warm gradient background, and a large success icon to signal that the member has accomplished something meaningful. This emotional punctuation is a deliberate UX strategy to create a positive first-impression memory.</w:t>
      </w:r>
    </w:p>
    <w:p>
      <w:pPr>
        <w:pStyle w:val="BodyText"/>
        <w:spacing w:after="100"/>
      </w:pPr>
      <w:r>
        <w:rPr>
          <w:rFonts w:ascii="Arial" w:cs="Arial" w:eastAsia="Arial" w:hAnsi="Arial"/>
          <w:b/>
          <w:bCs/>
          <w:color w:val="1B4332"/>
          <w:sz w:val="22"/>
          <w:szCs w:val="22"/>
        </w:rPr>
        <w:t xml:space="preserve">Engagement automation trigger: </w:t>
      </w:r>
      <w:r>
        <w:rPr>
          <w:rFonts w:ascii="Arial" w:cs="Arial" w:eastAsia="Arial" w:hAnsi="Arial"/>
          <w:color w:val="374151"/>
          <w:sz w:val="22"/>
          <w:szCs w:val="22"/>
        </w:rPr>
        <w:t xml:space="preserve">Step 7 completion fires the post-onboarding event bus, which activates the welcome email sequence, the "Your Journey Begins" push notification, and the dashboard onboarding checklist widget. These automation events are described in detail in Section 3.5.</w:t>
      </w:r>
    </w:p>
    <w:p>
      <w:pPr>
        <w:pStyle w:val="BodyText"/>
        <w:spacing w:after="100"/>
      </w:pPr>
      <w:r>
        <w:rPr>
          <w:rFonts w:ascii="Arial" w:cs="Arial" w:eastAsia="Arial" w:hAnsi="Arial"/>
          <w:b/>
          <w:bCs/>
          <w:color w:val="1B4332"/>
          <w:sz w:val="22"/>
          <w:szCs w:val="22"/>
        </w:rPr>
        <w:t xml:space="preserve">Platform orientation: </w:t>
      </w:r>
      <w:r>
        <w:rPr>
          <w:rFonts w:ascii="Arial" w:cs="Arial" w:eastAsia="Arial" w:hAnsi="Arial"/>
          <w:color w:val="374151"/>
          <w:sz w:val="22"/>
          <w:szCs w:val="22"/>
        </w:rPr>
        <w:t xml:space="preserve">The Welcome Tour is a contextual product tour (using the Shepherd.js or equivalent in-app tooltip library) that walks the member through the 5 key navigation areas of the ROCA dashboard: Home, Calendar, Groups, Serve, and Give. The tour is optional and can be skipped or replayed at any time from Help &gt; Take the Tour.</w:t>
      </w:r>
    </w:p>
    <w:p>
      <w:pPr>
        <w:pStyle w:val="BodyText"/>
        <w:spacing w:after="100"/>
      </w:pPr>
      <w:r>
        <w:rPr>
          <w:rFonts w:ascii="Arial" w:cs="Arial" w:eastAsia="Arial" w:hAnsi="Arial"/>
          <w:b/>
          <w:bCs/>
          <w:color w:val="1B4332"/>
          <w:sz w:val="22"/>
          <w:szCs w:val="22"/>
        </w:rPr>
        <w:t xml:space="preserve">Zero-friction exit: </w:t>
      </w:r>
      <w:r>
        <w:rPr>
          <w:rFonts w:ascii="Arial" w:cs="Arial" w:eastAsia="Arial" w:hAnsi="Arial"/>
          <w:color w:val="374151"/>
          <w:sz w:val="22"/>
          <w:szCs w:val="22"/>
        </w:rPr>
        <w:t xml:space="preserve">Members who choose not to take the tour are navigated directly to their personalized Dashboard. No additional form input is required on this screen.</w:t>
      </w:r>
    </w:p>
    <w:p>
      <w:pPr>
        <w:spacing w:after="60"/>
      </w:pPr>
      <w:r>
        <w:t xml:space="preserve"/>
      </w:r>
    </w:p>
    <w:p>
      <w:pPr>
        <w:pStyle w:val="Heading2"/>
        <w:spacing w:after="100" w:before="280"/>
      </w:pPr>
      <w:r>
        <w:rPr>
          <w:rFonts w:ascii="Arial" w:cs="Arial" w:eastAsia="Arial" w:hAnsi="Arial"/>
          <w:b/>
          <w:bCs/>
          <w:color w:val="2D6A4F"/>
          <w:sz w:val="26"/>
          <w:szCs w:val="26"/>
        </w:rPr>
        <w:t xml:space="preserve">3.2  Screen Layout</w:t>
      </w:r>
    </w:p>
    <w:p>
      <w:pPr>
        <w:pStyle w:val="BodyText"/>
      </w:pPr>
      <w:r>
        <w:rPr>
          <w:rFonts w:ascii="Arial" w:cs="Arial" w:eastAsia="Arial" w:hAnsi="Arial"/>
          <w:sz w:val="22"/>
          <w:szCs w:val="22"/>
        </w:rPr>
        <w:t xml:space="preserve">Step 7 breaks from the standard wizard card layout to emphasize the celebratory transition. The 680px wizard card is replaced by a full-width centered panel with a gradient background (radial gradient from #D1FAE5 to #ECFDF5 — light greens) that fills the viewport behind the card. An animated confetti layer (CSS canvas or lottie animation) rains celebratory particles from the top of the viewport for 3 seconds on screen entry, then fades out.</w:t>
      </w:r>
    </w:p>
    <w:p>
      <w:pPr>
        <w:pStyle w:val="BodyText"/>
      </w:pPr>
      <w:r>
        <w:rPr>
          <w:rFonts w:ascii="Arial" w:cs="Arial" w:eastAsia="Arial" w:hAnsi="Arial"/>
          <w:sz w:val="22"/>
          <w:szCs w:val="22"/>
        </w:rPr>
        <w:t xml:space="preserve">The progress indicator is shown at the top with all 7 pills filled green and displaying checkmarks, visually confirming total completion. The center of the card shows the large success icon, headline, and subtitle. Below those, a summary of the member's onboarding choices is displayed as a "Your Profile Summary" review card. The bottom of the screen presents two primary CTAs: [Take the Tour] and [Go to Dashboard].</w:t>
      </w:r>
    </w:p>
    <w:p>
      <w:pPr>
        <w:spacing w:after="60"/>
      </w:pPr>
      <w:r>
        <w:t xml:space="preserve"/>
      </w:r>
    </w:p>
    <w:p>
      <w:pPr>
        <w:pStyle w:val="Heading2"/>
        <w:spacing w:after="100" w:before="280"/>
      </w:pPr>
      <w:r>
        <w:rPr>
          <w:rFonts w:ascii="Arial" w:cs="Arial" w:eastAsia="Arial" w:hAnsi="Arial"/>
          <w:b/>
          <w:bCs/>
          <w:color w:val="2D6A4F"/>
          <w:sz w:val="26"/>
          <w:szCs w:val="26"/>
        </w:rPr>
        <w:t xml:space="preserve">3.3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Zone</w:t>
            </w:r>
          </w:p>
        </w:tc>
        <w:tc>
          <w:tcPr>
            <w:tcW w:type="dxa" w:w="684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Content Description</w:t>
            </w:r>
          </w:p>
        </w:tc>
      </w:tr>
      <w:tr>
        <w:tc>
          <w:tcPr>
            <w:tcW w:type="dxa" w:w="2520"/>
            <w:tcBorders>
              <w:top w:val="single" w:color="CCCCCC" w:sz="1"/>
              <w:left w:val="single" w:color="CCCCCC" w:sz="1"/>
              <w:bottom w:val="single" w:color="CCCCCC" w:sz="1"/>
              <w:right w:val="single" w:color="CCCCCC" w:sz="1"/>
            </w:tcBorders>
            <w:shd w:fill="F0FDF4" w:val="clear"/>
          </w:tcPr>
          <w:p>
            <w:pPr>
              <w:spacing w:after="80"/>
              <w:jc w:val="left"/>
            </w:pPr>
            <w:r>
              <w:rPr>
                <w:rFonts w:ascii="Arial" w:cs="Arial" w:eastAsia="Arial" w:hAnsi="Arial"/>
                <w:b/>
                <w:bCs/>
                <w:sz w:val="20"/>
                <w:szCs w:val="20"/>
              </w:rPr>
              <w:t xml:space="preserve">Progress Bar</w:t>
            </w:r>
          </w:p>
        </w:tc>
        <w:tc>
          <w:tcPr>
            <w:tcW w:type="dxa" w:w="68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All 7 pills are filled green with white checkmarks (✓). No active pill — all steps are complete. The progress bar is rendered in a slightly larger size on this screen to visually emphasize completion.</w:t>
            </w:r>
          </w:p>
        </w:tc>
      </w:tr>
      <w:tr>
        <w:tc>
          <w:tcPr>
            <w:tcW w:type="dxa" w:w="252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bCs/>
                <w:sz w:val="20"/>
                <w:szCs w:val="20"/>
              </w:rPr>
              <w:t xml:space="preserve">Confetti Layer</w:t>
            </w:r>
          </w:p>
        </w:tc>
        <w:tc>
          <w:tcPr>
            <w:tcW w:type="dxa" w:w="68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A CSS canvas animation renders 80–120 confetti particles in ROCA brand colors (greens, gold, white) falling from the top of the viewport. Animation plays once on screen entry over 3 seconds (ease-out), then the canvas fades to 0 opacity. Respects prefers-reduced-motion: no animation is shown if the OS accessibility setting is active.</w:t>
            </w:r>
          </w:p>
        </w:tc>
      </w:tr>
      <w:tr>
        <w:tc>
          <w:tcPr>
            <w:tcW w:type="dxa" w:w="2520"/>
            <w:tcBorders>
              <w:top w:val="single" w:color="CCCCCC" w:sz="1"/>
              <w:left w:val="single" w:color="CCCCCC" w:sz="1"/>
              <w:bottom w:val="single" w:color="CCCCCC" w:sz="1"/>
              <w:right w:val="single" w:color="CCCCCC" w:sz="1"/>
            </w:tcBorders>
            <w:shd w:fill="F0FDF4" w:val="clear"/>
          </w:tcPr>
          <w:p>
            <w:pPr>
              <w:spacing w:after="80"/>
              <w:jc w:val="left"/>
            </w:pPr>
            <w:r>
              <w:rPr>
                <w:rFonts w:ascii="Arial" w:cs="Arial" w:eastAsia="Arial" w:hAnsi="Arial"/>
                <w:b/>
                <w:bCs/>
                <w:sz w:val="20"/>
                <w:szCs w:val="20"/>
              </w:rPr>
              <w:t xml:space="preserve">Success Icon</w:t>
            </w:r>
          </w:p>
        </w:tc>
        <w:tc>
          <w:tcPr>
            <w:tcW w:type="dxa" w:w="68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A large (96px) animated checkmark icon in a circular green gradient badge. The checkmark draws itself with a stroke animation (0.5s) on screen entry. The icon is centered horizontally above the headline.</w:t>
            </w:r>
          </w:p>
        </w:tc>
      </w:tr>
      <w:tr>
        <w:tc>
          <w:tcPr>
            <w:tcW w:type="dxa" w:w="252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bCs/>
                <w:sz w:val="20"/>
                <w:szCs w:val="20"/>
              </w:rPr>
              <w:t xml:space="preserve">Headline Block</w:t>
            </w:r>
          </w:p>
        </w:tc>
        <w:tc>
          <w:tcPr>
            <w:tcW w:type="dxa" w:w="68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"You're all set, [First Name]!" — H1 heading personalized with the member's first name, in dark green (#1B4332). Subtitle: "Welcome to the ROCA community. Your journey starts now." Centered, with generous vertical padding.</w:t>
            </w:r>
          </w:p>
        </w:tc>
      </w:tr>
      <w:tr>
        <w:tc>
          <w:tcPr>
            <w:tcW w:type="dxa" w:w="2520"/>
            <w:tcBorders>
              <w:top w:val="single" w:color="CCCCCC" w:sz="1"/>
              <w:left w:val="single" w:color="CCCCCC" w:sz="1"/>
              <w:bottom w:val="single" w:color="CCCCCC" w:sz="1"/>
              <w:right w:val="single" w:color="CCCCCC" w:sz="1"/>
            </w:tcBorders>
            <w:shd w:fill="F0FDF4" w:val="clear"/>
          </w:tcPr>
          <w:p>
            <w:pPr>
              <w:spacing w:after="80"/>
              <w:jc w:val="left"/>
            </w:pPr>
            <w:r>
              <w:rPr>
                <w:rFonts w:ascii="Arial" w:cs="Arial" w:eastAsia="Arial" w:hAnsi="Arial"/>
                <w:b/>
                <w:bCs/>
                <w:sz w:val="20"/>
                <w:szCs w:val="20"/>
              </w:rPr>
              <w:t xml:space="preserve">Profile Summary Card</w:t>
            </w:r>
          </w:p>
        </w:tc>
        <w:tc>
          <w:tcPr>
            <w:tcW w:type="dxa" w:w="68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A rounded white summary card with a subtle shadow showing a brief recap of the member's onboarding selections: Campus, selected interests (shown as mini chips, up to 5 then "+N more"), serving availability summary (e.g., "Sunday mornings"), and notification channels configured. An [Edit Profile] link in muted green opens the Settings &gt; Profile page.</w:t>
            </w:r>
          </w:p>
        </w:tc>
      </w:tr>
      <w:tr>
        <w:tc>
          <w:tcPr>
            <w:tcW w:type="dxa" w:w="252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bCs/>
                <w:sz w:val="20"/>
                <w:szCs w:val="20"/>
              </w:rPr>
              <w:t xml:space="preserve">Next Steps List</w:t>
            </w:r>
          </w:p>
        </w:tc>
        <w:tc>
          <w:tcPr>
            <w:tcW w:type="dxa" w:w="68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A 3-item icon list showing suggested first actions: (1) 📅 "Browse upcoming events" — links to Calendar. (2) 👥 "Connect with your matched groups" — links to Groups. (3) 🙏 "Explore serving opportunities" — links to Serve. Each item is a tappable row with a right-arrow chevron.</w:t>
            </w:r>
          </w:p>
        </w:tc>
      </w:tr>
      <w:tr>
        <w:tc>
          <w:tcPr>
            <w:tcW w:type="dxa" w:w="2520"/>
            <w:tcBorders>
              <w:top w:val="single" w:color="CCCCCC" w:sz="1"/>
              <w:left w:val="single" w:color="CCCCCC" w:sz="1"/>
              <w:bottom w:val="single" w:color="CCCCCC" w:sz="1"/>
              <w:right w:val="single" w:color="CCCCCC" w:sz="1"/>
            </w:tcBorders>
            <w:shd w:fill="F0FDF4" w:val="clear"/>
          </w:tcPr>
          <w:p>
            <w:pPr>
              <w:spacing w:after="80"/>
              <w:jc w:val="left"/>
            </w:pPr>
            <w:r>
              <w:rPr>
                <w:rFonts w:ascii="Arial" w:cs="Arial" w:eastAsia="Arial" w:hAnsi="Arial"/>
                <w:b/>
                <w:bCs/>
                <w:sz w:val="20"/>
                <w:szCs w:val="20"/>
              </w:rPr>
              <w:t xml:space="preserve">CTA Buttons</w:t>
            </w:r>
          </w:p>
        </w:tc>
        <w:tc>
          <w:tcPr>
            <w:tcW w:type="dxa" w:w="68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[Take the Tour] — primary filled dark green button. Launches the in-app contextual product tour overlay. [Go to Dashboard] — secondary outlined green button. Navigates directly to the member's personalized Dashboard without a tour. Both buttons are full-width on mobile; side by side on desktop.</w:t>
            </w:r>
          </w:p>
        </w:tc>
      </w:tr>
      <w:tr>
        <w:tc>
          <w:tcPr>
            <w:tcW w:type="dxa" w:w="252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bCs/>
                <w:sz w:val="20"/>
                <w:szCs w:val="20"/>
              </w:rPr>
              <w:t xml:space="preserve">Footer Note</w:t>
            </w:r>
          </w:p>
        </w:tc>
        <w:tc>
          <w:tcPr>
            <w:tcW w:type="dxa" w:w="68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Small muted text below the CTAs: "You can replay the tour at any time from Help &gt; Take the Tour." Links the phrase "Help &gt; Take the Tour" to the Help center article.</w:t>
            </w:r>
          </w:p>
        </w:tc>
      </w:tr>
    </w:tbl>
    <w:p>
      <w:pPr>
        <w:spacing w:after="60"/>
      </w:pPr>
      <w:r>
        <w:t xml:space="preserve"/>
      </w:r>
    </w:p>
    <w:p>
      <w:pPr>
        <w:pStyle w:val="Heading2"/>
        <w:spacing w:after="100" w:before="280"/>
      </w:pPr>
      <w:r>
        <w:rPr>
          <w:rFonts w:ascii="Arial" w:cs="Arial" w:eastAsia="Arial" w:hAnsi="Arial"/>
          <w:b/>
          <w:bCs/>
          <w:color w:val="2D6A4F"/>
          <w:sz w:val="26"/>
          <w:szCs w:val="26"/>
        </w:rPr>
        <w:t xml:space="preserve">3.4  Onboarding Completion State Transitions</w:t>
      </w:r>
    </w:p>
    <w:p>
      <w:pPr>
        <w:pStyle w:val="BodyText"/>
      </w:pPr>
      <w:r>
        <w:rPr>
          <w:rFonts w:ascii="Arial" w:cs="Arial" w:eastAsia="Arial" w:hAnsi="Arial"/>
          <w:sz w:val="22"/>
          <w:szCs w:val="22"/>
        </w:rPr>
        <w:t xml:space="preserve">When the member arrives at Step 7 (whether via "Finish Setup" on Step 6 or via "Skip for now"), the following state transitions occur:</w:t>
      </w:r>
    </w:p>
    <w:p>
      <w:pPr>
        <w:pStyle w:val="ListParagraph"/>
        <w:numPr>
          <w:ilvl w:val="0"/>
          <w:numId w:val="2"/>
        </w:numPr>
      </w:pPr>
      <w:r>
        <w:rPr>
          <w:rFonts w:ascii="Arial" w:cs="Arial" w:eastAsia="Arial" w:hAnsi="Arial"/>
          <w:color w:val="374151"/>
          <w:sz w:val="22"/>
          <w:szCs w:val="22"/>
        </w:rPr>
        <w:t xml:space="preserve">member.onboarding_step is set to 7.</w:t>
      </w:r>
    </w:p>
    <w:p>
      <w:pPr>
        <w:pStyle w:val="ListParagraph"/>
        <w:numPr>
          <w:ilvl w:val="0"/>
          <w:numId w:val="2"/>
        </w:numPr>
      </w:pPr>
      <w:r>
        <w:rPr>
          <w:rFonts w:ascii="Arial" w:cs="Arial" w:eastAsia="Arial" w:hAnsi="Arial"/>
          <w:color w:val="374151"/>
          <w:sz w:val="22"/>
          <w:szCs w:val="22"/>
        </w:rPr>
        <w:t xml:space="preserve">member.onboarding_status transitions from ONBOARDING_IN_PROGRESS to ONBOARDING_COMPLETE.</w:t>
      </w:r>
    </w:p>
    <w:p>
      <w:pPr>
        <w:pStyle w:val="ListParagraph"/>
        <w:numPr>
          <w:ilvl w:val="0"/>
          <w:numId w:val="2"/>
        </w:numPr>
      </w:pPr>
      <w:r>
        <w:rPr>
          <w:rFonts w:ascii="Arial" w:cs="Arial" w:eastAsia="Arial" w:hAnsi="Arial"/>
          <w:color w:val="374151"/>
          <w:sz w:val="22"/>
          <w:szCs w:val="22"/>
        </w:rPr>
        <w:t xml:space="preserve">member.onboarding_completed_at is stamped with the current UTC timestamp.</w:t>
      </w:r>
    </w:p>
    <w:p>
      <w:pPr>
        <w:pStyle w:val="ListParagraph"/>
        <w:numPr>
          <w:ilvl w:val="0"/>
          <w:numId w:val="2"/>
        </w:numPr>
      </w:pPr>
      <w:r>
        <w:rPr>
          <w:rFonts w:ascii="Arial" w:cs="Arial" w:eastAsia="Arial" w:hAnsi="Arial"/>
          <w:color w:val="374151"/>
          <w:sz w:val="22"/>
          <w:szCs w:val="22"/>
        </w:rPr>
        <w:t xml:space="preserve">The onboarding wizard is no longer shown on subsequent logins; the member lands directly on the Dashboard.</w:t>
      </w:r>
    </w:p>
    <w:p>
      <w:pPr>
        <w:pStyle w:val="ListParagraph"/>
        <w:numPr>
          <w:ilvl w:val="0"/>
          <w:numId w:val="2"/>
        </w:numPr>
      </w:pPr>
      <w:r>
        <w:rPr>
          <w:rFonts w:ascii="Arial" w:cs="Arial" w:eastAsia="Arial" w:hAnsi="Arial"/>
          <w:color w:val="374151"/>
          <w:sz w:val="22"/>
          <w:szCs w:val="22"/>
        </w:rPr>
        <w:t xml:space="preserve">The wizard state in the Zustand store is cleared and the onboarding_step cookie is removed.</w:t>
      </w:r>
    </w:p>
    <w:p>
      <w:pPr>
        <w:spacing w:after="60"/>
      </w:pPr>
      <w:r>
        <w:t xml:space="preserve"/>
      </w:r>
    </w:p>
    <w:p>
      <w:pPr>
        <w:pStyle w:val="Heading2"/>
        <w:spacing w:after="100" w:before="280"/>
      </w:pPr>
      <w:r>
        <w:rPr>
          <w:rFonts w:ascii="Arial" w:cs="Arial" w:eastAsia="Arial" w:hAnsi="Arial"/>
          <w:b/>
          <w:bCs/>
          <w:color w:val="2D6A4F"/>
          <w:sz w:val="26"/>
          <w:szCs w:val="26"/>
        </w:rPr>
        <w:t xml:space="preserve">3.5  Post-Onboarding Engagement Automation</w:t>
      </w:r>
    </w:p>
    <w:p>
      <w:pPr>
        <w:pStyle w:val="BodyText"/>
      </w:pPr>
      <w:r>
        <w:rPr>
          <w:rFonts w:ascii="Arial" w:cs="Arial" w:eastAsia="Arial" w:hAnsi="Arial"/>
          <w:sz w:val="22"/>
          <w:szCs w:val="22"/>
        </w:rPr>
        <w:t xml:space="preserve">Completion of Step 7 fires an ONBOARDING_COMPLETED event to the internal event bus (Redis Pub/Sub). This event triggers the following automation pipeline in sequence:</w:t>
      </w:r>
    </w:p>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2700"/>
        <w:gridCol w:w="3060"/>
        <w:gridCol w:w="2880"/>
      </w:tblGrid>
      <w:tr>
        <w:trPr>
          <w:tblHeader/>
        </w:trPr>
        <w:tc>
          <w:tcPr>
            <w:tcW w:type="dxa" w:w="72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w:t>
            </w:r>
          </w:p>
        </w:tc>
        <w:tc>
          <w:tcPr>
            <w:tcW w:type="dxa" w:w="270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Automation Event</w:t>
            </w:r>
          </w:p>
        </w:tc>
        <w:tc>
          <w:tcPr>
            <w:tcW w:type="dxa" w:w="306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Trigger &amp; Timing</w:t>
            </w:r>
          </w:p>
        </w:tc>
        <w:tc>
          <w:tcPr>
            <w:tcW w:type="dxa" w:w="288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Payload / Content</w:t>
            </w:r>
          </w:p>
        </w:tc>
      </w:tr>
      <w:tr>
        <w:tc>
          <w:tcPr>
            <w:tcW w:type="dxa" w:w="720"/>
            <w:tcBorders>
              <w:top w:val="single" w:color="CCCCCC" w:sz="1"/>
              <w:left w:val="single" w:color="CCCCCC" w:sz="1"/>
              <w:bottom w:val="single" w:color="CCCCCC" w:sz="1"/>
              <w:right w:val="single" w:color="CCCCCC" w:sz="1"/>
            </w:tcBorders>
            <w:shd w:fill="FFFFFF" w:val="clear"/>
          </w:tcPr>
          <w:p>
            <w:pPr>
              <w:spacing w:after="80"/>
              <w:jc w:val="center"/>
            </w:pPr>
            <w:r>
              <w:rPr>
                <w:rFonts w:ascii="Arial" w:cs="Arial" w:eastAsia="Arial" w:hAnsi="Arial"/>
                <w:b/>
                <w:bCs/>
                <w:sz w:val="20"/>
                <w:szCs w:val="20"/>
              </w:rPr>
              <w:t xml:space="preserve">1</w:t>
            </w:r>
          </w:p>
        </w:tc>
        <w:tc>
          <w:tcPr>
            <w:tcW w:type="dxa" w:w="270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Welcome Email</w:t>
            </w:r>
          </w:p>
        </w:tc>
        <w:tc>
          <w:tcPr>
            <w:tcW w:type="dxa" w:w="306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Fired immediately via SendGrid transactional email queue</w:t>
            </w:r>
          </w:p>
        </w:tc>
        <w:tc>
          <w:tcPr>
            <w:tcW w:type="dxa" w:w="288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Personalized welcome email addressed to first name, summarizing their campus, interests, and next-step links to Calendar, Groups, and Serve.</w:t>
            </w:r>
          </w:p>
        </w:tc>
      </w:tr>
      <w:tr>
        <w:tc>
          <w:tcPr>
            <w:tcW w:type="dxa" w:w="720"/>
            <w:tcBorders>
              <w:top w:val="single" w:color="CCCCCC" w:sz="1"/>
              <w:left w:val="single" w:color="CCCCCC" w:sz="1"/>
              <w:bottom w:val="single" w:color="CCCCCC" w:sz="1"/>
              <w:right w:val="single" w:color="CCCCCC" w:sz="1"/>
            </w:tcBorders>
            <w:shd w:fill="F9FAFB" w:val="clear"/>
          </w:tcPr>
          <w:p>
            <w:pPr>
              <w:spacing w:after="80"/>
              <w:jc w:val="center"/>
            </w:pPr>
            <w:r>
              <w:rPr>
                <w:rFonts w:ascii="Arial" w:cs="Arial" w:eastAsia="Arial" w:hAnsi="Arial"/>
                <w:b/>
                <w:bCs/>
                <w:sz w:val="20"/>
                <w:szCs w:val="20"/>
              </w:rPr>
              <w:t xml:space="preserve">2</w:t>
            </w:r>
          </w:p>
        </w:tc>
        <w:tc>
          <w:tcPr>
            <w:tcW w:type="dxa" w:w="270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"Your Journey Begins" Push Notification</w:t>
            </w:r>
          </w:p>
        </w:tc>
        <w:tc>
          <w:tcPr>
            <w:tcW w:type="dxa" w:w="306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Sent 2 minutes after ONBOARDING_COMPLETED (delayed job via BullMQ)</w:t>
            </w:r>
          </w:p>
        </w:tc>
        <w:tc>
          <w:tcPr>
            <w:tcW w:type="dxa" w:w="288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Push body: "Welcome to ROCA, [First Name]! Tap to see what's happening this week." Deep-links to the Events tab.</w:t>
            </w:r>
          </w:p>
        </w:tc>
      </w:tr>
      <w:tr>
        <w:tc>
          <w:tcPr>
            <w:tcW w:type="dxa" w:w="720"/>
            <w:tcBorders>
              <w:top w:val="single" w:color="CCCCCC" w:sz="1"/>
              <w:left w:val="single" w:color="CCCCCC" w:sz="1"/>
              <w:bottom w:val="single" w:color="CCCCCC" w:sz="1"/>
              <w:right w:val="single" w:color="CCCCCC" w:sz="1"/>
            </w:tcBorders>
            <w:shd w:fill="FFFFFF" w:val="clear"/>
          </w:tcPr>
          <w:p>
            <w:pPr>
              <w:spacing w:after="80"/>
              <w:jc w:val="center"/>
            </w:pPr>
            <w:r>
              <w:rPr>
                <w:rFonts w:ascii="Arial" w:cs="Arial" w:eastAsia="Arial" w:hAnsi="Arial"/>
                <w:b/>
                <w:bCs/>
                <w:sz w:val="20"/>
                <w:szCs w:val="20"/>
              </w:rPr>
              <w:t xml:space="preserve">3</w:t>
            </w:r>
          </w:p>
        </w:tc>
        <w:tc>
          <w:tcPr>
            <w:tcW w:type="dxa" w:w="270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Dashboard Onboarding Checklist Widget</w:t>
            </w:r>
          </w:p>
        </w:tc>
        <w:tc>
          <w:tcPr>
            <w:tcW w:type="dxa" w:w="306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Created synchronously on ONBOARDING_COMPLETED; widget appears on first Dashboard load</w:t>
            </w:r>
          </w:p>
        </w:tc>
        <w:tc>
          <w:tcPr>
            <w:tcW w:type="dxa" w:w="288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Shows 5 suggested actions: View an event, Join a group, Set up giving, Update profile photo, Explore Serve. Each item can be dismissed individually.</w:t>
            </w:r>
          </w:p>
        </w:tc>
      </w:tr>
      <w:tr>
        <w:tc>
          <w:tcPr>
            <w:tcW w:type="dxa" w:w="720"/>
            <w:tcBorders>
              <w:top w:val="single" w:color="CCCCCC" w:sz="1"/>
              <w:left w:val="single" w:color="CCCCCC" w:sz="1"/>
              <w:bottom w:val="single" w:color="CCCCCC" w:sz="1"/>
              <w:right w:val="single" w:color="CCCCCC" w:sz="1"/>
            </w:tcBorders>
            <w:shd w:fill="F9FAFB" w:val="clear"/>
          </w:tcPr>
          <w:p>
            <w:pPr>
              <w:spacing w:after="80"/>
              <w:jc w:val="center"/>
            </w:pPr>
            <w:r>
              <w:rPr>
                <w:rFonts w:ascii="Arial" w:cs="Arial" w:eastAsia="Arial" w:hAnsi="Arial"/>
                <w:b/>
                <w:bCs/>
                <w:sz w:val="20"/>
                <w:szCs w:val="20"/>
              </w:rPr>
              <w:t xml:space="preserve">4</w:t>
            </w:r>
          </w:p>
        </w:tc>
        <w:tc>
          <w:tcPr>
            <w:tcW w:type="dxa" w:w="270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Day 3 Check-In Email</w:t>
            </w:r>
          </w:p>
        </w:tc>
        <w:tc>
          <w:tcPr>
            <w:tcW w:type="dxa" w:w="306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Scheduled 3 days after onboarding_completed_at (BullMQ delayed job)</w:t>
            </w:r>
          </w:p>
        </w:tc>
        <w:tc>
          <w:tcPr>
            <w:tcW w:type="dxa" w:w="288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"How's your first week going?" email with personalized upcoming events from the member's campus and matched groups.</w:t>
            </w:r>
          </w:p>
        </w:tc>
      </w:tr>
      <w:tr>
        <w:tc>
          <w:tcPr>
            <w:tcW w:type="dxa" w:w="720"/>
            <w:tcBorders>
              <w:top w:val="single" w:color="CCCCCC" w:sz="1"/>
              <w:left w:val="single" w:color="CCCCCC" w:sz="1"/>
              <w:bottom w:val="single" w:color="CCCCCC" w:sz="1"/>
              <w:right w:val="single" w:color="CCCCCC" w:sz="1"/>
            </w:tcBorders>
            <w:shd w:fill="FFFFFF" w:val="clear"/>
          </w:tcPr>
          <w:p>
            <w:pPr>
              <w:spacing w:after="80"/>
              <w:jc w:val="center"/>
            </w:pPr>
            <w:r>
              <w:rPr>
                <w:rFonts w:ascii="Arial" w:cs="Arial" w:eastAsia="Arial" w:hAnsi="Arial"/>
                <w:b/>
                <w:bCs/>
                <w:sz w:val="20"/>
                <w:szCs w:val="20"/>
              </w:rPr>
              <w:t xml:space="preserve">5</w:t>
            </w:r>
          </w:p>
        </w:tc>
        <w:tc>
          <w:tcPr>
            <w:tcW w:type="dxa" w:w="270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Day 7 Group Connection Nudge</w:t>
            </w:r>
          </w:p>
        </w:tc>
        <w:tc>
          <w:tcPr>
            <w:tcW w:type="dxa" w:w="306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Scheduled 7 days after onboarding_completed_at if member has not yet joined any group</w:t>
            </w:r>
          </w:p>
        </w:tc>
        <w:tc>
          <w:tcPr>
            <w:tcW w:type="dxa" w:w="288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Push + email: "You haven't connected with a group yet — here are 3 that match your interests." Renders group preview cards.</w:t>
            </w:r>
          </w:p>
        </w:tc>
      </w:tr>
      <w:tr>
        <w:tc>
          <w:tcPr>
            <w:tcW w:type="dxa" w:w="720"/>
            <w:tcBorders>
              <w:top w:val="single" w:color="CCCCCC" w:sz="1"/>
              <w:left w:val="single" w:color="CCCCCC" w:sz="1"/>
              <w:bottom w:val="single" w:color="CCCCCC" w:sz="1"/>
              <w:right w:val="single" w:color="CCCCCC" w:sz="1"/>
            </w:tcBorders>
            <w:shd w:fill="F9FAFB" w:val="clear"/>
          </w:tcPr>
          <w:p>
            <w:pPr>
              <w:spacing w:after="80"/>
              <w:jc w:val="center"/>
            </w:pPr>
            <w:r>
              <w:rPr>
                <w:rFonts w:ascii="Arial" w:cs="Arial" w:eastAsia="Arial" w:hAnsi="Arial"/>
                <w:b/>
                <w:bCs/>
                <w:sz w:val="20"/>
                <w:szCs w:val="20"/>
              </w:rPr>
              <w:t xml:space="preserve">6</w:t>
            </w:r>
          </w:p>
        </w:tc>
        <w:tc>
          <w:tcPr>
            <w:tcW w:type="dxa" w:w="270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30-Day Volunteer Nudge</w:t>
            </w:r>
          </w:p>
        </w:tc>
        <w:tc>
          <w:tcPr>
            <w:tcW w:type="dxa" w:w="306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Fired 30 days post-completion if volunteer_profile is empty or gifts_unknown = true</w:t>
            </w:r>
          </w:p>
        </w:tc>
        <w:tc>
          <w:tcPr>
            <w:tcW w:type="dxa" w:w="288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"Ready to serve? Set your volunteer preferences to get matched with a team." Deep-links to Serve &gt; My Profile.</w:t>
            </w:r>
          </w:p>
        </w:tc>
      </w:tr>
      <w:tr>
        <w:tc>
          <w:tcPr>
            <w:tcW w:type="dxa" w:w="720"/>
            <w:tcBorders>
              <w:top w:val="single" w:color="CCCCCC" w:sz="1"/>
              <w:left w:val="single" w:color="CCCCCC" w:sz="1"/>
              <w:bottom w:val="single" w:color="CCCCCC" w:sz="1"/>
              <w:right w:val="single" w:color="CCCCCC" w:sz="1"/>
            </w:tcBorders>
            <w:shd w:fill="FFFFFF" w:val="clear"/>
          </w:tcPr>
          <w:p>
            <w:pPr>
              <w:spacing w:after="80"/>
              <w:jc w:val="center"/>
            </w:pPr>
            <w:r>
              <w:rPr>
                <w:rFonts w:ascii="Arial" w:cs="Arial" w:eastAsia="Arial" w:hAnsi="Arial"/>
                <w:b/>
                <w:bCs/>
                <w:sz w:val="20"/>
                <w:szCs w:val="20"/>
              </w:rPr>
              <w:t xml:space="preserve">7</w:t>
            </w:r>
          </w:p>
        </w:tc>
        <w:tc>
          <w:tcPr>
            <w:tcW w:type="dxa" w:w="270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Admin Welcome Notification</w:t>
            </w:r>
          </w:p>
        </w:tc>
        <w:tc>
          <w:tcPr>
            <w:tcW w:type="dxa" w:w="306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In-app notification sent to org admins immediately on ONBOARDING_COMPLETED</w:t>
            </w:r>
          </w:p>
        </w:tc>
        <w:tc>
          <w:tcPr>
            <w:tcW w:type="dxa" w:w="288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Admin alert: "[First Name Last Name] completed onboarding and joined [Campus Name]." Links to the Admin &gt; Members detail page.</w:t>
            </w:r>
          </w:p>
        </w:tc>
      </w:tr>
    </w:tbl>
    <w:p>
      <w:pPr>
        <w:spacing w:after="60"/>
      </w:pPr>
      <w:r>
        <w:t xml:space="preserve"/>
      </w:r>
    </w:p>
    <w:p>
      <w:pPr>
        <w:pStyle w:val="Heading2"/>
        <w:spacing w:after="100" w:before="280"/>
      </w:pPr>
      <w:r>
        <w:rPr>
          <w:rFonts w:ascii="Arial" w:cs="Arial" w:eastAsia="Arial" w:hAnsi="Arial"/>
          <w:b/>
          <w:bCs/>
          <w:color w:val="2D6A4F"/>
          <w:sz w:val="26"/>
          <w:szCs w:val="26"/>
        </w:rPr>
        <w:t xml:space="preserve">3.6  Welcome Tour — Tour Steps</w:t>
      </w:r>
    </w:p>
    <w:p>
      <w:pPr>
        <w:pStyle w:val="BodyText"/>
      </w:pPr>
      <w:r>
        <w:rPr>
          <w:rFonts w:ascii="Arial" w:cs="Arial" w:eastAsia="Arial" w:hAnsi="Arial"/>
          <w:sz w:val="22"/>
          <w:szCs w:val="22"/>
        </w:rPr>
        <w:t xml:space="preserve">When the member taps [Take the Tour], the contextual product tour activates with the following 5 tooltip stops:</w:t>
      </w:r>
    </w:p>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3420"/>
        <w:gridCol w:w="3420"/>
      </w:tblGrid>
      <w:tr>
        <w:trPr>
          <w:tblHeader/>
        </w:trPr>
        <w:tc>
          <w:tcPr>
            <w:tcW w:type="dxa" w:w="72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Stop</w:t>
            </w:r>
          </w:p>
        </w:tc>
        <w:tc>
          <w:tcPr>
            <w:tcW w:type="dxa" w:w="180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Target Element</w:t>
            </w:r>
          </w:p>
        </w:tc>
        <w:tc>
          <w:tcPr>
            <w:tcW w:type="dxa" w:w="342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Tooltip Title &amp; Body</w:t>
            </w:r>
          </w:p>
        </w:tc>
        <w:tc>
          <w:tcPr>
            <w:tcW w:type="dxa" w:w="342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CTA</w:t>
            </w:r>
          </w:p>
        </w:tc>
      </w:tr>
      <w:tr>
        <w:tc>
          <w:tcPr>
            <w:tcW w:type="dxa" w:w="720"/>
            <w:tcBorders>
              <w:top w:val="single" w:color="CCCCCC" w:sz="1"/>
              <w:left w:val="single" w:color="CCCCCC" w:sz="1"/>
              <w:bottom w:val="single" w:color="CCCCCC" w:sz="1"/>
              <w:right w:val="single" w:color="CCCCCC" w:sz="1"/>
            </w:tcBorders>
            <w:shd w:fill="FFFFFF" w:val="clear"/>
          </w:tcPr>
          <w:p>
            <w:pPr>
              <w:spacing w:after="80"/>
              <w:jc w:val="center"/>
            </w:pPr>
            <w:r>
              <w:rPr>
                <w:rFonts w:ascii="Arial" w:cs="Arial" w:eastAsia="Arial" w:hAnsi="Arial"/>
                <w:b/>
                <w:bCs/>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Home / Dashboard nav item</w:t>
            </w:r>
          </w:p>
        </w:tc>
        <w:tc>
          <w:tcPr>
            <w:tcW w:type="dxa" w:w="342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"Your Home Base — This is your personal dashboard. See upcoming events, group activity, and announcements tailored to your campus and interests."</w:t>
            </w:r>
          </w:p>
        </w:tc>
        <w:tc>
          <w:tcPr>
            <w:tcW w:type="dxa" w:w="342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[Next -&gt;]</w:t>
            </w:r>
          </w:p>
        </w:tc>
      </w:tr>
      <w:tr>
        <w:tc>
          <w:tcPr>
            <w:tcW w:type="dxa" w:w="720"/>
            <w:tcBorders>
              <w:top w:val="single" w:color="CCCCCC" w:sz="1"/>
              <w:left w:val="single" w:color="CCCCCC" w:sz="1"/>
              <w:bottom w:val="single" w:color="CCCCCC" w:sz="1"/>
              <w:right w:val="single" w:color="CCCCCC" w:sz="1"/>
            </w:tcBorders>
            <w:shd w:fill="F9FAFB" w:val="clear"/>
          </w:tcPr>
          <w:p>
            <w:pPr>
              <w:spacing w:after="80"/>
              <w:jc w:val="center"/>
            </w:pPr>
            <w:r>
              <w:rPr>
                <w:rFonts w:ascii="Arial" w:cs="Arial" w:eastAsia="Arial" w:hAnsi="Arial"/>
                <w:b/>
                <w:bCs/>
                <w:sz w:val="20"/>
                <w:szCs w:val="20"/>
              </w:rPr>
              <w:t xml:space="preserve">2</w:t>
            </w:r>
          </w:p>
        </w:tc>
        <w:tc>
          <w:tcPr>
            <w:tcW w:type="dxa" w:w="180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Calendar nav item</w:t>
            </w:r>
          </w:p>
        </w:tc>
        <w:tc>
          <w:tcPr>
            <w:tcW w:type="dxa" w:w="342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"Your Church Calendar — Browse and RSVP to all events at your campus. Filter by ministry, group, or date. Syncs with your personal calendar if connected."</w:t>
            </w:r>
          </w:p>
        </w:tc>
        <w:tc>
          <w:tcPr>
            <w:tcW w:type="dxa" w:w="342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[Next -&gt;]</w:t>
            </w:r>
          </w:p>
        </w:tc>
      </w:tr>
      <w:tr>
        <w:tc>
          <w:tcPr>
            <w:tcW w:type="dxa" w:w="720"/>
            <w:tcBorders>
              <w:top w:val="single" w:color="CCCCCC" w:sz="1"/>
              <w:left w:val="single" w:color="CCCCCC" w:sz="1"/>
              <w:bottom w:val="single" w:color="CCCCCC" w:sz="1"/>
              <w:right w:val="single" w:color="CCCCCC" w:sz="1"/>
            </w:tcBorders>
            <w:shd w:fill="FFFFFF" w:val="clear"/>
          </w:tcPr>
          <w:p>
            <w:pPr>
              <w:spacing w:after="80"/>
              <w:jc w:val="center"/>
            </w:pPr>
            <w:r>
              <w:rPr>
                <w:rFonts w:ascii="Arial" w:cs="Arial" w:eastAsia="Arial" w:hAnsi="Arial"/>
                <w:b/>
                <w:bCs/>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Groups nav item</w:t>
            </w:r>
          </w:p>
        </w:tc>
        <w:tc>
          <w:tcPr>
            <w:tcW w:type="dxa" w:w="342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"Your Community — Discover and join small groups, ministry teams, and interest-based communities. Your matched groups from onboarding are already waiting for you here."</w:t>
            </w:r>
          </w:p>
        </w:tc>
        <w:tc>
          <w:tcPr>
            <w:tcW w:type="dxa" w:w="342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[Next -&gt;]</w:t>
            </w:r>
          </w:p>
        </w:tc>
      </w:tr>
      <w:tr>
        <w:tc>
          <w:tcPr>
            <w:tcW w:type="dxa" w:w="720"/>
            <w:tcBorders>
              <w:top w:val="single" w:color="CCCCCC" w:sz="1"/>
              <w:left w:val="single" w:color="CCCCCC" w:sz="1"/>
              <w:bottom w:val="single" w:color="CCCCCC" w:sz="1"/>
              <w:right w:val="single" w:color="CCCCCC" w:sz="1"/>
            </w:tcBorders>
            <w:shd w:fill="F9FAFB" w:val="clear"/>
          </w:tcPr>
          <w:p>
            <w:pPr>
              <w:spacing w:after="80"/>
              <w:jc w:val="center"/>
            </w:pPr>
            <w:r>
              <w:rPr>
                <w:rFonts w:ascii="Arial" w:cs="Arial" w:eastAsia="Arial" w:hAnsi="Arial"/>
                <w:b/>
                <w:bCs/>
                <w:sz w:val="20"/>
                <w:szCs w:val="20"/>
              </w:rPr>
              <w:t xml:space="preserve">4</w:t>
            </w:r>
          </w:p>
        </w:tc>
        <w:tc>
          <w:tcPr>
            <w:tcW w:type="dxa" w:w="180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Serve nav item</w:t>
            </w:r>
          </w:p>
        </w:tc>
        <w:tc>
          <w:tcPr>
            <w:tcW w:type="dxa" w:w="342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"Make a Difference — View volunteer opportunities, sign up for serving schedules, and track your serving history. Ministry team leaders will contact you based on your preferences."</w:t>
            </w:r>
          </w:p>
        </w:tc>
        <w:tc>
          <w:tcPr>
            <w:tcW w:type="dxa" w:w="342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[Next -&gt;]</w:t>
            </w:r>
          </w:p>
        </w:tc>
      </w:tr>
      <w:tr>
        <w:tc>
          <w:tcPr>
            <w:tcW w:type="dxa" w:w="720"/>
            <w:tcBorders>
              <w:top w:val="single" w:color="CCCCCC" w:sz="1"/>
              <w:left w:val="single" w:color="CCCCCC" w:sz="1"/>
              <w:bottom w:val="single" w:color="CCCCCC" w:sz="1"/>
              <w:right w:val="single" w:color="CCCCCC" w:sz="1"/>
            </w:tcBorders>
            <w:shd w:fill="FFFFFF" w:val="clear"/>
          </w:tcPr>
          <w:p>
            <w:pPr>
              <w:spacing w:after="80"/>
              <w:jc w:val="center"/>
            </w:pPr>
            <w:r>
              <w:rPr>
                <w:rFonts w:ascii="Arial" w:cs="Arial" w:eastAsia="Arial" w:hAnsi="Arial"/>
                <w:b/>
                <w:bCs/>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Give nav item</w:t>
            </w:r>
          </w:p>
        </w:tc>
        <w:tc>
          <w:tcPr>
            <w:tcW w:type="dxa" w:w="342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"Give Generously — Set up one-time or recurring giving to the church, specific ministry funds, or special campaigns. All transactions are secure and receipts are emailed automatically."</w:t>
            </w:r>
          </w:p>
        </w:tc>
        <w:tc>
          <w:tcPr>
            <w:tcW w:type="dxa" w:w="342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[Finish Tour]</w:t>
            </w:r>
          </w:p>
        </w:tc>
      </w:tr>
    </w:tbl>
    <w:p>
      <w:pPr>
        <w:spacing w:after="60"/>
      </w:pPr>
      <w:r>
        <w:t xml:space="preserve"/>
      </w:r>
    </w:p>
    <w:p>
      <w:pPr>
        <w:pStyle w:val="BodyText"/>
      </w:pPr>
      <w:r>
        <w:rPr>
          <w:rFonts w:ascii="Arial" w:cs="Arial" w:eastAsia="Arial" w:hAnsi="Arial"/>
          <w:sz w:val="22"/>
          <w:szCs w:val="22"/>
        </w:rPr>
        <w:t xml:space="preserve">After the final tour stop, a "Tour complete!" micro-animation plays (same checkmark draw animation as the success icon) and the member is navigated to the Dashboard. The tour can be dismissed at any stop with an [X] close button; dismissal is recorded in member_preferences.tour_dismissed = true so the tour prompt does not re-appear on subsequent logins (though it remains accessible from Help).</w:t>
      </w:r>
    </w:p>
    <w:p>
      <w:pPr>
        <w:spacing w:after="60"/>
      </w:pPr>
      <w:r>
        <w:t xml:space="preserve"/>
      </w:r>
    </w:p>
    <w:p>
      <w:pPr>
        <w:pStyle w:val="Heading2"/>
        <w:spacing w:after="100" w:before="280"/>
      </w:pPr>
      <w:r>
        <w:rPr>
          <w:rFonts w:ascii="Arial" w:cs="Arial" w:eastAsia="Arial" w:hAnsi="Arial"/>
          <w:b/>
          <w:bCs/>
          <w:color w:val="2D6A4F"/>
          <w:sz w:val="26"/>
          <w:szCs w:val="26"/>
        </w:rPr>
        <w:t xml:space="preserve">3.7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Trigger</w:t>
            </w:r>
          </w:p>
        </w:tc>
        <w:tc>
          <w:tcPr>
            <w:tcW w:type="dxa" w:w="324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System Action</w:t>
            </w:r>
          </w:p>
        </w:tc>
        <w:tc>
          <w:tcPr>
            <w:tcW w:type="dxa" w:w="324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User Feedback</w:t>
            </w:r>
          </w:p>
        </w:tc>
      </w:tr>
      <w:tr>
        <w:tc>
          <w:tcPr>
            <w:tcW w:type="dxa" w:w="288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Screen entry (from Step 6)</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ONBOARDING_COMPLETED event fired; all automation jobs queued; onboarding_status = COMPLETE</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Confetti animation plays; success icon draws; progress bar shows all 7 green pills</w:t>
            </w:r>
          </w:p>
        </w:tc>
      </w:tr>
      <w:tr>
        <w:tc>
          <w:tcPr>
            <w:tcW w:type="dxa" w:w="288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Screen entry (via Skip on Step 6)</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Same ONBOARDING_COMPLETED event; skipped notification preferences logged</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Same celebratory animation; "Complete your notification settings" nudge queued for dashboard</w:t>
            </w:r>
          </w:p>
        </w:tc>
      </w:tr>
      <w:tr>
        <w:tc>
          <w:tcPr>
            <w:tcW w:type="dxa" w:w="288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[Take the Tour] tap</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Tour state initialized; member_preferences.tour_started = true recorded</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First tour tooltip appears anchored to Home nav item; backdrop dims rest of UI</w:t>
            </w:r>
          </w:p>
        </w:tc>
      </w:tr>
      <w:tr>
        <w:tc>
          <w:tcPr>
            <w:tcW w:type="dxa" w:w="288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[Next -&gt;] on any tour stop</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Tour advances to next stop; tooltip repositions with smooth animation</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Tooltip slides to next target element; progress dots at bottom of tooltip update</w:t>
            </w:r>
          </w:p>
        </w:tc>
      </w:tr>
      <w:tr>
        <w:tc>
          <w:tcPr>
            <w:tcW w:type="dxa" w:w="288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[X] dismiss tour</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member_preferences.tour_dismissed = true; tour overlay removed</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Tour tooltip fades out; member remains on current page (Dashboard)</w:t>
            </w:r>
          </w:p>
        </w:tc>
      </w:tr>
      <w:tr>
        <w:tc>
          <w:tcPr>
            <w:tcW w:type="dxa" w:w="288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[Finish Tour] on stop 5</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member_preferences.tour_completed = true; navigate to Dashboard</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"Tour complete!" micro-animation; smooth navigation to Dashboard</w:t>
            </w:r>
          </w:p>
        </w:tc>
      </w:tr>
      <w:tr>
        <w:tc>
          <w:tcPr>
            <w:tcW w:type="dxa" w:w="288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[Go to Dashboard] tap</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Navigate to /dashboard; no tour initialized</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Smooth page transition to personalized Dashboard; onboarding UI is permanently dismissed</w:t>
            </w:r>
          </w:p>
        </w:tc>
      </w:tr>
      <w:tr>
        <w:tc>
          <w:tcPr>
            <w:tcW w:type="dxa" w:w="288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Next-step list item tap</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Navigate to respective section: /calendar, /groups, or /serve</w:t>
            </w:r>
          </w:p>
        </w:tc>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Page transition; deep-links bypass dashboard and land directly in the feature area</w:t>
            </w:r>
          </w:p>
        </w:tc>
      </w:tr>
      <w:tr>
        <w:tc>
          <w:tcPr>
            <w:tcW w:type="dxa" w:w="288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[Edit Profile] link tap</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Navigate to /settings/profile; onboarding wizard state cleared</w:t>
            </w:r>
          </w:p>
        </w:tc>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Profile settings page loads; member can update any onboarding choices</w:t>
            </w:r>
          </w:p>
        </w:tc>
      </w:tr>
    </w:tbl>
    <w:p>
      <w:pPr>
        <w:spacing w:after="60"/>
      </w:pPr>
      <w:r>
        <w:t xml:space="preserve"/>
      </w:r>
    </w:p>
    <w:p>
      <w:pPr>
        <w:pStyle w:val="Heading2"/>
        <w:spacing w:after="100" w:before="280"/>
      </w:pPr>
      <w:r>
        <w:rPr>
          <w:rFonts w:ascii="Arial" w:cs="Arial" w:eastAsia="Arial" w:hAnsi="Arial"/>
          <w:b/>
          <w:bCs/>
          <w:color w:val="2D6A4F"/>
          <w:sz w:val="26"/>
          <w:szCs w:val="26"/>
        </w:rPr>
        <w:t xml:space="preserve">3.8  Design Notes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3"/>
              <w:left w:val="single" w:color="1B4332" w:sz="12"/>
              <w:bottom w:val="single" w:color="52B788" w:sz="3"/>
              <w:right w:val="single" w:color="52B788" w:sz="3"/>
            </w:tcBorders>
            <w:shd w:fill="F0FDF4" w:val="clear"/>
            <w:tcMar>
              <w:top w:type="dxa" w:w="120"/>
              <w:left w:type="dxa" w:w="180"/>
              <w:bottom w:type="dxa" w:w="120"/>
              <w:right w:type="dxa" w:w="180"/>
            </w:tcMar>
          </w:tcPr>
          <w:p>
            <w:pPr>
              <w:spacing w:after="80"/>
            </w:pPr>
            <w:r>
              <w:rPr>
                <w:rFonts w:ascii="Arial" w:cs="Arial" w:eastAsia="Arial" w:hAnsi="Arial"/>
                <w:b/>
                <w:bCs/>
                <w:color w:val="1B4332"/>
                <w:sz w:val="22"/>
                <w:szCs w:val="22"/>
              </w:rPr>
              <w:t xml:space="preserve">🎉  The Celebratory Moment — Why Design Investment Here Pays Off</w:t>
            </w:r>
          </w:p>
          <w:p>
            <w:pPr>
              <w:spacing w:after="80"/>
            </w:pPr>
            <w:r>
              <w:rPr>
                <w:rFonts w:ascii="Arial" w:cs="Arial" w:eastAsia="Arial" w:hAnsi="Arial"/>
                <w:color w:val="374151"/>
                <w:sz w:val="22"/>
                <w:szCs w:val="22"/>
              </w:rPr>
              <w:t xml:space="preserve">Onboarding completion is the highest-intent moment in a new member's lifecycle. Research in behavioral product design consistently shows that emotionally positive onboarding completions correlate with higher 30-day and 90-day retention rates. The confetti animation, personalized headline, and profile summary are not decorative — they are retention mechanics.</w:t>
            </w:r>
          </w:p>
          <w:p>
            <w:pPr>
              <w:spacing w:after="0"/>
            </w:pPr>
            <w:r>
              <w:rPr>
                <w:rFonts w:ascii="Arial" w:cs="Arial" w:eastAsia="Arial" w:hAnsi="Arial"/>
                <w:color w:val="374151"/>
                <w:sz w:val="22"/>
                <w:szCs w:val="22"/>
              </w:rPr>
              <w:t xml:space="preserve">The profile summary card on the completion screen serves a dual purpose: it gives the member a moment of recognition ("the system heard me") and it implicitly asks them to verify their choices — a technique that reduces post-onboarding unsubscribes and profile-reset requests.</w:t>
            </w:r>
          </w:p>
        </w:tc>
      </w:tr>
    </w:tbl>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3"/>
              <w:left w:val="single" w:color="1B4332" w:sz="12"/>
              <w:bottom w:val="single" w:color="52B788" w:sz="3"/>
              <w:right w:val="single" w:color="52B788" w:sz="3"/>
            </w:tcBorders>
            <w:shd w:fill="F0FDF4" w:val="clear"/>
            <w:tcMar>
              <w:top w:type="dxa" w:w="120"/>
              <w:left w:type="dxa" w:w="180"/>
              <w:bottom w:type="dxa" w:w="120"/>
              <w:right w:type="dxa" w:w="180"/>
            </w:tcMar>
          </w:tcPr>
          <w:p>
            <w:pPr>
              <w:spacing w:after="80"/>
            </w:pPr>
            <w:r>
              <w:rPr>
                <w:rFonts w:ascii="Arial" w:cs="Arial" w:eastAsia="Arial" w:hAnsi="Arial"/>
                <w:b/>
                <w:bCs/>
                <w:color w:val="1B4332"/>
                <w:sz w:val="22"/>
                <w:szCs w:val="22"/>
              </w:rPr>
              <w:t xml:space="preserve">⚡  Engagement Automation Architecture</w:t>
            </w:r>
          </w:p>
          <w:p>
            <w:pPr>
              <w:spacing w:after="80"/>
            </w:pPr>
            <w:r>
              <w:rPr>
                <w:rFonts w:ascii="Arial" w:cs="Arial" w:eastAsia="Arial" w:hAnsi="Arial"/>
                <w:color w:val="374151"/>
                <w:sz w:val="22"/>
                <w:szCs w:val="22"/>
              </w:rPr>
              <w:t xml:space="preserve">All 7 post-onboarding automation events (see Section 3.5) are driven by a single ONBOARDING_COMPLETED Redis event. The event carries the payload: { member_id, org_id, campus_id, completed_at, skipped_steps[] }. Each automation consumer is an independent BullMQ worker that reads this payload and executes its own logic.</w:t>
            </w:r>
          </w:p>
          <w:p>
            <w:pPr>
              <w:spacing w:after="80"/>
            </w:pPr>
            <w:r>
              <w:rPr>
                <w:rFonts w:ascii="Arial" w:cs="Arial" w:eastAsia="Arial" w:hAnsi="Arial"/>
                <w:color w:val="374151"/>
                <w:sz w:val="22"/>
                <w:szCs w:val="22"/>
              </w:rPr>
              <w:t xml:space="preserve">This decoupled architecture ensures that: (a) a failure in the Day 3 email job does not affect the Welcome Email job; (b) new automation events can be added without modifying the Step 7 screen code; (c) automation jobs can be retried independently if they fail (up to 3 retries with exponential back-off).</w:t>
            </w:r>
          </w:p>
          <w:p>
            <w:pPr>
              <w:spacing w:after="0"/>
            </w:pPr>
            <w:r>
              <w:rPr>
                <w:rFonts w:ascii="Arial" w:cs="Arial" w:eastAsia="Arial" w:hAnsi="Arial"/>
                <w:color w:val="374151"/>
                <w:sz w:val="22"/>
                <w:szCs w:val="22"/>
              </w:rPr>
              <w:t xml:space="preserve">Automation event logs are stored in the member_automation_events table (member_id, event_type, fired_at, status, error_message) and are visible to org admins in the Admin &gt; Members &gt; [Member] &gt; Automation History view.</w:t>
            </w:r>
          </w:p>
        </w:tc>
      </w:tr>
    </w:tbl>
    <w:p>
      <w:pPr>
        <w:spacing w:after="60"/>
      </w:pPr>
      <w:r>
        <w:t xml:space="preserve"/>
      </w:r>
    </w:p>
    <w:p>
      <w:pPr>
        <w:pStyle w:val="Heading1"/>
        <w:spacing w:after="120" w:before="360"/>
      </w:pPr>
      <w:r>
        <w:rPr>
          <w:rFonts w:ascii="Arial" w:cs="Arial" w:eastAsia="Arial" w:hAnsi="Arial"/>
          <w:b/>
          <w:bCs/>
          <w:color w:val="1B4332"/>
          <w:sz w:val="32"/>
          <w:szCs w:val="32"/>
        </w:rPr>
        <w:t xml:space="preserve">4.  Shared UI Elements (Both Screens)</w:t>
      </w:r>
    </w:p>
    <w:p>
      <w:pPr>
        <w:pStyle w:val="Heading2"/>
        <w:spacing w:after="100" w:before="280"/>
      </w:pPr>
      <w:r>
        <w:rPr>
          <w:rFonts w:ascii="Arial" w:cs="Arial" w:eastAsia="Arial" w:hAnsi="Arial"/>
          <w:b/>
          <w:bCs/>
          <w:color w:val="2D6A4F"/>
          <w:sz w:val="26"/>
          <w:szCs w:val="26"/>
        </w:rPr>
        <w:t xml:space="preserve">4.1  7-Step Progress Indicator</w:t>
      </w:r>
    </w:p>
    <w:p>
      <w:pPr>
        <w:pStyle w:val="ListParagraph"/>
        <w:numPr>
          <w:ilvl w:val="0"/>
          <w:numId w:val="3"/>
        </w:numPr>
      </w:pPr>
      <w:r>
        <w:rPr>
          <w:rFonts w:ascii="Arial" w:cs="Arial" w:eastAsia="Arial" w:hAnsi="Arial"/>
          <w:color w:val="374151"/>
          <w:sz w:val="22"/>
          <w:szCs w:val="22"/>
        </w:rPr>
        <w:t xml:space="preserve">Displayed as a horizontal row of 7 pill-shaped step indicators at the top of the wizard card.</w:t>
      </w:r>
    </w:p>
    <w:p>
      <w:pPr>
        <w:pStyle w:val="ListParagraph"/>
        <w:numPr>
          <w:ilvl w:val="0"/>
          <w:numId w:val="3"/>
        </w:numPr>
      </w:pPr>
      <w:r>
        <w:rPr>
          <w:rFonts w:ascii="Arial" w:cs="Arial" w:eastAsia="Arial" w:hAnsi="Arial"/>
          <w:color w:val="374151"/>
          <w:sz w:val="22"/>
          <w:szCs w:val="22"/>
        </w:rPr>
        <w:t xml:space="preserve">Completed steps: filled green pill with a white checkmark (✓) icon.</w:t>
      </w:r>
    </w:p>
    <w:p>
      <w:pPr>
        <w:pStyle w:val="ListParagraph"/>
        <w:numPr>
          <w:ilvl w:val="0"/>
          <w:numId w:val="3"/>
        </w:numPr>
      </w:pPr>
      <w:r>
        <w:rPr>
          <w:rFonts w:ascii="Arial" w:cs="Arial" w:eastAsia="Arial" w:hAnsi="Arial"/>
          <w:color w:val="374151"/>
          <w:sz w:val="22"/>
          <w:szCs w:val="22"/>
        </w:rPr>
        <w:t xml:space="preserve">Active step: filled dark green pill with white step number; slightly larger than inactive pills.</w:t>
      </w:r>
    </w:p>
    <w:p>
      <w:pPr>
        <w:pStyle w:val="ListParagraph"/>
        <w:numPr>
          <w:ilvl w:val="0"/>
          <w:numId w:val="3"/>
        </w:numPr>
      </w:pPr>
      <w:r>
        <w:rPr>
          <w:rFonts w:ascii="Arial" w:cs="Arial" w:eastAsia="Arial" w:hAnsi="Arial"/>
          <w:color w:val="374151"/>
          <w:sz w:val="22"/>
          <w:szCs w:val="22"/>
        </w:rPr>
        <w:t xml:space="preserve">On Step 7, all 7 pills are filled green — no active pill. The indicator communicates full completion.</w:t>
      </w:r>
    </w:p>
    <w:p>
      <w:pPr>
        <w:pStyle w:val="ListParagraph"/>
        <w:numPr>
          <w:ilvl w:val="0"/>
          <w:numId w:val="3"/>
        </w:numPr>
      </w:pPr>
      <w:r>
        <w:rPr>
          <w:rFonts w:ascii="Arial" w:cs="Arial" w:eastAsia="Arial" w:hAnsi="Arial"/>
          <w:color w:val="374151"/>
          <w:sz w:val="22"/>
          <w:szCs w:val="22"/>
        </w:rPr>
        <w:t xml:space="preserve">On mobile, step labels (text) are hidden; only numbers and icons are shown to conserve horizontal space.</w:t>
      </w:r>
    </w:p>
    <w:p>
      <w:pPr>
        <w:pStyle w:val="ListParagraph"/>
        <w:numPr>
          <w:ilvl w:val="0"/>
          <w:numId w:val="3"/>
        </w:numPr>
      </w:pPr>
      <w:r>
        <w:rPr>
          <w:rFonts w:ascii="Arial" w:cs="Arial" w:eastAsia="Arial" w:hAnsi="Arial"/>
          <w:color w:val="374151"/>
          <w:sz w:val="22"/>
          <w:szCs w:val="22"/>
        </w:rPr>
        <w:t xml:space="preserve">The indicator is non-interactive — users cannot click completed steps to navigate backward; they must use the Back button within the wizard.</w:t>
      </w:r>
    </w:p>
    <w:p>
      <w:pPr>
        <w:spacing w:after="60"/>
      </w:pPr>
      <w:r>
        <w:t xml:space="preserve"/>
      </w:r>
    </w:p>
    <w:p>
      <w:pPr>
        <w:pStyle w:val="Heading2"/>
        <w:spacing w:after="100" w:before="280"/>
      </w:pPr>
      <w:r>
        <w:rPr>
          <w:rFonts w:ascii="Arial" w:cs="Arial" w:eastAsia="Arial" w:hAnsi="Arial"/>
          <w:b/>
          <w:bCs/>
          <w:color w:val="2D6A4F"/>
          <w:sz w:val="26"/>
          <w:szCs w:val="26"/>
        </w:rPr>
        <w:t xml:space="preserve">4.2  Liturgical Season Banner</w:t>
      </w:r>
    </w:p>
    <w:p>
      <w:pPr>
        <w:pStyle w:val="ListParagraph"/>
        <w:numPr>
          <w:ilvl w:val="0"/>
          <w:numId w:val="4"/>
        </w:numPr>
      </w:pPr>
      <w:r>
        <w:rPr>
          <w:rFonts w:ascii="Arial" w:cs="Arial" w:eastAsia="Arial" w:hAnsi="Arial"/>
          <w:color w:val="374151"/>
          <w:sz w:val="22"/>
          <w:szCs w:val="22"/>
        </w:rPr>
        <w:t xml:space="preserve">Displayed as a full-width colored strip between the global header and the card.</w:t>
      </w:r>
    </w:p>
    <w:p>
      <w:pPr>
        <w:pStyle w:val="ListParagraph"/>
        <w:numPr>
          <w:ilvl w:val="0"/>
          <w:numId w:val="4"/>
        </w:numPr>
      </w:pPr>
      <w:r>
        <w:rPr>
          <w:rFonts w:ascii="Arial" w:cs="Arial" w:eastAsia="Arial" w:hAnsi="Arial"/>
          <w:color w:val="374151"/>
          <w:sz w:val="22"/>
          <w:szCs w:val="22"/>
        </w:rPr>
        <w:t xml:space="preserve">Content: a small season icon, season name, and current week number (e.g., "Ordinary Time • Week 23").</w:t>
      </w:r>
    </w:p>
    <w:p>
      <w:pPr>
        <w:pStyle w:val="ListParagraph"/>
        <w:numPr>
          <w:ilvl w:val="0"/>
          <w:numId w:val="4"/>
        </w:numPr>
      </w:pPr>
      <w:r>
        <w:rPr>
          <w:rFonts w:ascii="Arial" w:cs="Arial" w:eastAsia="Arial" w:hAnsi="Arial"/>
          <w:color w:val="374151"/>
          <w:sz w:val="22"/>
          <w:szCs w:val="22"/>
        </w:rPr>
        <w:t xml:space="preserve">Color is driven by the active liturgical season: green for Ordinary Time, purple for Advent/Lent, gold for Christmas/Easter, red for Holy Week/Pentecost.</w:t>
      </w:r>
    </w:p>
    <w:p>
      <w:pPr>
        <w:pStyle w:val="ListParagraph"/>
        <w:numPr>
          <w:ilvl w:val="0"/>
          <w:numId w:val="4"/>
        </w:numPr>
      </w:pPr>
      <w:r>
        <w:rPr>
          <w:rFonts w:ascii="Arial" w:cs="Arial" w:eastAsia="Arial" w:hAnsi="Arial"/>
          <w:color w:val="374151"/>
          <w:sz w:val="22"/>
          <w:szCs w:val="22"/>
        </w:rPr>
        <w:t xml:space="preserve">This banner is identical to the one displayed throughout the main application, establishing visual continuity from first contact.</w:t>
      </w:r>
    </w:p>
    <w:p>
      <w:pPr>
        <w:pStyle w:val="ListParagraph"/>
        <w:numPr>
          <w:ilvl w:val="0"/>
          <w:numId w:val="4"/>
        </w:numPr>
      </w:pPr>
      <w:r>
        <w:rPr>
          <w:rFonts w:ascii="Arial" w:cs="Arial" w:eastAsia="Arial" w:hAnsi="Arial"/>
          <w:color w:val="374151"/>
          <w:sz w:val="22"/>
          <w:szCs w:val="22"/>
        </w:rPr>
        <w:t xml:space="preserve">On Step 7, the banner color blends with the celebration gradient; it may optionally fade to transparent if the art direction team determines it competes visually with the confetti layer.</w:t>
      </w:r>
    </w:p>
    <w:p>
      <w:pPr>
        <w:spacing w:after="60"/>
      </w:pPr>
      <w:r>
        <w:t xml:space="preserve"/>
      </w:r>
    </w:p>
    <w:p>
      <w:pPr>
        <w:pStyle w:val="Heading2"/>
        <w:spacing w:after="100" w:before="280"/>
      </w:pPr>
      <w:r>
        <w:rPr>
          <w:rFonts w:ascii="Arial" w:cs="Arial" w:eastAsia="Arial" w:hAnsi="Arial"/>
          <w:b/>
          <w:bCs/>
          <w:color w:val="2D6A4F"/>
          <w:sz w:val="26"/>
          <w:szCs w:val="26"/>
        </w:rPr>
        <w:t xml:space="preserve">4.3  Mobile Adaptations</w:t>
      </w:r>
    </w:p>
    <w:p>
      <w:pPr>
        <w:pStyle w:val="ListParagraph"/>
        <w:numPr>
          <w:ilvl w:val="0"/>
          <w:numId w:val="5"/>
        </w:numPr>
      </w:pPr>
      <w:r>
        <w:rPr>
          <w:rFonts w:ascii="Arial" w:cs="Arial" w:eastAsia="Arial" w:hAnsi="Arial"/>
          <w:color w:val="374151"/>
          <w:sz w:val="22"/>
          <w:szCs w:val="22"/>
        </w:rPr>
        <w:t xml:space="preserve">Both screens stack to full-width single-column layouts on mobile viewports (≤768px).</w:t>
      </w:r>
    </w:p>
    <w:p>
      <w:pPr>
        <w:pStyle w:val="ListParagraph"/>
        <w:numPr>
          <w:ilvl w:val="0"/>
          <w:numId w:val="5"/>
        </w:numPr>
      </w:pPr>
      <w:r>
        <w:rPr>
          <w:rFonts w:ascii="Arial" w:cs="Arial" w:eastAsia="Arial" w:hAnsi="Arial"/>
          <w:color w:val="374151"/>
          <w:sz w:val="22"/>
          <w:szCs w:val="22"/>
        </w:rPr>
        <w:t xml:space="preserve">On Step 6, the Notification section and Calendar Sync section each occupy the full card width. The Calendar Sync section collapses to a single [+ Add Calendar] CTA row on mobile, expanding to the full provider button list when tapped.</w:t>
      </w:r>
    </w:p>
    <w:p>
      <w:pPr>
        <w:pStyle w:val="ListParagraph"/>
        <w:numPr>
          <w:ilvl w:val="0"/>
          <w:numId w:val="5"/>
        </w:numPr>
      </w:pPr>
      <w:r>
        <w:rPr>
          <w:rFonts w:ascii="Arial" w:cs="Arial" w:eastAsia="Arial" w:hAnsi="Arial"/>
          <w:color w:val="374151"/>
          <w:sz w:val="22"/>
          <w:szCs w:val="22"/>
        </w:rPr>
        <w:t xml:space="preserve">On Step 7, the confetti layer is rendered at reduced particle density (40 particles vs. 100 on desktop) to maintain 60 fps on mid-range Android devices.</w:t>
      </w:r>
    </w:p>
    <w:p>
      <w:pPr>
        <w:pStyle w:val="ListParagraph"/>
        <w:numPr>
          <w:ilvl w:val="0"/>
          <w:numId w:val="5"/>
        </w:numPr>
      </w:pPr>
      <w:r>
        <w:rPr>
          <w:rFonts w:ascii="Arial" w:cs="Arial" w:eastAsia="Arial" w:hAnsi="Arial"/>
          <w:color w:val="374151"/>
          <w:sz w:val="22"/>
          <w:szCs w:val="22"/>
        </w:rPr>
        <w:t xml:space="preserve">The profile summary card on Step 7 is condensed to 3 rows on mobile (Campus, Top 3 Interests, Notifications) to fit above the fold.</w:t>
      </w:r>
    </w:p>
    <w:p>
      <w:pPr>
        <w:pStyle w:val="ListParagraph"/>
        <w:numPr>
          <w:ilvl w:val="0"/>
          <w:numId w:val="5"/>
        </w:numPr>
      </w:pPr>
      <w:r>
        <w:rPr>
          <w:rFonts w:ascii="Arial" w:cs="Arial" w:eastAsia="Arial" w:hAnsi="Arial"/>
          <w:color w:val="374151"/>
          <w:sz w:val="22"/>
          <w:szCs w:val="22"/>
        </w:rPr>
        <w:t xml:space="preserve">The [Take the Tour] and [Go to Dashboard] buttons stack vertically on mobile, with [Take the Tour] appearing first (primary action).</w:t>
      </w:r>
    </w:p>
    <w:p>
      <w:pPr>
        <w:pStyle w:val="ListParagraph"/>
        <w:numPr>
          <w:ilvl w:val="0"/>
          <w:numId w:val="5"/>
        </w:numPr>
      </w:pPr>
      <w:r>
        <w:rPr>
          <w:rFonts w:ascii="Arial" w:cs="Arial" w:eastAsia="Arial" w:hAnsi="Arial"/>
          <w:color w:val="374151"/>
          <w:sz w:val="22"/>
          <w:szCs w:val="22"/>
        </w:rPr>
        <w:t xml:space="preserve">Tour tooltips on mobile render as bottom-sheet drawers (50% viewport height) rather than floating tooltips, since the floating style can be obscured by the mobile keyboard or notch.</w:t>
      </w:r>
    </w:p>
    <w:p>
      <w:pPr>
        <w:spacing w:after="60"/>
      </w:pPr>
      <w:r>
        <w:t xml:space="preserve"/>
      </w:r>
    </w:p>
    <w:p>
      <w:pPr>
        <w:pStyle w:val="Heading1"/>
        <w:spacing w:after="120" w:before="360"/>
      </w:pPr>
      <w:r>
        <w:rPr>
          <w:rFonts w:ascii="Arial" w:cs="Arial" w:eastAsia="Arial" w:hAnsi="Arial"/>
          <w:b/>
          <w:bCs/>
          <w:color w:val="1B4332"/>
          <w:sz w:val="32"/>
          <w:szCs w:val="32"/>
        </w:rPr>
        <w:t xml:space="preserve">5.  Screen Transitions</w:t>
      </w:r>
    </w:p>
    <w:p>
      <w:pPr>
        <w:pStyle w:val="BodyText"/>
      </w:pPr>
      <w:r>
        <w:rPr>
          <w:rFonts w:ascii="Arial" w:cs="Arial" w:eastAsia="Arial" w:hAnsi="Arial"/>
          <w:sz w:val="22"/>
          <w:szCs w:val="22"/>
        </w:rPr>
        <w:t xml:space="preserve">The transitions between Steps 6 and 7 follow the same animation system as the rest of the onboarding wizard. The Step 5 → Step 6 and Step 6 → Step 7 transitions use a horizontal slide (250ms ease-in-out): the exiting screen slides out to the left, the entering screen slides in from the right. Back navigation reverses this direction.</w:t>
      </w:r>
    </w:p>
    <w:p>
      <w:pPr>
        <w:pStyle w:val="BodyText"/>
      </w:pPr>
      <w:r>
        <w:rPr>
          <w:rFonts w:ascii="Arial" w:cs="Arial" w:eastAsia="Arial" w:hAnsi="Arial"/>
          <w:sz w:val="22"/>
          <w:szCs w:val="22"/>
        </w:rPr>
        <w:t xml:space="preserve">The Step 7 screen entry is the one exception to the standard slide: it uses a scale-and-fade transition (the card scales from 0.95 to 1.0 over 300ms while fading from 0 to 1 opacity) to give the completion screen a more expansive, arrived feeling. The confetti animation starts 50ms after the card completes its entry transition.</w:t>
      </w:r>
    </w:p>
    <w:p>
      <w:pPr>
        <w:pStyle w:val="BodyText"/>
      </w:pPr>
      <w:r>
        <w:rPr>
          <w:rFonts w:ascii="Arial" w:cs="Arial" w:eastAsia="Arial" w:hAnsi="Arial"/>
          <w:sz w:val="22"/>
          <w:szCs w:val="22"/>
        </w:rPr>
        <w:t xml:space="preserve">On mobile (React Native), the standard pager swipe is used for all steps including Step 7, but the confetti and success icon animations play on top of the pager after the swipe settles. The native pager physics and ROCA's canvas-based animations are carefully sequenced to avoid z-index conflicts.</w:t>
      </w:r>
    </w:p>
    <w:p>
      <w:pPr>
        <w:spacing w:after="60"/>
      </w:pPr>
      <w:r>
        <w:t xml:space="preserve"/>
      </w:r>
    </w:p>
    <w:p>
      <w:pPr>
        <w:pStyle w:val="Heading1"/>
        <w:spacing w:after="120" w:before="360"/>
      </w:pPr>
      <w:r>
        <w:rPr>
          <w:rFonts w:ascii="Arial" w:cs="Arial" w:eastAsia="Arial" w:hAnsi="Arial"/>
          <w:b/>
          <w:bCs/>
          <w:color w:val="1B4332"/>
          <w:sz w:val="32"/>
          <w:szCs w:val="32"/>
        </w:rPr>
        <w:t xml:space="preserve">6.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Document</w:t>
            </w:r>
          </w:p>
        </w:tc>
        <w:tc>
          <w:tcPr>
            <w:tcW w:type="dxa" w:w="6120"/>
            <w:tcBorders>
              <w:top w:val="single" w:color="CCCCCC" w:sz="1"/>
              <w:left w:val="single" w:color="CCCCCC" w:sz="1"/>
              <w:bottom w:val="single" w:color="CCCCCC" w:sz="1"/>
              <w:right w:val="single" w:color="CCCCCC" w:sz="1"/>
            </w:tcBorders>
            <w:shd w:fill="1B4332" w:val="clear"/>
            <w:vAlign w:val="center"/>
          </w:tcPr>
          <w:p>
            <w:pPr>
              <w:spacing w:after="60"/>
              <w:jc w:val="center"/>
            </w:pPr>
            <w:r>
              <w:rPr>
                <w:rFonts w:ascii="Arial" w:cs="Arial" w:eastAsia="Arial" w:hAnsi="Arial"/>
                <w:b/>
                <w:bCs/>
                <w:color w:val="FFFFFF"/>
                <w:sz w:val="20"/>
                <w:szCs w:val="20"/>
              </w:rPr>
              <w:t xml:space="preserve">Reference Content</w:t>
            </w:r>
          </w:p>
        </w:tc>
      </w:tr>
      <w:tr>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ROCA New Member Onboarding Design Document</w:t>
            </w:r>
          </w:p>
        </w:tc>
        <w:tc>
          <w:tcPr>
            <w:tcW w:type="dxa" w:w="612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Full onboarding user flow specification including all 7 steps, user stories (US-1 through US-10), implementation architecture, and testing strategy.</w:t>
            </w:r>
          </w:p>
        </w:tc>
      </w:tr>
      <w:tr>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ROCA Onboarding Mockup — Batch 1 (Steps 1 &amp; 2)</w:t>
            </w:r>
          </w:p>
        </w:tc>
        <w:tc>
          <w:tcPr>
            <w:tcW w:type="dxa" w:w="612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Companion screen description document for the Account Creation (Step 1) and Organization Discovery (Step 2) screens.</w:t>
            </w:r>
          </w:p>
        </w:tc>
      </w:tr>
      <w:tr>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ROCA Onboarding Mockup — Batch 2 (Pending Approval &amp; Step 3)</w:t>
            </w:r>
          </w:p>
        </w:tc>
        <w:tc>
          <w:tcPr>
            <w:tcW w:type="dxa" w:w="612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Companion screen description document for the Pending Approval waiting state and Step 3: Profile Completion.</w:t>
            </w:r>
          </w:p>
        </w:tc>
      </w:tr>
      <w:tr>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ROCA Onboarding Mockup — Batch 3 (Steps 4 &amp; 5)</w:t>
            </w:r>
          </w:p>
        </w:tc>
        <w:tc>
          <w:tcPr>
            <w:tcW w:type="dxa" w:w="612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Companion screen description document for Step 4: Interests &amp; Group Discovery and Step 5: Serving &amp; Volunteer Preferences.</w:t>
            </w:r>
          </w:p>
        </w:tc>
      </w:tr>
      <w:tr>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ROCA Unified Technical Design Specification</w:t>
            </w:r>
          </w:p>
        </w:tc>
        <w:tc>
          <w:tcPr>
            <w:tcW w:type="dxa" w:w="612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Complete application architecture, 15-table database schema, 75+ API endpoints, RBAC permission matrix, and infrastructure design.</w:t>
            </w:r>
          </w:p>
        </w:tc>
      </w:tr>
      <w:tr>
        <w:tc>
          <w:tcPr>
            <w:tcW w:type="dxa" w:w="324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ROCA Developer Handoff Document</w:t>
            </w:r>
          </w:p>
        </w:tc>
        <w:tc>
          <w:tcPr>
            <w:tcW w:type="dxa" w:w="6120"/>
            <w:tcBorders>
              <w:top w:val="single" w:color="CCCCCC" w:sz="1"/>
              <w:left w:val="single" w:color="CCCCCC" w:sz="1"/>
              <w:bottom w:val="single" w:color="CCCCCC" w:sz="1"/>
              <w:right w:val="single" w:color="CCCCCC" w:sz="1"/>
            </w:tcBorders>
            <w:shd w:fill="F9FAFB" w:val="clear"/>
          </w:tcPr>
          <w:p>
            <w:pPr>
              <w:spacing w:after="80"/>
              <w:jc w:val="left"/>
            </w:pPr>
            <w:r>
              <w:rPr>
                <w:rFonts w:ascii="Arial" w:cs="Arial" w:eastAsia="Arial" w:hAnsi="Arial"/>
                <w:b w:val="false"/>
                <w:bCs w:val="false"/>
                <w:sz w:val="20"/>
                <w:szCs w:val="20"/>
              </w:rPr>
              <w:t xml:space="preserve">Sprint plan, TypeScript type definitions, React component patterns, and copy-paste code snippets for engineering teams.</w:t>
            </w:r>
          </w:p>
        </w:tc>
      </w:tr>
      <w:tr>
        <w:tc>
          <w:tcPr>
            <w:tcW w:type="dxa" w:w="324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ROCA Kiro Spec (design.md + tasks.md)</w:t>
            </w:r>
          </w:p>
        </w:tc>
        <w:tc>
          <w:tcPr>
            <w:tcW w:type="dxa" w:w="6120"/>
            <w:tcBorders>
              <w:top w:val="single" w:color="CCCCCC" w:sz="1"/>
              <w:left w:val="single" w:color="CCCCCC" w:sz="1"/>
              <w:bottom w:val="single" w:color="CCCCCC" w:sz="1"/>
              <w:right w:val="single" w:color="CCCCCC" w:sz="1"/>
            </w:tcBorders>
            <w:shd w:fill="FFFFFF" w:val="clear"/>
          </w:tcPr>
          <w:p>
            <w:pPr>
              <w:spacing w:after="80"/>
              <w:jc w:val="left"/>
            </w:pPr>
            <w:r>
              <w:rPr>
                <w:rFonts w:ascii="Arial" w:cs="Arial" w:eastAsia="Arial" w:hAnsi="Arial"/>
                <w:b w:val="false"/>
                <w:bCs w:val="false"/>
                <w:sz w:val="20"/>
                <w:szCs w:val="20"/>
              </w:rPr>
              <w:t xml:space="preserve">Machine-readable Kiro spec files for import into the Kiro development workflow tool. Covers 39 implementation tasks across 6 sprints.</w:t>
            </w:r>
          </w:p>
        </w:tc>
      </w:tr>
    </w:tbl>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c>
          <w:tcPr>
            <w:tcW w:type="dxa" w:w="5580"/>
            <w:tcBorders>
              <w:top w:val="single" w:color="CCCCCC" w:sz="1"/>
              <w:left w:val="single" w:color="CCCCCC" w:sz="1"/>
              <w:bottom w:val="single" w:color="CCCCCC" w:sz="1"/>
              <w:right w:val="single" w:color="CCCCCC" w:sz="1"/>
            </w:tcBorders>
            <w:shd w:fill="F0FDF4" w:val="clear"/>
          </w:tcPr>
          <w:p>
            <w:pPr>
              <w:spacing w:after="80"/>
              <w:jc w:val="left"/>
            </w:pPr>
            <w:r>
              <w:rPr>
                <w:rFonts w:ascii="Arial" w:cs="Arial" w:eastAsia="Arial" w:hAnsi="Arial"/>
                <w:b/>
                <w:bCs/>
                <w:sz w:val="20"/>
                <w:szCs w:val="20"/>
              </w:rPr>
              <w:t xml:space="preserve">ROCA  •  Onboarding Design Reference</w:t>
            </w:r>
          </w:p>
        </w:tc>
        <w:tc>
          <w:tcPr>
            <w:tcW w:type="dxa" w:w="3780"/>
            <w:tcBorders>
              <w:top w:val="single" w:color="CCCCCC" w:sz="1"/>
              <w:left w:val="single" w:color="CCCCCC" w:sz="1"/>
              <w:bottom w:val="single" w:color="CCCCCC" w:sz="1"/>
              <w:right w:val="single" w:color="CCCCCC" w:sz="1"/>
            </w:tcBorders>
            <w:shd w:fill="F0FDF4" w:val="clear"/>
          </w:tcPr>
          <w:p>
            <w:pPr>
              <w:spacing w:after="80"/>
              <w:jc w:val="right"/>
            </w:pPr>
            <w:r>
              <w:rPr>
                <w:rFonts w:ascii="Arial" w:cs="Arial" w:eastAsia="Arial" w:hAnsi="Arial"/>
                <w:b w:val="false"/>
                <w:bCs w:val="false"/>
                <w:sz w:val="20"/>
                <w:szCs w:val="20"/>
              </w:rPr>
              <w:t xml:space="preserve">Document Version 1.0   •   Status: Ready for Development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9CA3AF"/>
        <w:sz w:val="18"/>
        <w:szCs w:val="18"/>
      </w:rPr>
      <w:t xml:space="preserve">ROCA  |  Onboarding Mockup — Batch 4  |  Steps 6 &amp;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80"/>
        <w:ind w:left="720" w:hanging="360"/>
      </w:pPr>
    </w:lvl>
  </w:abstractNum>
  <w:abstractNum w:abstractNumId="4" w15:restartNumberingAfterBreak="0">
    <w:multiLevelType w:val="hybridMultilevel"/>
    <w:lvl w:ilvl="0" w15:tentative="1">
      <w:start w:val="1"/>
      <w:numFmt w:val="bullet"/>
      <w:lvlText w:val="•"/>
      <w:lvlJc w:val="left"/>
      <w:pPr>
        <w:spacing w:after="80"/>
        <w:ind w:left="720" w:hanging="360"/>
      </w:pPr>
    </w:lvl>
  </w:abstractNum>
  <w:abstractNum w:abstractNumId="5" w15:restartNumberingAfterBreak="0">
    <w:multiLevelType w:val="hybridMultilevel"/>
    <w:lvl w:ilvl="0" w15:tentative="1">
      <w:start w:val="1"/>
      <w:numFmt w:val="bullet"/>
      <w:lvlText w:val="•"/>
      <w:lvlJc w:val="left"/>
      <w:pPr>
        <w:spacing w:after="80"/>
        <w:ind w:left="720" w:hanging="360"/>
      </w:pPr>
    </w:lvl>
  </w:abstractNum>
  <w:abstractNum w:abstractNumId="6" w15:restartNumberingAfterBreak="0">
    <w:multiLevelType w:val="hybridMultilevel"/>
    <w:lvl w:ilvl="0" w15:tentative="1">
      <w:start w:val="1"/>
      <w:numFmt w:val="bullet"/>
      <w:lvlText w:val="•"/>
      <w:lvlJc w:val="left"/>
      <w:pPr>
        <w:spacing w:after="80"/>
        <w:ind w:left="720" w:hanging="360"/>
      </w:pPr>
    </w:lvl>
  </w:abstractNum>
  <w:abstractNum w:abstractNumId="7"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before="0"/>
      <w:jc w:val="center"/>
    </w:pPr>
    <w:rPr>
      <w:rFonts w:ascii="Arial" w:cs="Arial" w:eastAsia="Arial" w:hAnsi="Arial"/>
      <w:b/>
      <w:bCs/>
      <w:color w:val="1B4332"/>
      <w:sz w:val="52"/>
      <w:szCs w:val="52"/>
    </w:rPr>
  </w:style>
  <w:style w:type="paragraph" w:styleId="DocSubtitle">
    <w:name w:val="DocSubtitle"/>
    <w:basedOn w:val="Normal"/>
    <w:qFormat/>
    <w:pPr>
      <w:spacing w:after="80" w:before="0"/>
      <w:jc w:val="center"/>
    </w:pPr>
    <w:rPr>
      <w:rFonts w:ascii="Arial" w:cs="Arial" w:eastAsia="Arial" w:hAnsi="Arial"/>
      <w:i/>
      <w:iCs/>
      <w:color w:val="52B788"/>
      <w:sz w:val="26"/>
      <w:szCs w:val="26"/>
    </w:rPr>
  </w:style>
  <w:style w:type="paragraph" w:styleId="SectionHead">
    <w:name w:val="SectionHead"/>
    <w:basedOn w:val="Normal"/>
    <w:qFormat/>
    <w:pPr>
      <w:spacing w:after="240" w:before="0"/>
      <w:jc w:val="center"/>
    </w:pPr>
    <w:rPr>
      <w:rFonts w:ascii="Arial" w:cs="Arial" w:eastAsia="Arial" w:hAnsi="Arial"/>
      <w:color w:val="6B7280"/>
      <w:sz w:val="22"/>
      <w:szCs w:val="22"/>
    </w:rPr>
  </w:style>
  <w:style w:type="paragraph" w:styleId="Caption">
    <w:name w:val="Caption"/>
    <w:basedOn w:val="Normal"/>
    <w:qFormat/>
    <w:pPr>
      <w:spacing w:after="200" w:before="60"/>
      <w:jc w:val="center"/>
    </w:pPr>
    <w:rPr>
      <w:rFonts w:ascii="Arial" w:cs="Arial" w:eastAsia="Arial" w:hAnsi="Arial"/>
      <w:i/>
      <w:iCs/>
      <w:color w:val="6B7280"/>
      <w:sz w:val="18"/>
      <w:szCs w:val="18"/>
    </w:rPr>
  </w:style>
  <w:style w:type="paragraph" w:styleId="BodyText">
    <w:name w:val="BodyText"/>
    <w:basedOn w:val="Normal"/>
    <w:qFormat/>
    <w:pPr>
      <w:spacing w:after="160" w:line="276"/>
    </w:pPr>
    <w:rPr>
      <w:rFonts w:ascii="Arial" w:cs="Arial" w:eastAsia="Arial" w:hAnsi="Arial"/>
      <w:color w:val="374151"/>
      <w:sz w:val="22"/>
      <w:szCs w:val="22"/>
    </w:rPr>
  </w:style>
  <w:style w:type="paragraph" w:styleId="LabelBold">
    <w:name w:val="LabelBold"/>
    <w:basedOn w:val="Normal"/>
    <w:qFormat/>
    <w:pPr>
      <w:spacing w:after="80"/>
    </w:pPr>
    <w:rPr>
      <w:rFonts w:ascii="Arial" w:cs="Arial" w:eastAsia="Arial" w:hAnsi="Arial"/>
      <w:b/>
      <w:bCs/>
      <w:color w:val="1B4332"/>
      <w:sz w:val="22"/>
      <w:szCs w:val="22"/>
    </w:rPr>
  </w:style>
  <w:style w:type="paragraph" w:styleId="SubHead">
    <w:name w:val="SubHead"/>
    <w:basedOn w:val="Normal"/>
    <w:qFormat/>
    <w:pPr>
      <w:spacing w:after="100"/>
    </w:pPr>
    <w:rPr>
      <w:rFonts w:ascii="Arial" w:cs="Arial" w:eastAsia="Arial" w:hAnsi="Arial"/>
      <w:b/>
      <w:bCs/>
      <w:i/>
      <w:i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89906d581bd5b58fcaa0d4fb41fd2f5674a04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5325C9-8DF1-4522-932C-358FFC84ADFA}">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2026-08-26T16:39:24.116Z</dcterms:created>
  <dcterms:modified xsi:type="dcterms:W3CDTF">2026-08-26T16:39:24.117Z</dcterms:modified>
</cp:coreProperties>
</file>

<file path=docProps/custom.xml><?xml version="1.0" encoding="utf-8"?>
<Properties xmlns="http://schemas.openxmlformats.org/officeDocument/2006/custom-properties" xmlns:vt="http://schemas.openxmlformats.org/officeDocument/2006/docPropsVTypes"/>
</file>