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83"/>
        <w:gridCol w:w="1401"/>
        <w:gridCol w:w="1700"/>
        <w:gridCol w:w="3101"/>
        <w:tblGridChange w:id="0">
          <w:tblGrid>
            <w:gridCol w:w="2235"/>
            <w:gridCol w:w="283"/>
            <w:gridCol w:w="1401"/>
            <w:gridCol w:w="1700"/>
            <w:gridCol w:w="3101"/>
          </w:tblGrid>
        </w:tblGridChange>
      </w:tblGrid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43000" cy="342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tabs>
                <w:tab w:val="left" w:leader="none" w:pos="720"/>
              </w:tabs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DECLARAÇÃO DO ESCOPO DO PROJETO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Nome do Projeto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B">
            <w:pPr>
              <w:tabs>
                <w:tab w:val="left" w:leader="none" w:pos="720"/>
              </w:tabs>
              <w:spacing w:before="12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 do Banco de Oportunidades (BOs) da Prefeitura do Recife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0e0e0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Prover uma plataforma acessível, dinâmica e eficiente para o gerenciamento, monitoramento, priorização e acompanhamento dos BO’s, visando resolver problemas urbanos e sociais de forma colaborativa, transparente e inovadora, com foco em estimular a participação ativa dos cidadãos.</w:t>
            </w:r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Descrição Detalhada do Produto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solução deve possuir um(a):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after="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Interface intuitiva para acompanhamento de BO’s por cidadãos, agentes solucionadores e agentes públicos;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Ferramenta de busca e filtragem para visualização dos BO’s registrados;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Forma de mostrar as informações com transparência e acessibilidade de acordo com a Lei de Acesso à Informação (LAI);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Sistema de priorização baseado em critérios como urgência, impacto social e engajamento popular;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Mecanismo de participação cidadã para demonstrar apoio e relevância colaborativa nas demandas;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Painel gerencial com indicadores para prover transparência e dinamicidade ao banco de oportunidades;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Poderá ser adaptada para integração com sistemas de CRM e ferramentas de gestão pública,  dependendo da viabilidade técnica;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Registro das ações realizadas oriunda de resoluções de BO’s;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Um campo com indicadores de impacto;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after="24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Canal de ouvidoria com cidadão;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after="24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Utilização do aplicativo WhatsApp como ferramenta estratégica para divulgação da plataforma.</w:t>
            </w:r>
          </w:p>
        </w:tc>
      </w:tr>
      <w:tr>
        <w:trPr>
          <w:cantSplit w:val="0"/>
          <w:trHeight w:val="6.328125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Principais Entregas do Projeto / Critérios de Aceitação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5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Entregas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Critérios de Aceitação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 BO’s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right="24.566929133859503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Cidadãos, agentes públicos e agentes solucionadores devem conseguir visualizar BO’s de forma interativa e dinâmica;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right="24.566929133859503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permitir a consulta e filtragem dos BO’s por tipo, categoria e status;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right="24.566929133859503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dados devem estar acessíveis conforme a Lei de Acesso à Informação (LAI), garantindo transparência.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Priorização e classificação dos BO’s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ind w:left="720" w:right="24.566929133859503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BOs devem ser classificados automaticamente com base em categoria, status, visualização, impacto e engajamento popular, sendo este último determinado pelo número de interações no botão de apoio;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ind w:left="720" w:right="24.566929133859503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Cidadãos devem poder colaborar com priorização de BO’s com base na relevância percebida.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Monitoramento e status em tempo 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status de cada BO deve ser atualizado instantaneamente após qualquer alteração.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Gestão e implementação de soluções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 ação tomada para a resolução de um BO deve ser registrada no sistema, com data, responsável e descrição;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coletar e exibir indicadores de satisfação dos cidadãos após a resolução do BO.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Marketing da plataforma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cidadão receberá informações sobre o Banco de Oportunidades, tanto para garantir a transparência das informações quanto para ampliar a divulgação da plataforma.</w:t>
            </w:r>
          </w:p>
          <w:p w:rsidR="00000000" w:rsidDel="00000000" w:rsidP="00000000" w:rsidRDefault="00000000" w:rsidRPr="00000000" w14:paraId="00000057">
            <w:pPr>
              <w:widowControl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Escopo Não Contemplado</w:t>
            </w:r>
          </w:p>
        </w:tc>
      </w:tr>
      <w:tr>
        <w:trPr>
          <w:cantSplit w:val="0"/>
          <w:trHeight w:val="2506.552734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Automação de análises avançadas dos impactos sociais das soluções;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haverá suporte via chat ao vivo com atendimento humano integrado;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plataforma não será responsável pelo orçamento ou financiamento das soluções implementadas pelos órgãos públicos;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calculará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automaticamente métricas complexas, limitando-se à coleta de dados básicos como satisfação e tempo de resolução;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desenvolvimento e realização de testes funcionais e de integração;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Desenvolvimento e implementação deste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Premissas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a participação ativa dos cidadãos será estimulada através de uma plataforma intuitiva, mais atrativa e de fácil acesso;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infraestrutura tecnológica da Prefeitura será suficiente para suportar a plataforma e os acessos esperados;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a implementação da solução proposta é compatível com as tecnologias utilizada pelos times de desenvolvimento da Prefeitura da Cidade do Recife;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os sistemas existentes podem ser integrados com a nova solução a ser implementada;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todas as partes interessadas estão regularmente disponíveis para tomar decisões e fornecer feedback durante o projeto;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os membros da equipe têm a experiência e habilidades necessárias para realizar as tarefas com a qualidade e eficiência esperadas;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a solução é escalável;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projeto assume que a equipe de desenvolvimento da Prefeitura do Recife tenha recursos para integrar a rede social WhatsApp à plataforma.</w:t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A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47.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 atender às regulamentações previstas por leis como a LGPD, Lei do Governo Digital e normas ITIL;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plano de implementação deve ser concluído até o dia 10 de abril de 2025;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custo final da solução não deve ultrapassar o custo estimado neste documento;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entrega do produto final deve acontecer até a data limite definida, dia 10 de abril de 2025;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será solicitada nenhuma informação ao cidadão pelo chat do WhatsApp;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solução deve seguir a identidade visual adotada pela Coreto, a Plataforma de Inovação e Empreendedorismo da Prefeitura do Recife.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9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 Inicial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tabs>
                <w:tab w:val="left" w:leader="none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Custo Estimado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R$22.990,00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tabs>
                <w:tab w:val="left" w:leader="none" w:pos="720"/>
              </w:tabs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  <w:t xml:space="preserve">Maiara Lira e Maria Antônia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tabs>
                <w:tab w:val="left" w:leader="none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 por: </w:t>
            </w:r>
            <w:r w:rsidDel="00000000" w:rsidR="00000000" w:rsidRPr="00000000">
              <w:rPr>
                <w:rtl w:val="0"/>
              </w:rPr>
              <w:t xml:space="preserve">Pedro Casé e Rafael Toscano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8">
            <w:pPr>
              <w:tabs>
                <w:tab w:val="left" w:leader="none" w:pos="720"/>
              </w:tabs>
              <w:spacing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Recife, 08 de Abril de 2025</w:t>
              <w:br w:type="textWrapping"/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Twentieth Century" w:cs="Twentieth Century" w:eastAsia="Twentieth Century" w:hAnsi="Twentieth Century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KeKvgS3eZWfCECKafMx57Hxjg==">CgMxLjA4AHIhMUJfSnFEdHEyNXNPTUMwR2F5cVNCRkEzMGFFMVhuVnd0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2012-01-31T23:15:00Z</dcterms:created>
  <dc:creator>rubensgg</dc:creator>
</cp:coreProperties>
</file>