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i w:val="0"/>
          <w:color w:val="auto"/>
          <w:sz w:val="20"/>
        </w:rPr>
        <w:id w:val="-654921946"/>
        <w:docPartObj>
          <w:docPartGallery w:val="Cover Pages"/>
          <w:docPartUnique/>
        </w:docPartObj>
      </w:sdtPr>
      <w:sdtEndPr/>
      <w:sdtContent>
        <w:p w14:paraId="36BA55EA" w14:textId="77777777" w:rsidR="00EC1903" w:rsidRDefault="0022776D" w:rsidP="006636F1">
          <w:pPr>
            <w:pStyle w:val="QuoteHeading"/>
          </w:pPr>
          <w:r>
            <w:rPr>
              <w:b w:val="0"/>
              <w:noProof/>
            </w:rPr>
            <w:drawing>
              <wp:anchor distT="0" distB="0" distL="114300" distR="114300" simplePos="0" relativeHeight="251660288" behindDoc="1" locked="0" layoutInCell="1" allowOverlap="1" wp14:anchorId="226389AC" wp14:editId="757DD0BD">
                <wp:simplePos x="0" y="0"/>
                <wp:positionH relativeFrom="column">
                  <wp:posOffset>-2695382</wp:posOffset>
                </wp:positionH>
                <wp:positionV relativeFrom="paragraph">
                  <wp:posOffset>-914400</wp:posOffset>
                </wp:positionV>
                <wp:extent cx="10696354" cy="1069635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10696354" cy="10696354"/>
                        </a:xfrm>
                        <a:prstGeom prst="rect">
                          <a:avLst/>
                        </a:prstGeom>
                      </pic:spPr>
                    </pic:pic>
                  </a:graphicData>
                </a:graphic>
                <wp14:sizeRelH relativeFrom="margin">
                  <wp14:pctWidth>0</wp14:pctWidth>
                </wp14:sizeRelH>
                <wp14:sizeRelV relativeFrom="margin">
                  <wp14:pctHeight>0</wp14:pctHeight>
                </wp14:sizeRelV>
              </wp:anchor>
            </w:drawing>
          </w:r>
        </w:p>
        <w:p w14:paraId="257EBEA9" w14:textId="77777777" w:rsidR="00EC1903" w:rsidRDefault="00EC1903">
          <w:pPr>
            <w:rPr>
              <w:b/>
            </w:rPr>
          </w:pPr>
        </w:p>
        <w:p w14:paraId="0A652C45" w14:textId="77777777" w:rsidR="00EC1903" w:rsidRDefault="00EC1903">
          <w:pPr>
            <w:rPr>
              <w:b/>
            </w:rPr>
          </w:pPr>
        </w:p>
        <w:p w14:paraId="6660027E" w14:textId="77777777" w:rsidR="00EC1903" w:rsidRDefault="00EC1903">
          <w:pPr>
            <w:rPr>
              <w:b/>
            </w:rPr>
          </w:pPr>
        </w:p>
        <w:p w14:paraId="0C4C9B28" w14:textId="77777777" w:rsidR="006A7D95" w:rsidRDefault="006A7D95">
          <w:pPr>
            <w:rPr>
              <w:b/>
              <w:noProof/>
              <w:lang w:eastAsia="en-NZ"/>
            </w:rPr>
          </w:pPr>
        </w:p>
        <w:p w14:paraId="71E8F8E9" w14:textId="77777777" w:rsidR="006A7D95" w:rsidRDefault="006A7D95">
          <w:pPr>
            <w:rPr>
              <w:b/>
              <w:noProof/>
              <w:lang w:eastAsia="en-NZ"/>
            </w:rPr>
          </w:pPr>
        </w:p>
        <w:p w14:paraId="11A2095E" w14:textId="77777777" w:rsidR="00EC1903" w:rsidRDefault="006A7D95">
          <w:r>
            <w:rPr>
              <w:noProof/>
              <w:lang w:val="en-US"/>
            </w:rPr>
            <mc:AlternateContent>
              <mc:Choice Requires="wps">
                <w:drawing>
                  <wp:anchor distT="45720" distB="45720" distL="114300" distR="114300" simplePos="0" relativeHeight="251659264" behindDoc="0" locked="0" layoutInCell="1" allowOverlap="1" wp14:anchorId="65330995" wp14:editId="72039548">
                    <wp:simplePos x="0" y="0"/>
                    <wp:positionH relativeFrom="page">
                      <wp:align>right</wp:align>
                    </wp:positionH>
                    <wp:positionV relativeFrom="page">
                      <wp:posOffset>5846767</wp:posOffset>
                    </wp:positionV>
                    <wp:extent cx="7548880" cy="1352282"/>
                    <wp:effectExtent l="0" t="0" r="0" b="63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8880" cy="1352282"/>
                            </a:xfrm>
                            <a:prstGeom prst="rect">
                              <a:avLst/>
                            </a:prstGeom>
                            <a:solidFill>
                              <a:schemeClr val="tx2"/>
                            </a:solidFill>
                            <a:ln w="9525">
                              <a:noFill/>
                              <a:miter lim="800000"/>
                              <a:headEnd/>
                              <a:tailEnd/>
                            </a:ln>
                          </wps:spPr>
                          <wps:txbx>
                            <w:txbxContent>
                              <w:p w14:paraId="299BA3EE" w14:textId="59F1F73B" w:rsidR="00837F71" w:rsidRPr="009244F6" w:rsidRDefault="00837F71" w:rsidP="0022776D">
                                <w:pPr>
                                  <w:spacing w:before="360"/>
                                  <w:jc w:val="center"/>
                                  <w:rPr>
                                    <w:b/>
                                    <w:color w:val="FFFFFF" w:themeColor="background1"/>
                                    <w:sz w:val="44"/>
                                    <w:szCs w:val="44"/>
                                  </w:rPr>
                                </w:pPr>
                                <w:r>
                                  <w:rPr>
                                    <w:b/>
                                    <w:color w:val="FFFFFF" w:themeColor="background1"/>
                                    <w:sz w:val="44"/>
                                    <w:szCs w:val="44"/>
                                    <w:lang w:val="en-NZ"/>
                                  </w:rPr>
                                  <w:t>Social and Economic</w:t>
                                </w:r>
                                <w:r w:rsidRPr="0022776D">
                                  <w:rPr>
                                    <w:b/>
                                    <w:color w:val="FFFFFF" w:themeColor="background1"/>
                                    <w:sz w:val="44"/>
                                    <w:szCs w:val="44"/>
                                    <w:lang w:val="en-NZ"/>
                                  </w:rPr>
                                  <w:t xml:space="preserve"> Impact Assessment of the RCA Programme</w:t>
                                </w:r>
                              </w:p>
                              <w:p w14:paraId="52ECBB86" w14:textId="6FB9251A" w:rsidR="00837F71" w:rsidRDefault="004E19C7" w:rsidP="0022776D">
                                <w:pPr>
                                  <w:shd w:val="clear" w:color="auto" w:fill="1A4FAB" w:themeFill="text2"/>
                                  <w:jc w:val="center"/>
                                </w:pPr>
                                <w:r w:rsidRPr="006B5E9F">
                                  <w:rPr>
                                    <w:b/>
                                    <w:color w:val="5B8EE6" w:themeColor="accent1"/>
                                    <w:sz w:val="40"/>
                                    <w:szCs w:val="40"/>
                                    <w:highlight w:val="yellow"/>
                                  </w:rPr>
                                  <w:t>Non-Destructive Testing</w:t>
                                </w:r>
                                <w:r w:rsidR="00837F71">
                                  <w:rPr>
                                    <w:b/>
                                    <w:color w:val="5B8EE6" w:themeColor="accent1"/>
                                    <w:sz w:val="40"/>
                                    <w:szCs w:val="40"/>
                                  </w:rPr>
                                  <w:t xml:space="preserve"> Case Study</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330995" id="_x0000_t202" coordsize="21600,21600" o:spt="202" path="m,l,21600r21600,l21600,xe">
                    <v:stroke joinstyle="miter"/>
                    <v:path gradientshapeok="t" o:connecttype="rect"/>
                  </v:shapetype>
                  <v:shape id="Text Box 2" o:spid="_x0000_s1026" type="#_x0000_t202" style="position:absolute;margin-left:543.2pt;margin-top:460.4pt;width:594.4pt;height:106.5pt;z-index:251659264;visibility:visible;mso-wrap-style:square;mso-width-percent:0;mso-height-percent:0;mso-wrap-distance-left:9pt;mso-wrap-distance-top:3.6pt;mso-wrap-distance-right:9pt;mso-wrap-distance-bottom:3.6pt;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" fillcolor="#1a4fab [3215]" stroked="f">
                    <v:textbox inset="0,0,0,0">
                      <w:txbxContent>
                        <w:p w14:paraId="299BA3EE" w14:textId="59F1F73B" w:rsidR="00837F71" w:rsidRPr="009244F6" w:rsidRDefault="00837F71" w:rsidP="0022776D">
                          <w:pPr>
                            <w:spacing w:before="360"/>
                            <w:jc w:val="center"/>
                            <w:rPr>
                              <w:b/>
                              <w:color w:val="FFFFFF" w:themeColor="background1"/>
                              <w:sz w:val="44"/>
                              <w:szCs w:val="44"/>
                            </w:rPr>
                          </w:pPr>
                          <w:r>
                            <w:rPr>
                              <w:b/>
                              <w:color w:val="FFFFFF" w:themeColor="background1"/>
                              <w:sz w:val="44"/>
                              <w:szCs w:val="44"/>
                              <w:lang w:val="en-NZ"/>
                            </w:rPr>
                            <w:t>Social and Economic</w:t>
                          </w:r>
                          <w:r w:rsidRPr="0022776D">
                            <w:rPr>
                              <w:b/>
                              <w:color w:val="FFFFFF" w:themeColor="background1"/>
                              <w:sz w:val="44"/>
                              <w:szCs w:val="44"/>
                              <w:lang w:val="en-NZ"/>
                            </w:rPr>
                            <w:t xml:space="preserve"> Impact Assessment of the RCA Programme</w:t>
                          </w:r>
                        </w:p>
                        <w:p w14:paraId="52ECBB86" w14:textId="6FB9251A" w:rsidR="00837F71" w:rsidRDefault="004E19C7" w:rsidP="0022776D">
                          <w:pPr>
                            <w:shd w:val="clear" w:color="auto" w:fill="1A4FAB" w:themeFill="text2"/>
                            <w:jc w:val="center"/>
                          </w:pPr>
                          <w:r w:rsidRPr="006B5E9F">
                            <w:rPr>
                              <w:b/>
                              <w:color w:val="5B8EE6" w:themeColor="accent1"/>
                              <w:sz w:val="40"/>
                              <w:szCs w:val="40"/>
                              <w:highlight w:val="yellow"/>
                            </w:rPr>
                            <w:t>Non-Destructive Testing</w:t>
                          </w:r>
                          <w:r w:rsidR="00837F71">
                            <w:rPr>
                              <w:b/>
                              <w:color w:val="5B8EE6" w:themeColor="accent1"/>
                              <w:sz w:val="40"/>
                              <w:szCs w:val="40"/>
                            </w:rPr>
                            <w:t xml:space="preserve"> Case Study</w:t>
                          </w:r>
                        </w:p>
                      </w:txbxContent>
                    </v:textbox>
                    <w10:wrap type="square" anchorx="page" anchory="page"/>
                  </v:shape>
                </w:pict>
              </mc:Fallback>
            </mc:AlternateContent>
          </w:r>
          <w:r w:rsidR="00EC1903">
            <w:rPr>
              <w:b/>
            </w:rPr>
            <w:br w:type="page"/>
          </w:r>
        </w:p>
      </w:sdtContent>
    </w:sdt>
    <w:p w14:paraId="104E2568" w14:textId="77777777" w:rsidR="00525907" w:rsidRDefault="00525907" w:rsidP="00525907">
      <w:pPr>
        <w:pStyle w:val="TOCHeading"/>
      </w:pPr>
      <w:r>
        <w:lastRenderedPageBreak/>
        <w:t>Report Information</w:t>
      </w:r>
    </w:p>
    <w:p w14:paraId="20FDBA7C" w14:textId="77777777" w:rsidR="00525907" w:rsidRDefault="00525907" w:rsidP="00C449EB"/>
    <w:tbl>
      <w:tblPr>
        <w:tblStyle w:val="TableGrid"/>
        <w:tblW w:w="0" w:type="auto"/>
        <w:tblBorders>
          <w:top w:val="none" w:sz="0" w:space="0" w:color="auto"/>
          <w:left w:val="none" w:sz="0" w:space="0" w:color="auto"/>
          <w:bottom w:val="single" w:sz="4" w:space="0" w:color="808080" w:themeColor="background1" w:themeShade="80"/>
          <w:right w:val="none" w:sz="0" w:space="0" w:color="auto"/>
          <w:insideH w:val="single" w:sz="4" w:space="0" w:color="808080" w:themeColor="background1" w:themeShade="80"/>
          <w:insideV w:val="none" w:sz="0" w:space="0" w:color="auto"/>
        </w:tblBorders>
        <w:tblLayout w:type="fixed"/>
        <w:tblCellMar>
          <w:top w:w="142" w:type="dxa"/>
          <w:bottom w:w="108" w:type="dxa"/>
        </w:tblCellMar>
        <w:tblLook w:val="04A0" w:firstRow="1" w:lastRow="0" w:firstColumn="1" w:lastColumn="0" w:noHBand="0" w:noVBand="1"/>
      </w:tblPr>
      <w:tblGrid>
        <w:gridCol w:w="1696"/>
        <w:gridCol w:w="6514"/>
      </w:tblGrid>
      <w:tr w:rsidR="00525907" w14:paraId="5AF05F7F" w14:textId="77777777" w:rsidTr="00525907">
        <w:tc>
          <w:tcPr>
            <w:tcW w:w="1696" w:type="dxa"/>
          </w:tcPr>
          <w:p w14:paraId="40E7E743" w14:textId="77777777" w:rsidR="00525907" w:rsidRDefault="00525907" w:rsidP="00525907">
            <w:r>
              <w:t>Prepared for</w:t>
            </w:r>
          </w:p>
        </w:tc>
        <w:sdt>
          <w:sdtPr>
            <w:id w:val="-2127148534"/>
            <w:placeholder>
              <w:docPart w:val="98B906B797B4F84E9EFD7A6849A5044B"/>
            </w:placeholder>
            <w:text/>
          </w:sdtPr>
          <w:sdtEndPr/>
          <w:sdtContent>
            <w:tc>
              <w:tcPr>
                <w:tcW w:w="6514" w:type="dxa"/>
              </w:tcPr>
              <w:p w14:paraId="1B9FC25E" w14:textId="77777777" w:rsidR="00525907" w:rsidRDefault="00040120" w:rsidP="00525907">
                <w:r>
                  <w:t>International Atomic Energy Agency</w:t>
                </w:r>
              </w:p>
            </w:tc>
          </w:sdtContent>
        </w:sdt>
      </w:tr>
      <w:tr w:rsidR="00525907" w:rsidRPr="008C3DDE" w14:paraId="59781927" w14:textId="77777777" w:rsidTr="00525907">
        <w:tc>
          <w:tcPr>
            <w:tcW w:w="1696" w:type="dxa"/>
          </w:tcPr>
          <w:p w14:paraId="528C72B0" w14:textId="77777777" w:rsidR="00525907" w:rsidRDefault="00525907" w:rsidP="00525907">
            <w:r>
              <w:t>Prepared by</w:t>
            </w:r>
          </w:p>
        </w:tc>
        <w:tc>
          <w:tcPr>
            <w:tcW w:w="6514" w:type="dxa"/>
          </w:tcPr>
          <w:sdt>
            <w:sdtPr>
              <w:rPr>
                <w:lang w:val="de-DE"/>
              </w:rPr>
              <w:id w:val="313685265"/>
              <w:placeholder>
                <w:docPart w:val="10282E6835B5B04CB2139ED39184AC51"/>
              </w:placeholder>
              <w:text/>
            </w:sdtPr>
            <w:sdtEndPr/>
            <w:sdtContent>
              <w:p w14:paraId="7118A4D3" w14:textId="6D752AC8" w:rsidR="00525907" w:rsidRPr="00AD192D" w:rsidRDefault="00040120" w:rsidP="00690C2E">
                <w:pPr>
                  <w:rPr>
                    <w:lang w:val="de-DE"/>
                  </w:rPr>
                </w:pPr>
                <w:r w:rsidRPr="00AD192D">
                  <w:rPr>
                    <w:lang w:val="de-DE"/>
                  </w:rPr>
                  <w:t>Julian King, Andres Arau, Aaron Schiff, Martina Garcia Aisa</w:t>
                </w:r>
                <w:r w:rsidR="00A772B2">
                  <w:rPr>
                    <w:lang w:val="de-DE"/>
                  </w:rPr>
                  <w:t>, Kate McKegg</w:t>
                </w:r>
              </w:p>
            </w:sdtContent>
          </w:sdt>
        </w:tc>
      </w:tr>
      <w:tr w:rsidR="000E6F20" w14:paraId="1F741B23" w14:textId="77777777" w:rsidTr="00525907">
        <w:tc>
          <w:tcPr>
            <w:tcW w:w="1696" w:type="dxa"/>
          </w:tcPr>
          <w:p w14:paraId="775120AA" w14:textId="77777777" w:rsidR="000E6F20" w:rsidRDefault="000E6F20" w:rsidP="00525907">
            <w:r>
              <w:t>Cover image</w:t>
            </w:r>
          </w:p>
        </w:tc>
        <w:tc>
          <w:tcPr>
            <w:tcW w:w="6514" w:type="dxa"/>
          </w:tcPr>
          <w:p w14:paraId="7E5F0C9F" w14:textId="24877AE7" w:rsidR="000E6F20" w:rsidRPr="000E6F20" w:rsidRDefault="00BA36BA" w:rsidP="00525907">
            <w:pPr>
              <w:rPr>
                <w:lang w:val="en-NZ"/>
              </w:rPr>
            </w:pPr>
            <w:r w:rsidRPr="00BA36BA">
              <w:rPr>
                <w:highlight w:val="yellow"/>
                <w:lang w:val="en-NZ"/>
              </w:rPr>
              <w:t>TBA</w:t>
            </w:r>
          </w:p>
        </w:tc>
      </w:tr>
      <w:tr w:rsidR="00603AD5" w14:paraId="2EE774F3" w14:textId="77777777" w:rsidTr="00525907">
        <w:tc>
          <w:tcPr>
            <w:tcW w:w="1696" w:type="dxa"/>
          </w:tcPr>
          <w:p w14:paraId="4441CC6E" w14:textId="77777777" w:rsidR="00603AD5" w:rsidRDefault="00603AD5" w:rsidP="00525907">
            <w:r>
              <w:t xml:space="preserve">Citation </w:t>
            </w:r>
          </w:p>
        </w:tc>
        <w:tc>
          <w:tcPr>
            <w:tcW w:w="6514" w:type="dxa"/>
          </w:tcPr>
          <w:p w14:paraId="2B4C7313" w14:textId="5B6529DD" w:rsidR="00603AD5" w:rsidRPr="00603AD5" w:rsidRDefault="00603AD5" w:rsidP="00525907">
            <w:r>
              <w:t>King, J., Arau, A., Schiff, A., Garcia Aisa, M.</w:t>
            </w:r>
            <w:r w:rsidR="00713836">
              <w:t>, McKegg, K.</w:t>
            </w:r>
            <w:r>
              <w:t xml:space="preserve"> (</w:t>
            </w:r>
            <w:r w:rsidR="00713836">
              <w:t>2021</w:t>
            </w:r>
            <w:r>
              <w:t xml:space="preserve">). </w:t>
            </w:r>
            <w:r w:rsidR="00574C1E">
              <w:rPr>
                <w:i/>
                <w:iCs/>
              </w:rPr>
              <w:t>Social and Economic</w:t>
            </w:r>
            <w:r>
              <w:rPr>
                <w:i/>
                <w:iCs/>
              </w:rPr>
              <w:t xml:space="preserve"> </w:t>
            </w:r>
            <w:r w:rsidR="00FD45F3">
              <w:rPr>
                <w:i/>
                <w:iCs/>
              </w:rPr>
              <w:t xml:space="preserve">Impact </w:t>
            </w:r>
            <w:r>
              <w:rPr>
                <w:i/>
                <w:iCs/>
              </w:rPr>
              <w:t xml:space="preserve">Assessment of the RCA Programme: </w:t>
            </w:r>
            <w:r w:rsidR="00713836">
              <w:rPr>
                <w:i/>
                <w:iCs/>
              </w:rPr>
              <w:t>Non-Destructive Testing</w:t>
            </w:r>
            <w:r>
              <w:rPr>
                <w:i/>
                <w:iCs/>
              </w:rPr>
              <w:t xml:space="preserve"> Case Study. </w:t>
            </w:r>
            <w:r>
              <w:t xml:space="preserve">Vienna, Austria: International Atomic Energy Agency. </w:t>
            </w:r>
          </w:p>
        </w:tc>
      </w:tr>
    </w:tbl>
    <w:p w14:paraId="007E47FA" w14:textId="77777777" w:rsidR="00525907" w:rsidRDefault="00525907" w:rsidP="00C449EB"/>
    <w:p w14:paraId="079BF00E" w14:textId="77777777" w:rsidR="00525907" w:rsidRDefault="00525907" w:rsidP="00C449EB"/>
    <w:p w14:paraId="0454FF57" w14:textId="77777777" w:rsidR="00525907" w:rsidRDefault="00525907" w:rsidP="00525907">
      <w:pPr>
        <w:pStyle w:val="TOCHeading"/>
      </w:pPr>
      <w:r>
        <w:t>Disclaimer</w:t>
      </w:r>
    </w:p>
    <w:p w14:paraId="4BD458B3" w14:textId="77777777" w:rsidR="00525907" w:rsidRDefault="0055407A" w:rsidP="00C449EB">
      <w:r w:rsidRPr="0055407A">
        <w:t>Disclaimer: The information in this document is presented in good faith using the information available to us at the time of preparation. It is provided on the basis that the authors of the document are not liable to any person or organisation for any damage or loss which may occur in relation to taking or not taking action in respect of any information or advice within this document</w:t>
      </w:r>
    </w:p>
    <w:p w14:paraId="2C5BB40A" w14:textId="77777777" w:rsidR="00735FC8" w:rsidRDefault="00735FC8" w:rsidP="00C449EB"/>
    <w:p w14:paraId="5516C018" w14:textId="77777777" w:rsidR="0055407A" w:rsidRDefault="0055407A" w:rsidP="0055407A">
      <w:pPr>
        <w:pStyle w:val="TOCHeading"/>
      </w:pPr>
      <w:r>
        <w:t>Acknowledgements</w:t>
      </w:r>
    </w:p>
    <w:p w14:paraId="64D4381A" w14:textId="423846D5" w:rsidR="006A7D95" w:rsidRDefault="005B306B" w:rsidP="00782DBE">
      <w:r>
        <w:t xml:space="preserve">The authors are grateful for the close and effective </w:t>
      </w:r>
      <w:r w:rsidR="00200ED3">
        <w:t>assistance</w:t>
      </w:r>
      <w:r>
        <w:t xml:space="preserve"> of the Technical Cooperation Division for Asia-Pacific (TCAP) and Technical Cooperation Division of Programme Support and Coordination (TCPC) of the International Atomic Energy Agency (IAEA), and the experts from the 22 participating countries in the </w:t>
      </w:r>
      <w:r w:rsidR="008B235F">
        <w:t>Non-Destructive Testing</w:t>
      </w:r>
      <w:r>
        <w:t xml:space="preserve"> Regional Cooperative Agreement (RCA): </w:t>
      </w:r>
      <w:r w:rsidRPr="00BA36BA">
        <w:rPr>
          <w:highlight w:val="yellow"/>
          <w:lang w:val="en-US"/>
        </w:rPr>
        <w:t>Australia, Bangladesh, Cambodia, China, Fiji, India, Indonesia, Japan, Laos, Malaysia, Mongolia, Myanmar, Nepal, New Zealand, Pakistan, Palau, Philippines, Singapore, South Korea, Sri Lanka, Thailand, and Viet</w:t>
      </w:r>
      <w:r w:rsidR="00422C45" w:rsidRPr="00BA36BA">
        <w:rPr>
          <w:highlight w:val="yellow"/>
          <w:lang w:val="en-US"/>
        </w:rPr>
        <w:t xml:space="preserve"> N</w:t>
      </w:r>
      <w:r w:rsidRPr="00BA36BA">
        <w:rPr>
          <w:highlight w:val="yellow"/>
          <w:lang w:val="en-US"/>
        </w:rPr>
        <w:t>am</w:t>
      </w:r>
      <w:r w:rsidRPr="00946798">
        <w:rPr>
          <w:lang w:val="en-US"/>
        </w:rPr>
        <w:t>.</w:t>
      </w:r>
      <w:r>
        <w:rPr>
          <w:lang w:val="en-US"/>
        </w:rPr>
        <w:t xml:space="preserve"> </w:t>
      </w:r>
      <w:r w:rsidR="00603AD5">
        <w:rPr>
          <w:lang w:val="en-US"/>
        </w:rPr>
        <w:t xml:space="preserve">Their support and willingness to take part made this impact assessment possible. </w:t>
      </w:r>
      <w:r w:rsidR="006A7D95">
        <w:br w:type="page"/>
      </w:r>
    </w:p>
    <w:p w14:paraId="3C79200D" w14:textId="77777777" w:rsidR="00735FC8" w:rsidRDefault="00735FC8" w:rsidP="00C449EB"/>
    <w:sdt>
      <w:sdtPr>
        <w:rPr>
          <w:b w:val="0"/>
          <w:color w:val="auto"/>
          <w:sz w:val="20"/>
          <w:szCs w:val="22"/>
        </w:rPr>
        <w:id w:val="-1778167554"/>
        <w:docPartObj>
          <w:docPartGallery w:val="Table of Contents"/>
          <w:docPartUnique/>
        </w:docPartObj>
      </w:sdtPr>
      <w:sdtEndPr>
        <w:rPr>
          <w:bCs/>
          <w:noProof/>
        </w:rPr>
      </w:sdtEndPr>
      <w:sdtContent>
        <w:p w14:paraId="0DCF6E10" w14:textId="77777777" w:rsidR="006A7D95" w:rsidRPr="00F547BA" w:rsidRDefault="006A7D95" w:rsidP="006A7D95">
          <w:pPr>
            <w:pStyle w:val="TOCHeading"/>
          </w:pPr>
          <w:r w:rsidRPr="00D33590">
            <w:t>Contents</w:t>
          </w:r>
        </w:p>
        <w:p w14:paraId="13A2BB9A" w14:textId="7AFF953E" w:rsidR="008B235F" w:rsidRDefault="006A7D95">
          <w:pPr>
            <w:pStyle w:val="TOC1"/>
            <w:rPr>
              <w:rFonts w:eastAsiaTheme="minorEastAsia"/>
              <w:b w:val="0"/>
              <w:sz w:val="24"/>
              <w:szCs w:val="24"/>
              <w:lang w:val="en-NZ" w:eastAsia="en-GB"/>
            </w:rPr>
          </w:pPr>
          <w:r>
            <w:fldChar w:fldCharType="begin"/>
          </w:r>
          <w:r>
            <w:instrText xml:space="preserve"> TOC \o "1-3" \h \z \u </w:instrText>
          </w:r>
          <w:r>
            <w:fldChar w:fldCharType="separate"/>
          </w:r>
          <w:hyperlink w:anchor="_Toc81379267" w:history="1">
            <w:r w:rsidR="008B235F" w:rsidRPr="00441B2A">
              <w:rPr>
                <w:rStyle w:val="Hyperlink"/>
              </w:rPr>
              <w:t>Executive Summary</w:t>
            </w:r>
            <w:r w:rsidR="008B235F">
              <w:rPr>
                <w:webHidden/>
              </w:rPr>
              <w:tab/>
            </w:r>
            <w:r w:rsidR="008B235F">
              <w:rPr>
                <w:webHidden/>
              </w:rPr>
              <w:fldChar w:fldCharType="begin"/>
            </w:r>
            <w:r w:rsidR="008B235F">
              <w:rPr>
                <w:webHidden/>
              </w:rPr>
              <w:instrText xml:space="preserve"> PAGEREF _Toc81379267 \h </w:instrText>
            </w:r>
            <w:r w:rsidR="008B235F">
              <w:rPr>
                <w:webHidden/>
              </w:rPr>
            </w:r>
            <w:r w:rsidR="008B235F">
              <w:rPr>
                <w:webHidden/>
              </w:rPr>
              <w:fldChar w:fldCharType="separate"/>
            </w:r>
            <w:r w:rsidR="008B235F">
              <w:rPr>
                <w:webHidden/>
              </w:rPr>
              <w:t>5</w:t>
            </w:r>
            <w:r w:rsidR="008B235F">
              <w:rPr>
                <w:webHidden/>
              </w:rPr>
              <w:fldChar w:fldCharType="end"/>
            </w:r>
          </w:hyperlink>
        </w:p>
        <w:p w14:paraId="6503C4CE" w14:textId="50D9207C" w:rsidR="008B235F" w:rsidRDefault="006D798A">
          <w:pPr>
            <w:pStyle w:val="TOC1"/>
            <w:rPr>
              <w:rFonts w:eastAsiaTheme="minorEastAsia"/>
              <w:b w:val="0"/>
              <w:sz w:val="24"/>
              <w:szCs w:val="24"/>
              <w:lang w:val="en-NZ" w:eastAsia="en-GB"/>
            </w:rPr>
          </w:pPr>
          <w:hyperlink w:anchor="_Toc81379268" w:history="1">
            <w:r w:rsidR="008B235F" w:rsidRPr="00441B2A">
              <w:rPr>
                <w:rStyle w:val="Hyperlink"/>
              </w:rPr>
              <w:t>Introduction</w:t>
            </w:r>
            <w:r w:rsidR="008B235F">
              <w:rPr>
                <w:webHidden/>
              </w:rPr>
              <w:tab/>
            </w:r>
            <w:r w:rsidR="008B235F">
              <w:rPr>
                <w:webHidden/>
              </w:rPr>
              <w:fldChar w:fldCharType="begin"/>
            </w:r>
            <w:r w:rsidR="008B235F">
              <w:rPr>
                <w:webHidden/>
              </w:rPr>
              <w:instrText xml:space="preserve"> PAGEREF _Toc81379268 \h </w:instrText>
            </w:r>
            <w:r w:rsidR="008B235F">
              <w:rPr>
                <w:webHidden/>
              </w:rPr>
            </w:r>
            <w:r w:rsidR="008B235F">
              <w:rPr>
                <w:webHidden/>
              </w:rPr>
              <w:fldChar w:fldCharType="separate"/>
            </w:r>
            <w:r w:rsidR="008B235F">
              <w:rPr>
                <w:webHidden/>
              </w:rPr>
              <w:t>6</w:t>
            </w:r>
            <w:r w:rsidR="008B235F">
              <w:rPr>
                <w:webHidden/>
              </w:rPr>
              <w:fldChar w:fldCharType="end"/>
            </w:r>
          </w:hyperlink>
        </w:p>
        <w:p w14:paraId="5CA20613" w14:textId="1561D013" w:rsidR="008B235F" w:rsidRDefault="006D798A">
          <w:pPr>
            <w:pStyle w:val="TOC2"/>
            <w:rPr>
              <w:rFonts w:eastAsiaTheme="minorEastAsia"/>
              <w:sz w:val="24"/>
              <w:szCs w:val="24"/>
              <w:lang w:val="en-NZ" w:eastAsia="en-GB"/>
            </w:rPr>
          </w:pPr>
          <w:hyperlink w:anchor="_Toc81379269" w:history="1">
            <w:r w:rsidR="008B235F" w:rsidRPr="00441B2A">
              <w:rPr>
                <w:rStyle w:val="Hyperlink"/>
              </w:rPr>
              <w:t>Non-destructive testing</w:t>
            </w:r>
            <w:r w:rsidR="008B235F">
              <w:rPr>
                <w:webHidden/>
              </w:rPr>
              <w:tab/>
            </w:r>
            <w:r w:rsidR="008B235F">
              <w:rPr>
                <w:webHidden/>
              </w:rPr>
              <w:fldChar w:fldCharType="begin"/>
            </w:r>
            <w:r w:rsidR="008B235F">
              <w:rPr>
                <w:webHidden/>
              </w:rPr>
              <w:instrText xml:space="preserve"> PAGEREF _Toc81379269 \h </w:instrText>
            </w:r>
            <w:r w:rsidR="008B235F">
              <w:rPr>
                <w:webHidden/>
              </w:rPr>
            </w:r>
            <w:r w:rsidR="008B235F">
              <w:rPr>
                <w:webHidden/>
              </w:rPr>
              <w:fldChar w:fldCharType="separate"/>
            </w:r>
            <w:r w:rsidR="008B235F">
              <w:rPr>
                <w:webHidden/>
              </w:rPr>
              <w:t>6</w:t>
            </w:r>
            <w:r w:rsidR="008B235F">
              <w:rPr>
                <w:webHidden/>
              </w:rPr>
              <w:fldChar w:fldCharType="end"/>
            </w:r>
          </w:hyperlink>
        </w:p>
        <w:p w14:paraId="4ECFEEAD" w14:textId="3D367EEF" w:rsidR="008B235F" w:rsidRDefault="006D798A">
          <w:pPr>
            <w:pStyle w:val="TOC2"/>
            <w:rPr>
              <w:rFonts w:eastAsiaTheme="minorEastAsia"/>
              <w:sz w:val="24"/>
              <w:szCs w:val="24"/>
              <w:lang w:val="en-NZ" w:eastAsia="en-GB"/>
            </w:rPr>
          </w:pPr>
          <w:hyperlink w:anchor="_Toc81379270" w:history="1">
            <w:r w:rsidR="008B235F" w:rsidRPr="00441B2A">
              <w:rPr>
                <w:rStyle w:val="Hyperlink"/>
              </w:rPr>
              <w:t>Social and economic impact assessment methods</w:t>
            </w:r>
            <w:r w:rsidR="008B235F">
              <w:rPr>
                <w:webHidden/>
              </w:rPr>
              <w:tab/>
            </w:r>
            <w:r w:rsidR="008B235F">
              <w:rPr>
                <w:webHidden/>
              </w:rPr>
              <w:fldChar w:fldCharType="begin"/>
            </w:r>
            <w:r w:rsidR="008B235F">
              <w:rPr>
                <w:webHidden/>
              </w:rPr>
              <w:instrText xml:space="preserve"> PAGEREF _Toc81379270 \h </w:instrText>
            </w:r>
            <w:r w:rsidR="008B235F">
              <w:rPr>
                <w:webHidden/>
              </w:rPr>
            </w:r>
            <w:r w:rsidR="008B235F">
              <w:rPr>
                <w:webHidden/>
              </w:rPr>
              <w:fldChar w:fldCharType="separate"/>
            </w:r>
            <w:r w:rsidR="008B235F">
              <w:rPr>
                <w:webHidden/>
              </w:rPr>
              <w:t>6</w:t>
            </w:r>
            <w:r w:rsidR="008B235F">
              <w:rPr>
                <w:webHidden/>
              </w:rPr>
              <w:fldChar w:fldCharType="end"/>
            </w:r>
          </w:hyperlink>
        </w:p>
        <w:p w14:paraId="1A0452A5" w14:textId="70E8EF5D" w:rsidR="008B235F" w:rsidRDefault="006D798A">
          <w:pPr>
            <w:pStyle w:val="TOC1"/>
            <w:rPr>
              <w:rFonts w:eastAsiaTheme="minorEastAsia"/>
              <w:b w:val="0"/>
              <w:sz w:val="24"/>
              <w:szCs w:val="24"/>
              <w:lang w:val="en-NZ" w:eastAsia="en-GB"/>
            </w:rPr>
          </w:pPr>
          <w:hyperlink w:anchor="_Toc81379271" w:history="1">
            <w:r w:rsidR="008B235F" w:rsidRPr="00441B2A">
              <w:rPr>
                <w:rStyle w:val="Hyperlink"/>
              </w:rPr>
              <w:t>Social and economic impacts</w:t>
            </w:r>
            <w:r w:rsidR="008B235F">
              <w:rPr>
                <w:webHidden/>
              </w:rPr>
              <w:tab/>
            </w:r>
            <w:r w:rsidR="008B235F">
              <w:rPr>
                <w:webHidden/>
              </w:rPr>
              <w:fldChar w:fldCharType="begin"/>
            </w:r>
            <w:r w:rsidR="008B235F">
              <w:rPr>
                <w:webHidden/>
              </w:rPr>
              <w:instrText xml:space="preserve"> PAGEREF _Toc81379271 \h </w:instrText>
            </w:r>
            <w:r w:rsidR="008B235F">
              <w:rPr>
                <w:webHidden/>
              </w:rPr>
            </w:r>
            <w:r w:rsidR="008B235F">
              <w:rPr>
                <w:webHidden/>
              </w:rPr>
              <w:fldChar w:fldCharType="separate"/>
            </w:r>
            <w:r w:rsidR="008B235F">
              <w:rPr>
                <w:webHidden/>
              </w:rPr>
              <w:t>8</w:t>
            </w:r>
            <w:r w:rsidR="008B235F">
              <w:rPr>
                <w:webHidden/>
              </w:rPr>
              <w:fldChar w:fldCharType="end"/>
            </w:r>
          </w:hyperlink>
        </w:p>
        <w:p w14:paraId="32E337B8" w14:textId="332259A4" w:rsidR="008B235F" w:rsidRDefault="006D798A">
          <w:pPr>
            <w:pStyle w:val="TOC2"/>
            <w:rPr>
              <w:rFonts w:eastAsiaTheme="minorEastAsia"/>
              <w:sz w:val="24"/>
              <w:szCs w:val="24"/>
              <w:lang w:val="en-NZ" w:eastAsia="en-GB"/>
            </w:rPr>
          </w:pPr>
          <w:hyperlink w:anchor="_Toc81379272" w:history="1">
            <w:r w:rsidR="008B235F" w:rsidRPr="00441B2A">
              <w:rPr>
                <w:rStyle w:val="Hyperlink"/>
              </w:rPr>
              <w:t>Improved non-destructive testing capacity and capability</w:t>
            </w:r>
            <w:r w:rsidR="008B235F">
              <w:rPr>
                <w:webHidden/>
              </w:rPr>
              <w:tab/>
            </w:r>
            <w:r w:rsidR="008B235F">
              <w:rPr>
                <w:webHidden/>
              </w:rPr>
              <w:fldChar w:fldCharType="begin"/>
            </w:r>
            <w:r w:rsidR="008B235F">
              <w:rPr>
                <w:webHidden/>
              </w:rPr>
              <w:instrText xml:space="preserve"> PAGEREF _Toc81379272 \h </w:instrText>
            </w:r>
            <w:r w:rsidR="008B235F">
              <w:rPr>
                <w:webHidden/>
              </w:rPr>
            </w:r>
            <w:r w:rsidR="008B235F">
              <w:rPr>
                <w:webHidden/>
              </w:rPr>
              <w:fldChar w:fldCharType="separate"/>
            </w:r>
            <w:r w:rsidR="008B235F">
              <w:rPr>
                <w:webHidden/>
              </w:rPr>
              <w:t>8</w:t>
            </w:r>
            <w:r w:rsidR="008B235F">
              <w:rPr>
                <w:webHidden/>
              </w:rPr>
              <w:fldChar w:fldCharType="end"/>
            </w:r>
          </w:hyperlink>
        </w:p>
        <w:p w14:paraId="51DD5506" w14:textId="3ECF109A" w:rsidR="008B235F" w:rsidRDefault="006D798A">
          <w:pPr>
            <w:pStyle w:val="TOC2"/>
            <w:rPr>
              <w:rFonts w:eastAsiaTheme="minorEastAsia"/>
              <w:sz w:val="24"/>
              <w:szCs w:val="24"/>
              <w:lang w:val="en-NZ" w:eastAsia="en-GB"/>
            </w:rPr>
          </w:pPr>
          <w:hyperlink w:anchor="_Toc81379273" w:history="1">
            <w:r w:rsidR="008B235F" w:rsidRPr="00441B2A">
              <w:rPr>
                <w:rStyle w:val="Hyperlink"/>
              </w:rPr>
              <w:t>Increased scope and scale of non-destructive testing demand and use</w:t>
            </w:r>
            <w:r w:rsidR="008B235F">
              <w:rPr>
                <w:webHidden/>
              </w:rPr>
              <w:tab/>
            </w:r>
            <w:r w:rsidR="008B235F">
              <w:rPr>
                <w:webHidden/>
              </w:rPr>
              <w:fldChar w:fldCharType="begin"/>
            </w:r>
            <w:r w:rsidR="008B235F">
              <w:rPr>
                <w:webHidden/>
              </w:rPr>
              <w:instrText xml:space="preserve"> PAGEREF _Toc81379273 \h </w:instrText>
            </w:r>
            <w:r w:rsidR="008B235F">
              <w:rPr>
                <w:webHidden/>
              </w:rPr>
            </w:r>
            <w:r w:rsidR="008B235F">
              <w:rPr>
                <w:webHidden/>
              </w:rPr>
              <w:fldChar w:fldCharType="separate"/>
            </w:r>
            <w:r w:rsidR="008B235F">
              <w:rPr>
                <w:webHidden/>
              </w:rPr>
              <w:t>8</w:t>
            </w:r>
            <w:r w:rsidR="008B235F">
              <w:rPr>
                <w:webHidden/>
              </w:rPr>
              <w:fldChar w:fldCharType="end"/>
            </w:r>
          </w:hyperlink>
        </w:p>
        <w:p w14:paraId="3313B673" w14:textId="3192FDE6" w:rsidR="008B235F" w:rsidRDefault="006D798A">
          <w:pPr>
            <w:pStyle w:val="TOC2"/>
            <w:rPr>
              <w:rFonts w:eastAsiaTheme="minorEastAsia"/>
              <w:sz w:val="24"/>
              <w:szCs w:val="24"/>
              <w:lang w:val="en-NZ" w:eastAsia="en-GB"/>
            </w:rPr>
          </w:pPr>
          <w:hyperlink w:anchor="_Toc81379274" w:history="1">
            <w:r w:rsidR="008B235F" w:rsidRPr="00441B2A">
              <w:rPr>
                <w:rStyle w:val="Hyperlink"/>
              </w:rPr>
              <w:t>Improved health and safety</w:t>
            </w:r>
            <w:r w:rsidR="008B235F">
              <w:rPr>
                <w:webHidden/>
              </w:rPr>
              <w:tab/>
            </w:r>
            <w:r w:rsidR="008B235F">
              <w:rPr>
                <w:webHidden/>
              </w:rPr>
              <w:fldChar w:fldCharType="begin"/>
            </w:r>
            <w:r w:rsidR="008B235F">
              <w:rPr>
                <w:webHidden/>
              </w:rPr>
              <w:instrText xml:space="preserve"> PAGEREF _Toc81379274 \h </w:instrText>
            </w:r>
            <w:r w:rsidR="008B235F">
              <w:rPr>
                <w:webHidden/>
              </w:rPr>
            </w:r>
            <w:r w:rsidR="008B235F">
              <w:rPr>
                <w:webHidden/>
              </w:rPr>
              <w:fldChar w:fldCharType="separate"/>
            </w:r>
            <w:r w:rsidR="008B235F">
              <w:rPr>
                <w:webHidden/>
              </w:rPr>
              <w:t>8</w:t>
            </w:r>
            <w:r w:rsidR="008B235F">
              <w:rPr>
                <w:webHidden/>
              </w:rPr>
              <w:fldChar w:fldCharType="end"/>
            </w:r>
          </w:hyperlink>
        </w:p>
        <w:p w14:paraId="164B2981" w14:textId="4EC3E22B" w:rsidR="008B235F" w:rsidRDefault="006D798A">
          <w:pPr>
            <w:pStyle w:val="TOC2"/>
            <w:rPr>
              <w:rFonts w:eastAsiaTheme="minorEastAsia"/>
              <w:sz w:val="24"/>
              <w:szCs w:val="24"/>
              <w:lang w:val="en-NZ" w:eastAsia="en-GB"/>
            </w:rPr>
          </w:pPr>
          <w:hyperlink w:anchor="_Toc81379275" w:history="1">
            <w:r w:rsidR="008B235F" w:rsidRPr="00441B2A">
              <w:rPr>
                <w:rStyle w:val="Hyperlink"/>
              </w:rPr>
              <w:t>Economic impacts</w:t>
            </w:r>
            <w:r w:rsidR="008B235F">
              <w:rPr>
                <w:webHidden/>
              </w:rPr>
              <w:tab/>
            </w:r>
            <w:r w:rsidR="008B235F">
              <w:rPr>
                <w:webHidden/>
              </w:rPr>
              <w:fldChar w:fldCharType="begin"/>
            </w:r>
            <w:r w:rsidR="008B235F">
              <w:rPr>
                <w:webHidden/>
              </w:rPr>
              <w:instrText xml:space="preserve"> PAGEREF _Toc81379275 \h </w:instrText>
            </w:r>
            <w:r w:rsidR="008B235F">
              <w:rPr>
                <w:webHidden/>
              </w:rPr>
            </w:r>
            <w:r w:rsidR="008B235F">
              <w:rPr>
                <w:webHidden/>
              </w:rPr>
              <w:fldChar w:fldCharType="separate"/>
            </w:r>
            <w:r w:rsidR="008B235F">
              <w:rPr>
                <w:webHidden/>
              </w:rPr>
              <w:t>8</w:t>
            </w:r>
            <w:r w:rsidR="008B235F">
              <w:rPr>
                <w:webHidden/>
              </w:rPr>
              <w:fldChar w:fldCharType="end"/>
            </w:r>
          </w:hyperlink>
        </w:p>
        <w:p w14:paraId="5C83F787" w14:textId="4E3B829A" w:rsidR="008B235F" w:rsidRDefault="006D798A">
          <w:pPr>
            <w:pStyle w:val="TOC2"/>
            <w:rPr>
              <w:rFonts w:eastAsiaTheme="minorEastAsia"/>
              <w:sz w:val="24"/>
              <w:szCs w:val="24"/>
              <w:lang w:val="en-NZ" w:eastAsia="en-GB"/>
            </w:rPr>
          </w:pPr>
          <w:hyperlink w:anchor="_Toc81379276" w:history="1">
            <w:r w:rsidR="008B235F" w:rsidRPr="00441B2A">
              <w:rPr>
                <w:rStyle w:val="Hyperlink"/>
              </w:rPr>
              <w:t>Conclusion</w:t>
            </w:r>
            <w:r w:rsidR="008B235F">
              <w:rPr>
                <w:webHidden/>
              </w:rPr>
              <w:tab/>
            </w:r>
            <w:r w:rsidR="008B235F">
              <w:rPr>
                <w:webHidden/>
              </w:rPr>
              <w:fldChar w:fldCharType="begin"/>
            </w:r>
            <w:r w:rsidR="008B235F">
              <w:rPr>
                <w:webHidden/>
              </w:rPr>
              <w:instrText xml:space="preserve"> PAGEREF _Toc81379276 \h </w:instrText>
            </w:r>
            <w:r w:rsidR="008B235F">
              <w:rPr>
                <w:webHidden/>
              </w:rPr>
            </w:r>
            <w:r w:rsidR="008B235F">
              <w:rPr>
                <w:webHidden/>
              </w:rPr>
              <w:fldChar w:fldCharType="separate"/>
            </w:r>
            <w:r w:rsidR="008B235F">
              <w:rPr>
                <w:webHidden/>
              </w:rPr>
              <w:t>10</w:t>
            </w:r>
            <w:r w:rsidR="008B235F">
              <w:rPr>
                <w:webHidden/>
              </w:rPr>
              <w:fldChar w:fldCharType="end"/>
            </w:r>
          </w:hyperlink>
        </w:p>
        <w:p w14:paraId="4DBBE2B0" w14:textId="2D27CE93" w:rsidR="008B235F" w:rsidRDefault="006D798A">
          <w:pPr>
            <w:pStyle w:val="TOC1"/>
            <w:rPr>
              <w:rFonts w:eastAsiaTheme="minorEastAsia"/>
              <w:b w:val="0"/>
              <w:sz w:val="24"/>
              <w:szCs w:val="24"/>
              <w:lang w:val="en-NZ" w:eastAsia="en-GB"/>
            </w:rPr>
          </w:pPr>
          <w:hyperlink w:anchor="_Toc81379277" w:history="1">
            <w:r w:rsidR="008B235F" w:rsidRPr="00441B2A">
              <w:rPr>
                <w:rStyle w:val="Hyperlink"/>
              </w:rPr>
              <w:t xml:space="preserve">Annex A: </w:t>
            </w:r>
            <w:r w:rsidR="008B235F" w:rsidRPr="00441B2A">
              <w:rPr>
                <w:rStyle w:val="Hyperlink"/>
                <w:bCs/>
              </w:rPr>
              <w:t>[</w:t>
            </w:r>
            <w:r w:rsidR="008B235F" w:rsidRPr="00441B2A">
              <w:rPr>
                <w:rStyle w:val="Hyperlink"/>
                <w:bCs/>
                <w:highlight w:val="yellow"/>
              </w:rPr>
              <w:t>project and country</w:t>
            </w:r>
            <w:r w:rsidR="008B235F" w:rsidRPr="00441B2A">
              <w:rPr>
                <w:rStyle w:val="Hyperlink"/>
                <w:bCs/>
              </w:rPr>
              <w:t>] – case example</w:t>
            </w:r>
            <w:r w:rsidR="008B235F">
              <w:rPr>
                <w:webHidden/>
              </w:rPr>
              <w:tab/>
            </w:r>
            <w:r w:rsidR="008B235F">
              <w:rPr>
                <w:webHidden/>
              </w:rPr>
              <w:fldChar w:fldCharType="begin"/>
            </w:r>
            <w:r w:rsidR="008B235F">
              <w:rPr>
                <w:webHidden/>
              </w:rPr>
              <w:instrText xml:space="preserve"> PAGEREF _Toc81379277 \h </w:instrText>
            </w:r>
            <w:r w:rsidR="008B235F">
              <w:rPr>
                <w:webHidden/>
              </w:rPr>
            </w:r>
            <w:r w:rsidR="008B235F">
              <w:rPr>
                <w:webHidden/>
              </w:rPr>
              <w:fldChar w:fldCharType="separate"/>
            </w:r>
            <w:r w:rsidR="008B235F">
              <w:rPr>
                <w:webHidden/>
              </w:rPr>
              <w:t>11</w:t>
            </w:r>
            <w:r w:rsidR="008B235F">
              <w:rPr>
                <w:webHidden/>
              </w:rPr>
              <w:fldChar w:fldCharType="end"/>
            </w:r>
          </w:hyperlink>
        </w:p>
        <w:p w14:paraId="3BF46250" w14:textId="26EEB1E3" w:rsidR="008B235F" w:rsidRDefault="006D798A">
          <w:pPr>
            <w:pStyle w:val="TOC3"/>
            <w:rPr>
              <w:rFonts w:eastAsiaTheme="minorEastAsia"/>
              <w:sz w:val="24"/>
              <w:szCs w:val="24"/>
              <w:lang w:val="en-NZ" w:eastAsia="en-GB"/>
            </w:rPr>
          </w:pPr>
          <w:hyperlink w:anchor="_Toc81379278" w:history="1">
            <w:r w:rsidR="008B235F" w:rsidRPr="00441B2A">
              <w:rPr>
                <w:rStyle w:val="Hyperlink"/>
              </w:rPr>
              <w:t>Marti</w:t>
            </w:r>
            <w:r w:rsidR="008B235F">
              <w:rPr>
                <w:webHidden/>
              </w:rPr>
              <w:tab/>
            </w:r>
            <w:r w:rsidR="008B235F">
              <w:rPr>
                <w:webHidden/>
              </w:rPr>
              <w:fldChar w:fldCharType="begin"/>
            </w:r>
            <w:r w:rsidR="008B235F">
              <w:rPr>
                <w:webHidden/>
              </w:rPr>
              <w:instrText xml:space="preserve"> PAGEREF _Toc81379278 \h </w:instrText>
            </w:r>
            <w:r w:rsidR="008B235F">
              <w:rPr>
                <w:webHidden/>
              </w:rPr>
            </w:r>
            <w:r w:rsidR="008B235F">
              <w:rPr>
                <w:webHidden/>
              </w:rPr>
              <w:fldChar w:fldCharType="separate"/>
            </w:r>
            <w:r w:rsidR="008B235F">
              <w:rPr>
                <w:webHidden/>
              </w:rPr>
              <w:t>11</w:t>
            </w:r>
            <w:r w:rsidR="008B235F">
              <w:rPr>
                <w:webHidden/>
              </w:rPr>
              <w:fldChar w:fldCharType="end"/>
            </w:r>
          </w:hyperlink>
        </w:p>
        <w:p w14:paraId="296C71E1" w14:textId="34401A98" w:rsidR="008B235F" w:rsidRDefault="006D798A">
          <w:pPr>
            <w:pStyle w:val="TOC1"/>
            <w:rPr>
              <w:rFonts w:eastAsiaTheme="minorEastAsia"/>
              <w:b w:val="0"/>
              <w:sz w:val="24"/>
              <w:szCs w:val="24"/>
              <w:lang w:val="en-NZ" w:eastAsia="en-GB"/>
            </w:rPr>
          </w:pPr>
          <w:hyperlink w:anchor="_Toc81379279" w:history="1">
            <w:r w:rsidR="008B235F" w:rsidRPr="00441B2A">
              <w:rPr>
                <w:rStyle w:val="Hyperlink"/>
              </w:rPr>
              <w:t xml:space="preserve">Annex B: </w:t>
            </w:r>
            <w:r w:rsidR="008B235F" w:rsidRPr="00441B2A">
              <w:rPr>
                <w:rStyle w:val="Hyperlink"/>
                <w:bCs/>
              </w:rPr>
              <w:t>[</w:t>
            </w:r>
            <w:r w:rsidR="008B235F" w:rsidRPr="00441B2A">
              <w:rPr>
                <w:rStyle w:val="Hyperlink"/>
                <w:bCs/>
                <w:highlight w:val="yellow"/>
              </w:rPr>
              <w:t>project and country</w:t>
            </w:r>
            <w:r w:rsidR="008B235F" w:rsidRPr="00441B2A">
              <w:rPr>
                <w:rStyle w:val="Hyperlink"/>
                <w:bCs/>
              </w:rPr>
              <w:t>] – case example</w:t>
            </w:r>
            <w:r w:rsidR="008B235F">
              <w:rPr>
                <w:webHidden/>
              </w:rPr>
              <w:tab/>
            </w:r>
            <w:r w:rsidR="008B235F">
              <w:rPr>
                <w:webHidden/>
              </w:rPr>
              <w:fldChar w:fldCharType="begin"/>
            </w:r>
            <w:r w:rsidR="008B235F">
              <w:rPr>
                <w:webHidden/>
              </w:rPr>
              <w:instrText xml:space="preserve"> PAGEREF _Toc81379279 \h </w:instrText>
            </w:r>
            <w:r w:rsidR="008B235F">
              <w:rPr>
                <w:webHidden/>
              </w:rPr>
            </w:r>
            <w:r w:rsidR="008B235F">
              <w:rPr>
                <w:webHidden/>
              </w:rPr>
              <w:fldChar w:fldCharType="separate"/>
            </w:r>
            <w:r w:rsidR="008B235F">
              <w:rPr>
                <w:webHidden/>
              </w:rPr>
              <w:t>12</w:t>
            </w:r>
            <w:r w:rsidR="008B235F">
              <w:rPr>
                <w:webHidden/>
              </w:rPr>
              <w:fldChar w:fldCharType="end"/>
            </w:r>
          </w:hyperlink>
        </w:p>
        <w:p w14:paraId="40597DE9" w14:textId="713C2E29" w:rsidR="008B235F" w:rsidRDefault="006D798A">
          <w:pPr>
            <w:pStyle w:val="TOC3"/>
            <w:rPr>
              <w:rFonts w:eastAsiaTheme="minorEastAsia"/>
              <w:sz w:val="24"/>
              <w:szCs w:val="24"/>
              <w:lang w:val="en-NZ" w:eastAsia="en-GB"/>
            </w:rPr>
          </w:pPr>
          <w:hyperlink w:anchor="_Toc81379280" w:history="1">
            <w:r w:rsidR="008B235F" w:rsidRPr="00441B2A">
              <w:rPr>
                <w:rStyle w:val="Hyperlink"/>
              </w:rPr>
              <w:t>Marti</w:t>
            </w:r>
            <w:r w:rsidR="008B235F">
              <w:rPr>
                <w:webHidden/>
              </w:rPr>
              <w:tab/>
            </w:r>
            <w:r w:rsidR="008B235F">
              <w:rPr>
                <w:webHidden/>
              </w:rPr>
              <w:fldChar w:fldCharType="begin"/>
            </w:r>
            <w:r w:rsidR="008B235F">
              <w:rPr>
                <w:webHidden/>
              </w:rPr>
              <w:instrText xml:space="preserve"> PAGEREF _Toc81379280 \h </w:instrText>
            </w:r>
            <w:r w:rsidR="008B235F">
              <w:rPr>
                <w:webHidden/>
              </w:rPr>
            </w:r>
            <w:r w:rsidR="008B235F">
              <w:rPr>
                <w:webHidden/>
              </w:rPr>
              <w:fldChar w:fldCharType="separate"/>
            </w:r>
            <w:r w:rsidR="008B235F">
              <w:rPr>
                <w:webHidden/>
              </w:rPr>
              <w:t>12</w:t>
            </w:r>
            <w:r w:rsidR="008B235F">
              <w:rPr>
                <w:webHidden/>
              </w:rPr>
              <w:fldChar w:fldCharType="end"/>
            </w:r>
          </w:hyperlink>
        </w:p>
        <w:p w14:paraId="44401DD3" w14:textId="31B54A20" w:rsidR="008B235F" w:rsidRDefault="006D798A">
          <w:pPr>
            <w:pStyle w:val="TOC1"/>
            <w:rPr>
              <w:rFonts w:eastAsiaTheme="minorEastAsia"/>
              <w:b w:val="0"/>
              <w:sz w:val="24"/>
              <w:szCs w:val="24"/>
              <w:lang w:val="en-NZ" w:eastAsia="en-GB"/>
            </w:rPr>
          </w:pPr>
          <w:hyperlink w:anchor="_Toc81379281" w:history="1">
            <w:r w:rsidR="008B235F" w:rsidRPr="00441B2A">
              <w:rPr>
                <w:rStyle w:val="Hyperlink"/>
              </w:rPr>
              <w:t xml:space="preserve">Annex C: </w:t>
            </w:r>
            <w:r w:rsidR="008B235F" w:rsidRPr="00441B2A">
              <w:rPr>
                <w:rStyle w:val="Hyperlink"/>
                <w:bCs/>
              </w:rPr>
              <w:t>[</w:t>
            </w:r>
            <w:r w:rsidR="008B235F" w:rsidRPr="00441B2A">
              <w:rPr>
                <w:rStyle w:val="Hyperlink"/>
                <w:bCs/>
                <w:highlight w:val="yellow"/>
              </w:rPr>
              <w:t>project and country</w:t>
            </w:r>
            <w:r w:rsidR="008B235F" w:rsidRPr="00441B2A">
              <w:rPr>
                <w:rStyle w:val="Hyperlink"/>
                <w:bCs/>
              </w:rPr>
              <w:t>] – case example</w:t>
            </w:r>
            <w:r w:rsidR="008B235F">
              <w:rPr>
                <w:webHidden/>
              </w:rPr>
              <w:tab/>
            </w:r>
            <w:r w:rsidR="008B235F">
              <w:rPr>
                <w:webHidden/>
              </w:rPr>
              <w:fldChar w:fldCharType="begin"/>
            </w:r>
            <w:r w:rsidR="008B235F">
              <w:rPr>
                <w:webHidden/>
              </w:rPr>
              <w:instrText xml:space="preserve"> PAGEREF _Toc81379281 \h </w:instrText>
            </w:r>
            <w:r w:rsidR="008B235F">
              <w:rPr>
                <w:webHidden/>
              </w:rPr>
            </w:r>
            <w:r w:rsidR="008B235F">
              <w:rPr>
                <w:webHidden/>
              </w:rPr>
              <w:fldChar w:fldCharType="separate"/>
            </w:r>
            <w:r w:rsidR="008B235F">
              <w:rPr>
                <w:webHidden/>
              </w:rPr>
              <w:t>13</w:t>
            </w:r>
            <w:r w:rsidR="008B235F">
              <w:rPr>
                <w:webHidden/>
              </w:rPr>
              <w:fldChar w:fldCharType="end"/>
            </w:r>
          </w:hyperlink>
        </w:p>
        <w:p w14:paraId="6AC4FABF" w14:textId="796C3C45" w:rsidR="008B235F" w:rsidRDefault="006D798A">
          <w:pPr>
            <w:pStyle w:val="TOC3"/>
            <w:rPr>
              <w:rFonts w:eastAsiaTheme="minorEastAsia"/>
              <w:sz w:val="24"/>
              <w:szCs w:val="24"/>
              <w:lang w:val="en-NZ" w:eastAsia="en-GB"/>
            </w:rPr>
          </w:pPr>
          <w:hyperlink w:anchor="_Toc81379282" w:history="1">
            <w:r w:rsidR="008B235F" w:rsidRPr="00441B2A">
              <w:rPr>
                <w:rStyle w:val="Hyperlink"/>
              </w:rPr>
              <w:t>Marti</w:t>
            </w:r>
            <w:r w:rsidR="008B235F">
              <w:rPr>
                <w:webHidden/>
              </w:rPr>
              <w:tab/>
            </w:r>
            <w:r w:rsidR="008B235F">
              <w:rPr>
                <w:webHidden/>
              </w:rPr>
              <w:fldChar w:fldCharType="begin"/>
            </w:r>
            <w:r w:rsidR="008B235F">
              <w:rPr>
                <w:webHidden/>
              </w:rPr>
              <w:instrText xml:space="preserve"> PAGEREF _Toc81379282 \h </w:instrText>
            </w:r>
            <w:r w:rsidR="008B235F">
              <w:rPr>
                <w:webHidden/>
              </w:rPr>
            </w:r>
            <w:r w:rsidR="008B235F">
              <w:rPr>
                <w:webHidden/>
              </w:rPr>
              <w:fldChar w:fldCharType="separate"/>
            </w:r>
            <w:r w:rsidR="008B235F">
              <w:rPr>
                <w:webHidden/>
              </w:rPr>
              <w:t>13</w:t>
            </w:r>
            <w:r w:rsidR="008B235F">
              <w:rPr>
                <w:webHidden/>
              </w:rPr>
              <w:fldChar w:fldCharType="end"/>
            </w:r>
          </w:hyperlink>
        </w:p>
        <w:p w14:paraId="21D45C16" w14:textId="4827BD6D" w:rsidR="008B235F" w:rsidRDefault="006D798A">
          <w:pPr>
            <w:pStyle w:val="TOC1"/>
            <w:rPr>
              <w:rFonts w:eastAsiaTheme="minorEastAsia"/>
              <w:b w:val="0"/>
              <w:sz w:val="24"/>
              <w:szCs w:val="24"/>
              <w:lang w:val="en-NZ" w:eastAsia="en-GB"/>
            </w:rPr>
          </w:pPr>
          <w:hyperlink w:anchor="_Toc81379283" w:history="1">
            <w:r w:rsidR="008B235F" w:rsidRPr="00441B2A">
              <w:rPr>
                <w:rStyle w:val="Hyperlink"/>
              </w:rPr>
              <w:t xml:space="preserve">Annex D: </w:t>
            </w:r>
            <w:r w:rsidR="008B235F" w:rsidRPr="00441B2A">
              <w:rPr>
                <w:rStyle w:val="Hyperlink"/>
                <w:bCs/>
              </w:rPr>
              <w:t>[</w:t>
            </w:r>
            <w:r w:rsidR="008B235F" w:rsidRPr="00441B2A">
              <w:rPr>
                <w:rStyle w:val="Hyperlink"/>
                <w:bCs/>
                <w:highlight w:val="yellow"/>
              </w:rPr>
              <w:t>project and country</w:t>
            </w:r>
            <w:r w:rsidR="008B235F" w:rsidRPr="00441B2A">
              <w:rPr>
                <w:rStyle w:val="Hyperlink"/>
                <w:bCs/>
              </w:rPr>
              <w:t>] – case example</w:t>
            </w:r>
            <w:r w:rsidR="008B235F">
              <w:rPr>
                <w:webHidden/>
              </w:rPr>
              <w:tab/>
            </w:r>
            <w:r w:rsidR="008B235F">
              <w:rPr>
                <w:webHidden/>
              </w:rPr>
              <w:fldChar w:fldCharType="begin"/>
            </w:r>
            <w:r w:rsidR="008B235F">
              <w:rPr>
                <w:webHidden/>
              </w:rPr>
              <w:instrText xml:space="preserve"> PAGEREF _Toc81379283 \h </w:instrText>
            </w:r>
            <w:r w:rsidR="008B235F">
              <w:rPr>
                <w:webHidden/>
              </w:rPr>
            </w:r>
            <w:r w:rsidR="008B235F">
              <w:rPr>
                <w:webHidden/>
              </w:rPr>
              <w:fldChar w:fldCharType="separate"/>
            </w:r>
            <w:r w:rsidR="008B235F">
              <w:rPr>
                <w:webHidden/>
              </w:rPr>
              <w:t>14</w:t>
            </w:r>
            <w:r w:rsidR="008B235F">
              <w:rPr>
                <w:webHidden/>
              </w:rPr>
              <w:fldChar w:fldCharType="end"/>
            </w:r>
          </w:hyperlink>
        </w:p>
        <w:p w14:paraId="6ADD84A4" w14:textId="31944201" w:rsidR="008B235F" w:rsidRDefault="006D798A">
          <w:pPr>
            <w:pStyle w:val="TOC3"/>
            <w:rPr>
              <w:rFonts w:eastAsiaTheme="minorEastAsia"/>
              <w:sz w:val="24"/>
              <w:szCs w:val="24"/>
              <w:lang w:val="en-NZ" w:eastAsia="en-GB"/>
            </w:rPr>
          </w:pPr>
          <w:hyperlink w:anchor="_Toc81379284" w:history="1">
            <w:r w:rsidR="008B235F" w:rsidRPr="00441B2A">
              <w:rPr>
                <w:rStyle w:val="Hyperlink"/>
              </w:rPr>
              <w:t>Marti</w:t>
            </w:r>
            <w:r w:rsidR="008B235F">
              <w:rPr>
                <w:webHidden/>
              </w:rPr>
              <w:tab/>
            </w:r>
            <w:r w:rsidR="008B235F">
              <w:rPr>
                <w:webHidden/>
              </w:rPr>
              <w:fldChar w:fldCharType="begin"/>
            </w:r>
            <w:r w:rsidR="008B235F">
              <w:rPr>
                <w:webHidden/>
              </w:rPr>
              <w:instrText xml:space="preserve"> PAGEREF _Toc81379284 \h </w:instrText>
            </w:r>
            <w:r w:rsidR="008B235F">
              <w:rPr>
                <w:webHidden/>
              </w:rPr>
            </w:r>
            <w:r w:rsidR="008B235F">
              <w:rPr>
                <w:webHidden/>
              </w:rPr>
              <w:fldChar w:fldCharType="separate"/>
            </w:r>
            <w:r w:rsidR="008B235F">
              <w:rPr>
                <w:webHidden/>
              </w:rPr>
              <w:t>14</w:t>
            </w:r>
            <w:r w:rsidR="008B235F">
              <w:rPr>
                <w:webHidden/>
              </w:rPr>
              <w:fldChar w:fldCharType="end"/>
            </w:r>
          </w:hyperlink>
        </w:p>
        <w:p w14:paraId="4F3680D0" w14:textId="664A66F8" w:rsidR="008B235F" w:rsidRDefault="006D798A">
          <w:pPr>
            <w:pStyle w:val="TOC1"/>
            <w:rPr>
              <w:rFonts w:eastAsiaTheme="minorEastAsia"/>
              <w:b w:val="0"/>
              <w:sz w:val="24"/>
              <w:szCs w:val="24"/>
              <w:lang w:val="en-NZ" w:eastAsia="en-GB"/>
            </w:rPr>
          </w:pPr>
          <w:hyperlink w:anchor="_Toc81379285" w:history="1">
            <w:r w:rsidR="008B235F" w:rsidRPr="00441B2A">
              <w:rPr>
                <w:rStyle w:val="Hyperlink"/>
              </w:rPr>
              <w:t>Annex E: Survey Analysis</w:t>
            </w:r>
            <w:r w:rsidR="008B235F">
              <w:rPr>
                <w:webHidden/>
              </w:rPr>
              <w:tab/>
            </w:r>
            <w:r w:rsidR="008B235F">
              <w:rPr>
                <w:webHidden/>
              </w:rPr>
              <w:fldChar w:fldCharType="begin"/>
            </w:r>
            <w:r w:rsidR="008B235F">
              <w:rPr>
                <w:webHidden/>
              </w:rPr>
              <w:instrText xml:space="preserve"> PAGEREF _Toc81379285 \h </w:instrText>
            </w:r>
            <w:r w:rsidR="008B235F">
              <w:rPr>
                <w:webHidden/>
              </w:rPr>
            </w:r>
            <w:r w:rsidR="008B235F">
              <w:rPr>
                <w:webHidden/>
              </w:rPr>
              <w:fldChar w:fldCharType="separate"/>
            </w:r>
            <w:r w:rsidR="008B235F">
              <w:rPr>
                <w:webHidden/>
              </w:rPr>
              <w:t>15</w:t>
            </w:r>
            <w:r w:rsidR="008B235F">
              <w:rPr>
                <w:webHidden/>
              </w:rPr>
              <w:fldChar w:fldCharType="end"/>
            </w:r>
          </w:hyperlink>
        </w:p>
        <w:p w14:paraId="78F88181" w14:textId="7928678D" w:rsidR="008B235F" w:rsidRDefault="006D798A">
          <w:pPr>
            <w:pStyle w:val="TOC2"/>
            <w:rPr>
              <w:rFonts w:eastAsiaTheme="minorEastAsia"/>
              <w:sz w:val="24"/>
              <w:szCs w:val="24"/>
              <w:lang w:val="en-NZ" w:eastAsia="en-GB"/>
            </w:rPr>
          </w:pPr>
          <w:hyperlink w:anchor="_Toc81379286" w:history="1">
            <w:r w:rsidR="008B235F" w:rsidRPr="00441B2A">
              <w:rPr>
                <w:rStyle w:val="Hyperlink"/>
                <w:lang w:val="en-US"/>
              </w:rPr>
              <w:t>Andres</w:t>
            </w:r>
            <w:r w:rsidR="008B235F">
              <w:rPr>
                <w:webHidden/>
              </w:rPr>
              <w:tab/>
            </w:r>
            <w:r w:rsidR="008B235F">
              <w:rPr>
                <w:webHidden/>
              </w:rPr>
              <w:fldChar w:fldCharType="begin"/>
            </w:r>
            <w:r w:rsidR="008B235F">
              <w:rPr>
                <w:webHidden/>
              </w:rPr>
              <w:instrText xml:space="preserve"> PAGEREF _Toc81379286 \h </w:instrText>
            </w:r>
            <w:r w:rsidR="008B235F">
              <w:rPr>
                <w:webHidden/>
              </w:rPr>
            </w:r>
            <w:r w:rsidR="008B235F">
              <w:rPr>
                <w:webHidden/>
              </w:rPr>
              <w:fldChar w:fldCharType="separate"/>
            </w:r>
            <w:r w:rsidR="008B235F">
              <w:rPr>
                <w:webHidden/>
              </w:rPr>
              <w:t>15</w:t>
            </w:r>
            <w:r w:rsidR="008B235F">
              <w:rPr>
                <w:webHidden/>
              </w:rPr>
              <w:fldChar w:fldCharType="end"/>
            </w:r>
          </w:hyperlink>
        </w:p>
        <w:p w14:paraId="708D18D0" w14:textId="13633027" w:rsidR="008B235F" w:rsidRDefault="006D798A">
          <w:pPr>
            <w:pStyle w:val="TOC1"/>
            <w:rPr>
              <w:rFonts w:eastAsiaTheme="minorEastAsia"/>
              <w:b w:val="0"/>
              <w:sz w:val="24"/>
              <w:szCs w:val="24"/>
              <w:lang w:val="en-NZ" w:eastAsia="en-GB"/>
            </w:rPr>
          </w:pPr>
          <w:hyperlink w:anchor="_Toc81379287" w:history="1">
            <w:r w:rsidR="008B235F" w:rsidRPr="00441B2A">
              <w:rPr>
                <w:rStyle w:val="Hyperlink"/>
              </w:rPr>
              <w:t>Annex F: Economic Analysis</w:t>
            </w:r>
            <w:r w:rsidR="008B235F">
              <w:rPr>
                <w:webHidden/>
              </w:rPr>
              <w:tab/>
            </w:r>
            <w:r w:rsidR="008B235F">
              <w:rPr>
                <w:webHidden/>
              </w:rPr>
              <w:fldChar w:fldCharType="begin"/>
            </w:r>
            <w:r w:rsidR="008B235F">
              <w:rPr>
                <w:webHidden/>
              </w:rPr>
              <w:instrText xml:space="preserve"> PAGEREF _Toc81379287 \h </w:instrText>
            </w:r>
            <w:r w:rsidR="008B235F">
              <w:rPr>
                <w:webHidden/>
              </w:rPr>
            </w:r>
            <w:r w:rsidR="008B235F">
              <w:rPr>
                <w:webHidden/>
              </w:rPr>
              <w:fldChar w:fldCharType="separate"/>
            </w:r>
            <w:r w:rsidR="008B235F">
              <w:rPr>
                <w:webHidden/>
              </w:rPr>
              <w:t>16</w:t>
            </w:r>
            <w:r w:rsidR="008B235F">
              <w:rPr>
                <w:webHidden/>
              </w:rPr>
              <w:fldChar w:fldCharType="end"/>
            </w:r>
          </w:hyperlink>
        </w:p>
        <w:p w14:paraId="6FFDD394" w14:textId="118982B7" w:rsidR="008B235F" w:rsidRDefault="006D798A">
          <w:pPr>
            <w:pStyle w:val="TOC2"/>
            <w:rPr>
              <w:rFonts w:eastAsiaTheme="minorEastAsia"/>
              <w:sz w:val="24"/>
              <w:szCs w:val="24"/>
              <w:lang w:val="en-NZ" w:eastAsia="en-GB"/>
            </w:rPr>
          </w:pPr>
          <w:hyperlink w:anchor="_Toc81379288" w:history="1">
            <w:r w:rsidR="008B235F" w:rsidRPr="00441B2A">
              <w:rPr>
                <w:rStyle w:val="Hyperlink"/>
              </w:rPr>
              <w:t>Aaron</w:t>
            </w:r>
            <w:r w:rsidR="008B235F">
              <w:rPr>
                <w:webHidden/>
              </w:rPr>
              <w:tab/>
            </w:r>
            <w:r w:rsidR="008B235F">
              <w:rPr>
                <w:webHidden/>
              </w:rPr>
              <w:fldChar w:fldCharType="begin"/>
            </w:r>
            <w:r w:rsidR="008B235F">
              <w:rPr>
                <w:webHidden/>
              </w:rPr>
              <w:instrText xml:space="preserve"> PAGEREF _Toc81379288 \h </w:instrText>
            </w:r>
            <w:r w:rsidR="008B235F">
              <w:rPr>
                <w:webHidden/>
              </w:rPr>
            </w:r>
            <w:r w:rsidR="008B235F">
              <w:rPr>
                <w:webHidden/>
              </w:rPr>
              <w:fldChar w:fldCharType="separate"/>
            </w:r>
            <w:r w:rsidR="008B235F">
              <w:rPr>
                <w:webHidden/>
              </w:rPr>
              <w:t>16</w:t>
            </w:r>
            <w:r w:rsidR="008B235F">
              <w:rPr>
                <w:webHidden/>
              </w:rPr>
              <w:fldChar w:fldCharType="end"/>
            </w:r>
          </w:hyperlink>
        </w:p>
        <w:p w14:paraId="77AAC3E2" w14:textId="11D3B6CD" w:rsidR="008B235F" w:rsidRDefault="006D798A">
          <w:pPr>
            <w:pStyle w:val="TOC1"/>
            <w:rPr>
              <w:rFonts w:eastAsiaTheme="minorEastAsia"/>
              <w:b w:val="0"/>
              <w:sz w:val="24"/>
              <w:szCs w:val="24"/>
              <w:lang w:val="en-NZ" w:eastAsia="en-GB"/>
            </w:rPr>
          </w:pPr>
          <w:hyperlink w:anchor="_Toc81379289" w:history="1">
            <w:r w:rsidR="008B235F" w:rsidRPr="00441B2A">
              <w:rPr>
                <w:rStyle w:val="Hyperlink"/>
              </w:rPr>
              <w:t>Annex G: Methodology</w:t>
            </w:r>
            <w:r w:rsidR="008B235F">
              <w:rPr>
                <w:webHidden/>
              </w:rPr>
              <w:tab/>
            </w:r>
            <w:r w:rsidR="008B235F">
              <w:rPr>
                <w:webHidden/>
              </w:rPr>
              <w:fldChar w:fldCharType="begin"/>
            </w:r>
            <w:r w:rsidR="008B235F">
              <w:rPr>
                <w:webHidden/>
              </w:rPr>
              <w:instrText xml:space="preserve"> PAGEREF _Toc81379289 \h </w:instrText>
            </w:r>
            <w:r w:rsidR="008B235F">
              <w:rPr>
                <w:webHidden/>
              </w:rPr>
            </w:r>
            <w:r w:rsidR="008B235F">
              <w:rPr>
                <w:webHidden/>
              </w:rPr>
              <w:fldChar w:fldCharType="separate"/>
            </w:r>
            <w:r w:rsidR="008B235F">
              <w:rPr>
                <w:webHidden/>
              </w:rPr>
              <w:t>17</w:t>
            </w:r>
            <w:r w:rsidR="008B235F">
              <w:rPr>
                <w:webHidden/>
              </w:rPr>
              <w:fldChar w:fldCharType="end"/>
            </w:r>
          </w:hyperlink>
        </w:p>
        <w:p w14:paraId="6D299D53" w14:textId="50E58712" w:rsidR="008B235F" w:rsidRDefault="006D798A">
          <w:pPr>
            <w:pStyle w:val="TOC3"/>
            <w:rPr>
              <w:rFonts w:eastAsiaTheme="minorEastAsia"/>
              <w:sz w:val="24"/>
              <w:szCs w:val="24"/>
              <w:lang w:val="en-NZ" w:eastAsia="en-GB"/>
            </w:rPr>
          </w:pPr>
          <w:hyperlink w:anchor="_Toc81379290" w:history="1">
            <w:r w:rsidR="008B235F" w:rsidRPr="00441B2A">
              <w:rPr>
                <w:rStyle w:val="Hyperlink"/>
              </w:rPr>
              <w:t>Evaluating impact in complex environments</w:t>
            </w:r>
            <w:r w:rsidR="008B235F">
              <w:rPr>
                <w:webHidden/>
              </w:rPr>
              <w:tab/>
            </w:r>
            <w:r w:rsidR="008B235F">
              <w:rPr>
                <w:webHidden/>
              </w:rPr>
              <w:fldChar w:fldCharType="begin"/>
            </w:r>
            <w:r w:rsidR="008B235F">
              <w:rPr>
                <w:webHidden/>
              </w:rPr>
              <w:instrText xml:space="preserve"> PAGEREF _Toc81379290 \h </w:instrText>
            </w:r>
            <w:r w:rsidR="008B235F">
              <w:rPr>
                <w:webHidden/>
              </w:rPr>
            </w:r>
            <w:r w:rsidR="008B235F">
              <w:rPr>
                <w:webHidden/>
              </w:rPr>
              <w:fldChar w:fldCharType="separate"/>
            </w:r>
            <w:r w:rsidR="008B235F">
              <w:rPr>
                <w:webHidden/>
              </w:rPr>
              <w:t>17</w:t>
            </w:r>
            <w:r w:rsidR="008B235F">
              <w:rPr>
                <w:webHidden/>
              </w:rPr>
              <w:fldChar w:fldCharType="end"/>
            </w:r>
          </w:hyperlink>
        </w:p>
        <w:p w14:paraId="70856C77" w14:textId="62C58BEF" w:rsidR="008B235F" w:rsidRDefault="006D798A">
          <w:pPr>
            <w:pStyle w:val="TOC3"/>
            <w:rPr>
              <w:rFonts w:eastAsiaTheme="minorEastAsia"/>
              <w:sz w:val="24"/>
              <w:szCs w:val="24"/>
              <w:lang w:val="en-NZ" w:eastAsia="en-GB"/>
            </w:rPr>
          </w:pPr>
          <w:hyperlink w:anchor="_Toc81379291" w:history="1">
            <w:r w:rsidR="008B235F" w:rsidRPr="00441B2A">
              <w:rPr>
                <w:rStyle w:val="Hyperlink"/>
              </w:rPr>
              <w:t>Developing the methodology</w:t>
            </w:r>
            <w:r w:rsidR="008B235F">
              <w:rPr>
                <w:webHidden/>
              </w:rPr>
              <w:tab/>
            </w:r>
            <w:r w:rsidR="008B235F">
              <w:rPr>
                <w:webHidden/>
              </w:rPr>
              <w:fldChar w:fldCharType="begin"/>
            </w:r>
            <w:r w:rsidR="008B235F">
              <w:rPr>
                <w:webHidden/>
              </w:rPr>
              <w:instrText xml:space="preserve"> PAGEREF _Toc81379291 \h </w:instrText>
            </w:r>
            <w:r w:rsidR="008B235F">
              <w:rPr>
                <w:webHidden/>
              </w:rPr>
            </w:r>
            <w:r w:rsidR="008B235F">
              <w:rPr>
                <w:webHidden/>
              </w:rPr>
              <w:fldChar w:fldCharType="separate"/>
            </w:r>
            <w:r w:rsidR="008B235F">
              <w:rPr>
                <w:webHidden/>
              </w:rPr>
              <w:t>17</w:t>
            </w:r>
            <w:r w:rsidR="008B235F">
              <w:rPr>
                <w:webHidden/>
              </w:rPr>
              <w:fldChar w:fldCharType="end"/>
            </w:r>
          </w:hyperlink>
        </w:p>
        <w:p w14:paraId="499F000D" w14:textId="4F5B67B8" w:rsidR="008B235F" w:rsidRDefault="006D798A">
          <w:pPr>
            <w:pStyle w:val="TOC3"/>
            <w:rPr>
              <w:rFonts w:eastAsiaTheme="minorEastAsia"/>
              <w:sz w:val="24"/>
              <w:szCs w:val="24"/>
              <w:lang w:val="en-NZ" w:eastAsia="en-GB"/>
            </w:rPr>
          </w:pPr>
          <w:hyperlink w:anchor="_Toc81379292" w:history="1">
            <w:r w:rsidR="008B235F" w:rsidRPr="00441B2A">
              <w:rPr>
                <w:rStyle w:val="Hyperlink"/>
              </w:rPr>
              <w:t>Applying the methodology</w:t>
            </w:r>
            <w:r w:rsidR="008B235F">
              <w:rPr>
                <w:webHidden/>
              </w:rPr>
              <w:tab/>
            </w:r>
            <w:r w:rsidR="008B235F">
              <w:rPr>
                <w:webHidden/>
              </w:rPr>
              <w:fldChar w:fldCharType="begin"/>
            </w:r>
            <w:r w:rsidR="008B235F">
              <w:rPr>
                <w:webHidden/>
              </w:rPr>
              <w:instrText xml:space="preserve"> PAGEREF _Toc81379292 \h </w:instrText>
            </w:r>
            <w:r w:rsidR="008B235F">
              <w:rPr>
                <w:webHidden/>
              </w:rPr>
            </w:r>
            <w:r w:rsidR="008B235F">
              <w:rPr>
                <w:webHidden/>
              </w:rPr>
              <w:fldChar w:fldCharType="separate"/>
            </w:r>
            <w:r w:rsidR="008B235F">
              <w:rPr>
                <w:webHidden/>
              </w:rPr>
              <w:t>18</w:t>
            </w:r>
            <w:r w:rsidR="008B235F">
              <w:rPr>
                <w:webHidden/>
              </w:rPr>
              <w:fldChar w:fldCharType="end"/>
            </w:r>
          </w:hyperlink>
        </w:p>
        <w:p w14:paraId="73D1BF12" w14:textId="069B15BA" w:rsidR="008B235F" w:rsidRDefault="006D798A">
          <w:pPr>
            <w:pStyle w:val="TOC1"/>
            <w:rPr>
              <w:rFonts w:eastAsiaTheme="minorEastAsia"/>
              <w:b w:val="0"/>
              <w:sz w:val="24"/>
              <w:szCs w:val="24"/>
              <w:lang w:val="en-NZ" w:eastAsia="en-GB"/>
            </w:rPr>
          </w:pPr>
          <w:hyperlink w:anchor="_Toc81379293" w:history="1">
            <w:r w:rsidR="008B235F" w:rsidRPr="00441B2A">
              <w:rPr>
                <w:rStyle w:val="Hyperlink"/>
              </w:rPr>
              <w:t>Works cited</w:t>
            </w:r>
            <w:r w:rsidR="008B235F">
              <w:rPr>
                <w:webHidden/>
              </w:rPr>
              <w:tab/>
            </w:r>
            <w:r w:rsidR="008B235F">
              <w:rPr>
                <w:webHidden/>
              </w:rPr>
              <w:fldChar w:fldCharType="begin"/>
            </w:r>
            <w:r w:rsidR="008B235F">
              <w:rPr>
                <w:webHidden/>
              </w:rPr>
              <w:instrText xml:space="preserve"> PAGEREF _Toc81379293 \h </w:instrText>
            </w:r>
            <w:r w:rsidR="008B235F">
              <w:rPr>
                <w:webHidden/>
              </w:rPr>
            </w:r>
            <w:r w:rsidR="008B235F">
              <w:rPr>
                <w:webHidden/>
              </w:rPr>
              <w:fldChar w:fldCharType="separate"/>
            </w:r>
            <w:r w:rsidR="008B235F">
              <w:rPr>
                <w:webHidden/>
              </w:rPr>
              <w:t>24</w:t>
            </w:r>
            <w:r w:rsidR="008B235F">
              <w:rPr>
                <w:webHidden/>
              </w:rPr>
              <w:fldChar w:fldCharType="end"/>
            </w:r>
          </w:hyperlink>
        </w:p>
        <w:p w14:paraId="2D4C25E2" w14:textId="509C1943" w:rsidR="006A7D95" w:rsidRDefault="006A7D95" w:rsidP="006A7D95">
          <w:r>
            <w:rPr>
              <w:b/>
              <w:bCs/>
              <w:noProof/>
            </w:rPr>
            <w:fldChar w:fldCharType="end"/>
          </w:r>
        </w:p>
      </w:sdtContent>
    </w:sdt>
    <w:p w14:paraId="5D561CA7" w14:textId="77777777" w:rsidR="006A7D95" w:rsidRDefault="006A7D95" w:rsidP="006A7D95">
      <w:pPr>
        <w:pStyle w:val="TableofFigures"/>
        <w:tabs>
          <w:tab w:val="right" w:leader="dot" w:pos="8210"/>
        </w:tabs>
      </w:pPr>
    </w:p>
    <w:p w14:paraId="4B960C6F" w14:textId="77777777" w:rsidR="006A7D95" w:rsidRDefault="006A7D95" w:rsidP="006A7D95">
      <w:pPr>
        <w:pStyle w:val="TOCHeading"/>
      </w:pPr>
      <w:r>
        <w:t>Tables</w:t>
      </w:r>
    </w:p>
    <w:p w14:paraId="5880672A" w14:textId="4A3F5907" w:rsidR="008B235F" w:rsidRDefault="006A7D95">
      <w:pPr>
        <w:pStyle w:val="TableofFigures"/>
        <w:tabs>
          <w:tab w:val="right" w:leader="dot" w:pos="8210"/>
        </w:tabs>
        <w:rPr>
          <w:rFonts w:eastAsiaTheme="minorEastAsia"/>
          <w:noProof/>
          <w:sz w:val="24"/>
          <w:szCs w:val="24"/>
          <w:lang w:val="en-NZ" w:eastAsia="en-GB"/>
        </w:rPr>
      </w:pPr>
      <w:r>
        <w:rPr>
          <w:lang w:val="en-NZ"/>
        </w:rPr>
        <w:fldChar w:fldCharType="begin"/>
      </w:r>
      <w:r>
        <w:instrText xml:space="preserve"> TOC \h \z \c "Table" </w:instrText>
      </w:r>
      <w:r>
        <w:rPr>
          <w:lang w:val="en-NZ"/>
        </w:rPr>
        <w:fldChar w:fldCharType="separate"/>
      </w:r>
      <w:hyperlink w:anchor="_Toc81379294" w:history="1">
        <w:r w:rsidR="008B235F" w:rsidRPr="00D55055">
          <w:rPr>
            <w:rStyle w:val="Hyperlink"/>
            <w:noProof/>
          </w:rPr>
          <w:t>Table 15: Rubric for criterion 1: improved NDT capacity and capability</w:t>
        </w:r>
        <w:r w:rsidR="008B235F">
          <w:rPr>
            <w:noProof/>
            <w:webHidden/>
          </w:rPr>
          <w:tab/>
        </w:r>
        <w:r w:rsidR="008B235F">
          <w:rPr>
            <w:noProof/>
            <w:webHidden/>
          </w:rPr>
          <w:fldChar w:fldCharType="begin"/>
        </w:r>
        <w:r w:rsidR="008B235F">
          <w:rPr>
            <w:noProof/>
            <w:webHidden/>
          </w:rPr>
          <w:instrText xml:space="preserve"> PAGEREF _Toc81379294 \h </w:instrText>
        </w:r>
        <w:r w:rsidR="008B235F">
          <w:rPr>
            <w:noProof/>
            <w:webHidden/>
          </w:rPr>
        </w:r>
        <w:r w:rsidR="008B235F">
          <w:rPr>
            <w:noProof/>
            <w:webHidden/>
          </w:rPr>
          <w:fldChar w:fldCharType="separate"/>
        </w:r>
        <w:r w:rsidR="008B235F">
          <w:rPr>
            <w:noProof/>
            <w:webHidden/>
          </w:rPr>
          <w:t>19</w:t>
        </w:r>
        <w:r w:rsidR="008B235F">
          <w:rPr>
            <w:noProof/>
            <w:webHidden/>
          </w:rPr>
          <w:fldChar w:fldCharType="end"/>
        </w:r>
      </w:hyperlink>
    </w:p>
    <w:p w14:paraId="51029B8F" w14:textId="1CFFB220" w:rsidR="008B235F" w:rsidRDefault="006D798A">
      <w:pPr>
        <w:pStyle w:val="TableofFigures"/>
        <w:tabs>
          <w:tab w:val="right" w:leader="dot" w:pos="8210"/>
        </w:tabs>
        <w:rPr>
          <w:rFonts w:eastAsiaTheme="minorEastAsia"/>
          <w:noProof/>
          <w:sz w:val="24"/>
          <w:szCs w:val="24"/>
          <w:lang w:val="en-NZ" w:eastAsia="en-GB"/>
        </w:rPr>
      </w:pPr>
      <w:hyperlink w:anchor="_Toc81379295" w:history="1">
        <w:r w:rsidR="008B235F" w:rsidRPr="00D55055">
          <w:rPr>
            <w:rStyle w:val="Hyperlink"/>
            <w:noProof/>
          </w:rPr>
          <w:t>Table 15: Rubric for criterion 2: increased scope and scale of NDT demand and use</w:t>
        </w:r>
        <w:r w:rsidR="008B235F">
          <w:rPr>
            <w:noProof/>
            <w:webHidden/>
          </w:rPr>
          <w:tab/>
        </w:r>
        <w:r w:rsidR="008B235F">
          <w:rPr>
            <w:noProof/>
            <w:webHidden/>
          </w:rPr>
          <w:fldChar w:fldCharType="begin"/>
        </w:r>
        <w:r w:rsidR="008B235F">
          <w:rPr>
            <w:noProof/>
            <w:webHidden/>
          </w:rPr>
          <w:instrText xml:space="preserve"> PAGEREF _Toc81379295 \h </w:instrText>
        </w:r>
        <w:r w:rsidR="008B235F">
          <w:rPr>
            <w:noProof/>
            <w:webHidden/>
          </w:rPr>
        </w:r>
        <w:r w:rsidR="008B235F">
          <w:rPr>
            <w:noProof/>
            <w:webHidden/>
          </w:rPr>
          <w:fldChar w:fldCharType="separate"/>
        </w:r>
        <w:r w:rsidR="008B235F">
          <w:rPr>
            <w:noProof/>
            <w:webHidden/>
          </w:rPr>
          <w:t>20</w:t>
        </w:r>
        <w:r w:rsidR="008B235F">
          <w:rPr>
            <w:noProof/>
            <w:webHidden/>
          </w:rPr>
          <w:fldChar w:fldCharType="end"/>
        </w:r>
      </w:hyperlink>
    </w:p>
    <w:p w14:paraId="6C16ACF7" w14:textId="52246BD8" w:rsidR="008B235F" w:rsidRDefault="006D798A">
      <w:pPr>
        <w:pStyle w:val="TableofFigures"/>
        <w:tabs>
          <w:tab w:val="right" w:leader="dot" w:pos="8210"/>
        </w:tabs>
        <w:rPr>
          <w:rFonts w:eastAsiaTheme="minorEastAsia"/>
          <w:noProof/>
          <w:sz w:val="24"/>
          <w:szCs w:val="24"/>
          <w:lang w:val="en-NZ" w:eastAsia="en-GB"/>
        </w:rPr>
      </w:pPr>
      <w:hyperlink w:anchor="_Toc81379296" w:history="1">
        <w:r w:rsidR="008B235F" w:rsidRPr="00D55055">
          <w:rPr>
            <w:rStyle w:val="Hyperlink"/>
            <w:noProof/>
          </w:rPr>
          <w:t>Table 15: Rubric for criterion 3: improved health and safety</w:t>
        </w:r>
        <w:r w:rsidR="008B235F">
          <w:rPr>
            <w:noProof/>
            <w:webHidden/>
          </w:rPr>
          <w:tab/>
        </w:r>
        <w:r w:rsidR="008B235F">
          <w:rPr>
            <w:noProof/>
            <w:webHidden/>
          </w:rPr>
          <w:fldChar w:fldCharType="begin"/>
        </w:r>
        <w:r w:rsidR="008B235F">
          <w:rPr>
            <w:noProof/>
            <w:webHidden/>
          </w:rPr>
          <w:instrText xml:space="preserve"> PAGEREF _Toc81379296 \h </w:instrText>
        </w:r>
        <w:r w:rsidR="008B235F">
          <w:rPr>
            <w:noProof/>
            <w:webHidden/>
          </w:rPr>
        </w:r>
        <w:r w:rsidR="008B235F">
          <w:rPr>
            <w:noProof/>
            <w:webHidden/>
          </w:rPr>
          <w:fldChar w:fldCharType="separate"/>
        </w:r>
        <w:r w:rsidR="008B235F">
          <w:rPr>
            <w:noProof/>
            <w:webHidden/>
          </w:rPr>
          <w:t>21</w:t>
        </w:r>
        <w:r w:rsidR="008B235F">
          <w:rPr>
            <w:noProof/>
            <w:webHidden/>
          </w:rPr>
          <w:fldChar w:fldCharType="end"/>
        </w:r>
      </w:hyperlink>
    </w:p>
    <w:p w14:paraId="3CF66EC6" w14:textId="7C110FFA" w:rsidR="008B235F" w:rsidRDefault="006D798A">
      <w:pPr>
        <w:pStyle w:val="TableofFigures"/>
        <w:tabs>
          <w:tab w:val="right" w:leader="dot" w:pos="8210"/>
        </w:tabs>
        <w:rPr>
          <w:rFonts w:eastAsiaTheme="minorEastAsia"/>
          <w:noProof/>
          <w:sz w:val="24"/>
          <w:szCs w:val="24"/>
          <w:lang w:val="en-NZ" w:eastAsia="en-GB"/>
        </w:rPr>
      </w:pPr>
      <w:hyperlink w:anchor="_Toc81379297" w:history="1">
        <w:r w:rsidR="008B235F" w:rsidRPr="00D55055">
          <w:rPr>
            <w:rStyle w:val="Hyperlink"/>
            <w:noProof/>
          </w:rPr>
          <w:t>Table 15: Rubric for criterion 4: economic value</w:t>
        </w:r>
        <w:r w:rsidR="008B235F">
          <w:rPr>
            <w:noProof/>
            <w:webHidden/>
          </w:rPr>
          <w:tab/>
        </w:r>
        <w:r w:rsidR="008B235F">
          <w:rPr>
            <w:noProof/>
            <w:webHidden/>
          </w:rPr>
          <w:fldChar w:fldCharType="begin"/>
        </w:r>
        <w:r w:rsidR="008B235F">
          <w:rPr>
            <w:noProof/>
            <w:webHidden/>
          </w:rPr>
          <w:instrText xml:space="preserve"> PAGEREF _Toc81379297 \h </w:instrText>
        </w:r>
        <w:r w:rsidR="008B235F">
          <w:rPr>
            <w:noProof/>
            <w:webHidden/>
          </w:rPr>
        </w:r>
        <w:r w:rsidR="008B235F">
          <w:rPr>
            <w:noProof/>
            <w:webHidden/>
          </w:rPr>
          <w:fldChar w:fldCharType="separate"/>
        </w:r>
        <w:r w:rsidR="008B235F">
          <w:rPr>
            <w:noProof/>
            <w:webHidden/>
          </w:rPr>
          <w:t>21</w:t>
        </w:r>
        <w:r w:rsidR="008B235F">
          <w:rPr>
            <w:noProof/>
            <w:webHidden/>
          </w:rPr>
          <w:fldChar w:fldCharType="end"/>
        </w:r>
      </w:hyperlink>
    </w:p>
    <w:p w14:paraId="6697EF0D" w14:textId="55048343" w:rsidR="006A7D95" w:rsidRDefault="006A7D95" w:rsidP="006A7D95">
      <w:r>
        <w:rPr>
          <w:b/>
          <w:bCs/>
          <w:noProof/>
          <w:lang w:val="en-US"/>
        </w:rPr>
        <w:fldChar w:fldCharType="end"/>
      </w:r>
    </w:p>
    <w:p w14:paraId="6DBAB9EF" w14:textId="77777777" w:rsidR="006A7D95" w:rsidRDefault="006A7D95" w:rsidP="006A7D95">
      <w:pPr>
        <w:pStyle w:val="TOCHeading"/>
      </w:pPr>
      <w:r>
        <w:t>Figures</w:t>
      </w:r>
    </w:p>
    <w:p w14:paraId="30E1A33B" w14:textId="6BAD65CF" w:rsidR="008B235F" w:rsidRDefault="006A7D95">
      <w:pPr>
        <w:pStyle w:val="TableofFigures"/>
        <w:tabs>
          <w:tab w:val="right" w:leader="dot" w:pos="8210"/>
        </w:tabs>
        <w:rPr>
          <w:rFonts w:eastAsiaTheme="minorEastAsia"/>
          <w:noProof/>
          <w:sz w:val="24"/>
          <w:szCs w:val="24"/>
          <w:lang w:val="en-NZ" w:eastAsia="en-GB"/>
        </w:rPr>
      </w:pPr>
      <w:r>
        <w:rPr>
          <w:lang w:val="en-NZ"/>
        </w:rPr>
        <w:lastRenderedPageBreak/>
        <w:fldChar w:fldCharType="begin"/>
      </w:r>
      <w:r>
        <w:instrText xml:space="preserve"> TOC \h \z \c "Figure" </w:instrText>
      </w:r>
      <w:r>
        <w:rPr>
          <w:lang w:val="en-NZ"/>
        </w:rPr>
        <w:fldChar w:fldCharType="separate"/>
      </w:r>
      <w:hyperlink w:anchor="_Toc81379298" w:history="1">
        <w:r w:rsidR="008B235F" w:rsidRPr="00656EFF">
          <w:rPr>
            <w:rStyle w:val="Hyperlink"/>
            <w:noProof/>
          </w:rPr>
          <w:t>Figure 25: Theory of change for RCA non-destructive testing projects</w:t>
        </w:r>
        <w:r w:rsidR="008B235F">
          <w:rPr>
            <w:noProof/>
            <w:webHidden/>
          </w:rPr>
          <w:tab/>
        </w:r>
        <w:r w:rsidR="008B235F">
          <w:rPr>
            <w:noProof/>
            <w:webHidden/>
          </w:rPr>
          <w:fldChar w:fldCharType="begin"/>
        </w:r>
        <w:r w:rsidR="008B235F">
          <w:rPr>
            <w:noProof/>
            <w:webHidden/>
          </w:rPr>
          <w:instrText xml:space="preserve"> PAGEREF _Toc81379298 \h </w:instrText>
        </w:r>
        <w:r w:rsidR="008B235F">
          <w:rPr>
            <w:noProof/>
            <w:webHidden/>
          </w:rPr>
        </w:r>
        <w:r w:rsidR="008B235F">
          <w:rPr>
            <w:noProof/>
            <w:webHidden/>
          </w:rPr>
          <w:fldChar w:fldCharType="separate"/>
        </w:r>
        <w:r w:rsidR="008B235F">
          <w:rPr>
            <w:noProof/>
            <w:webHidden/>
          </w:rPr>
          <w:t>19</w:t>
        </w:r>
        <w:r w:rsidR="008B235F">
          <w:rPr>
            <w:noProof/>
            <w:webHidden/>
          </w:rPr>
          <w:fldChar w:fldCharType="end"/>
        </w:r>
      </w:hyperlink>
    </w:p>
    <w:p w14:paraId="7F9878ED" w14:textId="5B3FE845" w:rsidR="006A7D95" w:rsidRDefault="006A7D95" w:rsidP="006A7D95">
      <w:r>
        <w:rPr>
          <w:b/>
          <w:bCs/>
          <w:noProof/>
          <w:lang w:val="en-US"/>
        </w:rPr>
        <w:fldChar w:fldCharType="end"/>
      </w:r>
    </w:p>
    <w:p w14:paraId="17640CCB" w14:textId="77777777" w:rsidR="006A7D95" w:rsidRDefault="006A7D95" w:rsidP="006A7D95"/>
    <w:p w14:paraId="744B8269" w14:textId="77777777" w:rsidR="006A7D95" w:rsidRDefault="006A7D95" w:rsidP="006A7D95"/>
    <w:p w14:paraId="46001748" w14:textId="227CCAF2" w:rsidR="009E5E38" w:rsidRDefault="009E5E38" w:rsidP="00C449EB">
      <w:pPr>
        <w:sectPr w:rsidR="009E5E38" w:rsidSect="006900A0">
          <w:footerReference w:type="even" r:id="rId12"/>
          <w:footerReference w:type="default" r:id="rId13"/>
          <w:pgSz w:w="11906" w:h="16838"/>
          <w:pgMar w:top="1440" w:right="1843" w:bottom="1440" w:left="1843" w:header="709" w:footer="709" w:gutter="0"/>
          <w:pgNumType w:fmt="lowerRoman" w:start="0"/>
          <w:cols w:space="1230"/>
          <w:titlePg/>
          <w:docGrid w:linePitch="360"/>
        </w:sectPr>
      </w:pPr>
    </w:p>
    <w:p w14:paraId="0C89FEEC" w14:textId="77777777" w:rsidR="004427E0" w:rsidRPr="00954DC6" w:rsidRDefault="004427E0" w:rsidP="004427E0">
      <w:pPr>
        <w:pStyle w:val="Heading1"/>
      </w:pPr>
      <w:bookmarkStart w:id="0" w:name="_Toc495774962"/>
      <w:bookmarkStart w:id="1" w:name="_Toc81379267"/>
      <w:r>
        <w:lastRenderedPageBreak/>
        <w:t>Executive Summary</w:t>
      </w:r>
      <w:bookmarkEnd w:id="0"/>
      <w:bookmarkEnd w:id="1"/>
    </w:p>
    <w:p w14:paraId="25056E71" w14:textId="5AEC1B8E" w:rsidR="004427E0" w:rsidRDefault="00C96472" w:rsidP="00C82687">
      <w:r>
        <w:t>The Regional Cooperative Agreement (RCA) for Research, Development and Training related to Nuclear Science and Technology for Asia and the Pacific will celebrate its 50</w:t>
      </w:r>
      <w:r w:rsidRPr="00C96472">
        <w:rPr>
          <w:vertAlign w:val="superscript"/>
        </w:rPr>
        <w:t>th</w:t>
      </w:r>
      <w:r>
        <w:t xml:space="preserve"> Anniversary in </w:t>
      </w:r>
      <w:r w:rsidR="006834B8">
        <w:t>202</w:t>
      </w:r>
      <w:r w:rsidR="00AA0CCB">
        <w:t>2</w:t>
      </w:r>
      <w:r>
        <w:t xml:space="preserve">. This report assesses the social and economic impacts of </w:t>
      </w:r>
      <w:r w:rsidR="000C25BA">
        <w:t>non-destructive testing</w:t>
      </w:r>
      <w:r>
        <w:t xml:space="preserve"> projects under the RCA</w:t>
      </w:r>
      <w:r w:rsidR="00795A3A">
        <w:t xml:space="preserve">, focusing </w:t>
      </w:r>
      <w:r w:rsidR="00E90AB2">
        <w:t>on</w:t>
      </w:r>
      <w:r w:rsidR="008C3DDE">
        <w:t xml:space="preserve"> value added over and above </w:t>
      </w:r>
      <w:r w:rsidR="00635819">
        <w:t>the primary research that has been undertaken by individual countries independently</w:t>
      </w:r>
      <w:r>
        <w:t xml:space="preserve">. </w:t>
      </w:r>
    </w:p>
    <w:p w14:paraId="5C6A9C32" w14:textId="3379AC83" w:rsidR="0076418C" w:rsidRDefault="000C25BA" w:rsidP="00C82687">
      <w:pPr>
        <w:rPr>
          <w:lang w:val="en-US"/>
        </w:rPr>
      </w:pPr>
      <w:r>
        <w:t>Non-destructive testing</w:t>
      </w:r>
      <w:r w:rsidR="00C96472">
        <w:t xml:space="preserve"> involves</w:t>
      </w:r>
      <w:r>
        <w:t>..</w:t>
      </w:r>
      <w:r w:rsidR="00C96472">
        <w:t xml:space="preserve">. </w:t>
      </w:r>
      <w:r w:rsidR="001448E1">
        <w:t>[</w:t>
      </w:r>
      <w:r w:rsidR="001448E1" w:rsidRPr="001448E1">
        <w:rPr>
          <w:highlight w:val="yellow"/>
        </w:rPr>
        <w:t>xxxxx</w:t>
      </w:r>
      <w:r w:rsidR="001448E1">
        <w:t>]</w:t>
      </w:r>
    </w:p>
    <w:p w14:paraId="00F71E62" w14:textId="5DEF0CED" w:rsidR="0076418C" w:rsidRDefault="0076418C" w:rsidP="00C82687">
      <w:r>
        <w:t xml:space="preserve">This impact assessment was designed and undertaken by a team of external experts, in consultation with IAEA and </w:t>
      </w:r>
      <w:r w:rsidR="00AD3915">
        <w:t>RCA stakeholders.</w:t>
      </w:r>
      <w:r w:rsidR="004E31BE">
        <w:rPr>
          <w:rStyle w:val="FootnoteReference"/>
        </w:rPr>
        <w:footnoteReference w:id="1"/>
      </w:r>
      <w:r w:rsidR="00AD3915">
        <w:t xml:space="preserve"> </w:t>
      </w:r>
      <w:r w:rsidR="005B3780">
        <w:t xml:space="preserve">It involved gathering evidence through an online questionnaire </w:t>
      </w:r>
      <w:r w:rsidR="00362C74">
        <w:t xml:space="preserve">completed by </w:t>
      </w:r>
      <w:r w:rsidR="00FC3337" w:rsidRPr="00FC3337">
        <w:rPr>
          <w:highlight w:val="yellow"/>
        </w:rPr>
        <w:t>nn</w:t>
      </w:r>
      <w:r w:rsidR="005B3780">
        <w:t xml:space="preserve"> </w:t>
      </w:r>
      <w:r w:rsidR="00B2151C">
        <w:t xml:space="preserve">of the </w:t>
      </w:r>
      <w:r w:rsidR="00FC3337" w:rsidRPr="00FC3337">
        <w:rPr>
          <w:highlight w:val="yellow"/>
        </w:rPr>
        <w:t>NN</w:t>
      </w:r>
      <w:r w:rsidR="00B2151C">
        <w:t xml:space="preserve"> participating Government Parties (</w:t>
      </w:r>
      <w:r w:rsidR="005B3780">
        <w:t>GPs</w:t>
      </w:r>
      <w:r w:rsidR="00B2151C">
        <w:t>)</w:t>
      </w:r>
      <w:r w:rsidR="005B3780">
        <w:t xml:space="preserve">, analysis of IAEA administrative data, </w:t>
      </w:r>
      <w:r w:rsidR="001D1EFD">
        <w:t xml:space="preserve">gathering information from </w:t>
      </w:r>
      <w:r w:rsidR="00574A68">
        <w:t>non-destructive testing</w:t>
      </w:r>
      <w:r w:rsidR="001D1EFD">
        <w:t xml:space="preserve"> experts at the IAEA and GPs, </w:t>
      </w:r>
      <w:r w:rsidR="005B3780">
        <w:t xml:space="preserve">narrative success cases of </w:t>
      </w:r>
      <w:r w:rsidR="00496958">
        <w:t xml:space="preserve">non-destructive testing projects </w:t>
      </w:r>
      <w:r w:rsidR="005B3780">
        <w:t xml:space="preserve">from four </w:t>
      </w:r>
      <w:r w:rsidR="00952E9E">
        <w:t>GPs</w:t>
      </w:r>
      <w:r w:rsidR="005B3780">
        <w:t xml:space="preserve">, and economic analysis of costs and benefits of </w:t>
      </w:r>
      <w:r w:rsidR="00496958">
        <w:t>non-destructive testing projects</w:t>
      </w:r>
      <w:r w:rsidR="005B3780">
        <w:t xml:space="preserve"> under the RCA. </w:t>
      </w:r>
    </w:p>
    <w:p w14:paraId="2E18CBE6" w14:textId="023609D4" w:rsidR="000B015D" w:rsidRDefault="000B015D" w:rsidP="00C82687">
      <w:r>
        <w:t xml:space="preserve">The impact assessment found that the RCA </w:t>
      </w:r>
      <w:r w:rsidR="004677E8">
        <w:t>has</w:t>
      </w:r>
      <w:r w:rsidR="00AA524A">
        <w:t xml:space="preserve"> </w:t>
      </w:r>
      <w:r>
        <w:t xml:space="preserve">supported a significant body of </w:t>
      </w:r>
      <w:r w:rsidR="00B20C57">
        <w:t>non-destructive testing projects</w:t>
      </w:r>
      <w:r>
        <w:t xml:space="preserve">, including </w:t>
      </w:r>
      <w:r w:rsidR="00B20C57" w:rsidRPr="00B20C57">
        <w:rPr>
          <w:highlight w:val="yellow"/>
        </w:rPr>
        <w:t>[scale and scope]</w:t>
      </w:r>
      <w:r>
        <w:t xml:space="preserve">. </w:t>
      </w:r>
      <w:r w:rsidR="00DC19CD">
        <w:t xml:space="preserve">Key impacts of </w:t>
      </w:r>
      <w:r w:rsidR="00511E13">
        <w:t>this</w:t>
      </w:r>
      <w:r>
        <w:t xml:space="preserve"> research </w:t>
      </w:r>
      <w:r w:rsidR="00DC19CD">
        <w:t xml:space="preserve">include </w:t>
      </w:r>
      <w:r w:rsidR="00B20C57">
        <w:t>improved non-destructive testing capacity and capability, increased scope and scale of non-destructive testing demand and use, improved health and safety, and economic value</w:t>
      </w:r>
      <w:r w:rsidR="00DC19CD">
        <w:t xml:space="preserve">. </w:t>
      </w:r>
      <w:r w:rsidR="00B20C57">
        <w:t>These impacts include</w:t>
      </w:r>
      <w:r>
        <w:t xml:space="preserve">: </w:t>
      </w:r>
    </w:p>
    <w:p w14:paraId="3883C215" w14:textId="77777777" w:rsidR="00B20C57" w:rsidRPr="002E761E" w:rsidRDefault="00B20C57" w:rsidP="000B015D">
      <w:pPr>
        <w:pStyle w:val="Bullet"/>
        <w:rPr>
          <w:color w:val="000000" w:themeColor="text1"/>
          <w:sz w:val="20"/>
          <w:szCs w:val="20"/>
          <w:highlight w:val="yellow"/>
        </w:rPr>
      </w:pPr>
      <w:r w:rsidRPr="002E761E">
        <w:rPr>
          <w:color w:val="000000" w:themeColor="text1"/>
          <w:sz w:val="20"/>
          <w:szCs w:val="20"/>
          <w:highlight w:val="yellow"/>
        </w:rPr>
        <w:t>Things</w:t>
      </w:r>
    </w:p>
    <w:p w14:paraId="1A73E292" w14:textId="0914746A" w:rsidR="00B20C57" w:rsidRPr="002E761E" w:rsidRDefault="00B20C57" w:rsidP="000B015D">
      <w:pPr>
        <w:pStyle w:val="Bullet"/>
        <w:rPr>
          <w:color w:val="000000" w:themeColor="text1"/>
          <w:sz w:val="20"/>
          <w:szCs w:val="20"/>
          <w:highlight w:val="yellow"/>
        </w:rPr>
      </w:pPr>
      <w:r w:rsidRPr="002E761E">
        <w:rPr>
          <w:color w:val="000000" w:themeColor="text1"/>
          <w:sz w:val="20"/>
          <w:szCs w:val="20"/>
          <w:highlight w:val="yellow"/>
        </w:rPr>
        <w:t>And</w:t>
      </w:r>
    </w:p>
    <w:p w14:paraId="0131C333" w14:textId="5231C037" w:rsidR="000F7F48" w:rsidRDefault="00B20C57" w:rsidP="000B015D">
      <w:pPr>
        <w:pStyle w:val="Bullet"/>
        <w:rPr>
          <w:color w:val="000000" w:themeColor="text1"/>
          <w:sz w:val="20"/>
          <w:szCs w:val="20"/>
        </w:rPr>
      </w:pPr>
      <w:r w:rsidRPr="002E761E">
        <w:rPr>
          <w:color w:val="000000" w:themeColor="text1"/>
          <w:sz w:val="20"/>
          <w:szCs w:val="20"/>
          <w:highlight w:val="yellow"/>
        </w:rPr>
        <w:t>Stuff</w:t>
      </w:r>
      <w:r w:rsidR="007A04D3">
        <w:rPr>
          <w:color w:val="000000" w:themeColor="text1"/>
          <w:sz w:val="20"/>
          <w:szCs w:val="20"/>
        </w:rPr>
        <w:t xml:space="preserve">. </w:t>
      </w:r>
    </w:p>
    <w:p w14:paraId="15BDB72D" w14:textId="7BA6E7CF" w:rsidR="00B33E1F" w:rsidRDefault="00C57F2B" w:rsidP="00B33E1F">
      <w:r>
        <w:t xml:space="preserve">These impacts </w:t>
      </w:r>
      <w:r w:rsidR="00021093">
        <w:t>may</w:t>
      </w:r>
      <w:r>
        <w:t xml:space="preserve"> not </w:t>
      </w:r>
      <w:r w:rsidR="00021093">
        <w:t xml:space="preserve">be </w:t>
      </w:r>
      <w:r>
        <w:t xml:space="preserve">solely attributable to the RCA, but the RCA contributed </w:t>
      </w:r>
      <w:r w:rsidR="002C7DE1">
        <w:t xml:space="preserve">significantly to </w:t>
      </w:r>
      <w:r w:rsidR="00021093" w:rsidRPr="00021093">
        <w:rPr>
          <w:highlight w:val="yellow"/>
        </w:rPr>
        <w:t>[what aspects of]</w:t>
      </w:r>
      <w:r w:rsidR="002C7DE1">
        <w:t xml:space="preserve">. In some cases, the RCA enabled </w:t>
      </w:r>
      <w:r w:rsidR="00275960" w:rsidRPr="00275960">
        <w:rPr>
          <w:highlight w:val="yellow"/>
        </w:rPr>
        <w:t>[what aspects]</w:t>
      </w:r>
      <w:r w:rsidR="002C7DE1">
        <w:t xml:space="preserve"> that would not otherwise have </w:t>
      </w:r>
      <w:r w:rsidR="00275960">
        <w:t>happened</w:t>
      </w:r>
      <w:r w:rsidR="002C7DE1">
        <w:t xml:space="preserve">. </w:t>
      </w:r>
      <w:r w:rsidR="002540EC">
        <w:t>The RCA supported</w:t>
      </w:r>
      <w:r w:rsidR="00C73EEA">
        <w:t xml:space="preserve"> </w:t>
      </w:r>
      <w:r w:rsidR="002E761E" w:rsidRPr="002E761E">
        <w:rPr>
          <w:highlight w:val="yellow"/>
        </w:rPr>
        <w:t>[things and stuff]</w:t>
      </w:r>
      <w:r w:rsidR="00B33E1F">
        <w:t xml:space="preserve">. </w:t>
      </w:r>
      <w:r w:rsidR="003B615D">
        <w:t>Feedback from many countries highlighted the importance of the RCA for building the</w:t>
      </w:r>
      <w:r w:rsidR="00437D49">
        <w:t>ir non-destructive testing</w:t>
      </w:r>
      <w:r w:rsidR="003B615D">
        <w:t xml:space="preserve"> skills and capacity. </w:t>
      </w:r>
    </w:p>
    <w:p w14:paraId="0EDE021C" w14:textId="78CA47B5" w:rsidR="00DA4A79" w:rsidRPr="000B015D" w:rsidRDefault="00DA4A79" w:rsidP="00B33E1F">
      <w:r>
        <w:t xml:space="preserve">Cost-benefit analysis estimated that the RCA created </w:t>
      </w:r>
      <w:r w:rsidR="005012FA" w:rsidRPr="005012FA">
        <w:rPr>
          <w:highlight w:val="yellow"/>
        </w:rPr>
        <w:t>[</w:t>
      </w:r>
      <w:r w:rsidRPr="005012FA">
        <w:rPr>
          <w:highlight w:val="yellow"/>
        </w:rPr>
        <w:t>more economic value than it consumed</w:t>
      </w:r>
      <w:r w:rsidR="005012FA" w:rsidRPr="005012FA">
        <w:rPr>
          <w:highlight w:val="yellow"/>
        </w:rPr>
        <w:t>]</w:t>
      </w:r>
      <w:r>
        <w:t xml:space="preserve">, with each 1 EUR of costs </w:t>
      </w:r>
      <w:r w:rsidR="00CC67C3">
        <w:t xml:space="preserve">incurred between 2000 and </w:t>
      </w:r>
      <w:r w:rsidR="000B5759">
        <w:t>2020</w:t>
      </w:r>
      <w:r w:rsidR="00CC67C3">
        <w:t xml:space="preserve"> </w:t>
      </w:r>
      <w:r>
        <w:t xml:space="preserve">associated with </w:t>
      </w:r>
      <w:r w:rsidR="000B5759" w:rsidRPr="00F02A58">
        <w:rPr>
          <w:highlight w:val="yellow"/>
        </w:rPr>
        <w:t>XXX</w:t>
      </w:r>
      <w:r>
        <w:t xml:space="preserve"> EUR of economic benefits. Sensitivity analysis found that the net benefits </w:t>
      </w:r>
      <w:r w:rsidR="00CC08BC">
        <w:t>attributable</w:t>
      </w:r>
      <w:r w:rsidR="00E01971">
        <w:t xml:space="preserve"> to</w:t>
      </w:r>
      <w:r>
        <w:t xml:space="preserve"> the RCA </w:t>
      </w:r>
      <w:r w:rsidR="00CC67C3">
        <w:t xml:space="preserve">remained </w:t>
      </w:r>
      <w:r>
        <w:t xml:space="preserve">positive under </w:t>
      </w:r>
      <w:r w:rsidR="00CC67C3">
        <w:t>alternative</w:t>
      </w:r>
      <w:r w:rsidR="004721F0">
        <w:t xml:space="preserve"> </w:t>
      </w:r>
      <w:r w:rsidR="00CC67C3">
        <w:t xml:space="preserve">assumptions </w:t>
      </w:r>
      <w:r>
        <w:t>about benefits and costs</w:t>
      </w:r>
      <w:r w:rsidR="00CC67C3">
        <w:t>,</w:t>
      </w:r>
      <w:r w:rsidR="007C02BF">
        <w:t xml:space="preserve"> with a likely range of benefits between </w:t>
      </w:r>
      <w:r w:rsidR="001C023A" w:rsidRPr="00F02A58">
        <w:rPr>
          <w:highlight w:val="yellow"/>
        </w:rPr>
        <w:t>XXX</w:t>
      </w:r>
      <w:r w:rsidR="001C023A">
        <w:t xml:space="preserve"> </w:t>
      </w:r>
      <w:r w:rsidR="007C02BF">
        <w:t xml:space="preserve">EUR and </w:t>
      </w:r>
      <w:r w:rsidR="001C023A" w:rsidRPr="00F02A58">
        <w:rPr>
          <w:highlight w:val="yellow"/>
        </w:rPr>
        <w:t>XXX</w:t>
      </w:r>
      <w:r w:rsidR="001C023A">
        <w:t xml:space="preserve"> </w:t>
      </w:r>
      <w:r w:rsidR="007C02BF">
        <w:t>EUR per 1 EUR of costs. This</w:t>
      </w:r>
      <w:r w:rsidR="00CC67C3">
        <w:t xml:space="preserve"> suggest</w:t>
      </w:r>
      <w:r w:rsidR="007C02BF">
        <w:t>s</w:t>
      </w:r>
      <w:r w:rsidR="00CC67C3">
        <w:t xml:space="preserve"> it is </w:t>
      </w:r>
      <w:r w:rsidR="001C023A" w:rsidRPr="001C023A">
        <w:rPr>
          <w:highlight w:val="yellow"/>
        </w:rPr>
        <w:t>[</w:t>
      </w:r>
      <w:r w:rsidR="004449E9">
        <w:rPr>
          <w:highlight w:val="yellow"/>
        </w:rPr>
        <w:t xml:space="preserve">very </w:t>
      </w:r>
      <w:r w:rsidR="00CC67C3" w:rsidRPr="001C023A">
        <w:rPr>
          <w:highlight w:val="yellow"/>
        </w:rPr>
        <w:t>likely</w:t>
      </w:r>
      <w:r w:rsidR="004449E9">
        <w:rPr>
          <w:highlight w:val="yellow"/>
        </w:rPr>
        <w:t>/likely/possible/unlikely</w:t>
      </w:r>
      <w:r w:rsidR="001C023A" w:rsidRPr="001C023A">
        <w:rPr>
          <w:highlight w:val="yellow"/>
        </w:rPr>
        <w:t>]</w:t>
      </w:r>
      <w:r w:rsidR="00CC67C3">
        <w:t xml:space="preserve"> that the economic benefits of the RCA exceeded its costs</w:t>
      </w:r>
      <w:r>
        <w:t>.</w:t>
      </w:r>
      <w:r w:rsidR="0075258F">
        <w:rPr>
          <w:rStyle w:val="FootnoteReference"/>
        </w:rPr>
        <w:footnoteReference w:id="2"/>
      </w:r>
      <w:r>
        <w:t xml:space="preserve"> </w:t>
      </w:r>
    </w:p>
    <w:p w14:paraId="37E26A7F" w14:textId="79521847" w:rsidR="00DC19CD" w:rsidRDefault="00156972" w:rsidP="00C82687">
      <w:r>
        <w:t>P</w:t>
      </w:r>
      <w:r w:rsidR="00B6241E">
        <w:t>re-defi</w:t>
      </w:r>
      <w:r>
        <w:t>ned</w:t>
      </w:r>
      <w:r w:rsidR="00B6241E">
        <w:t xml:space="preserve"> performance criteria </w:t>
      </w:r>
      <w:r w:rsidR="00936469">
        <w:t>were</w:t>
      </w:r>
      <w:r w:rsidR="00B6241E">
        <w:t xml:space="preserve"> </w:t>
      </w:r>
      <w:r w:rsidRPr="00156972">
        <w:t xml:space="preserve">agreed with IAEA and GP experts to provide an evaluative framework </w:t>
      </w:r>
      <w:r w:rsidR="00CA5600">
        <w:t>for</w:t>
      </w:r>
      <w:r w:rsidRPr="00156972">
        <w:t xml:space="preserve"> the impact assessment</w:t>
      </w:r>
      <w:r w:rsidRPr="00156972" w:rsidDel="00156972">
        <w:t xml:space="preserve"> </w:t>
      </w:r>
      <w:r w:rsidR="00B6241E">
        <w:t>(</w:t>
      </w:r>
      <w:r w:rsidR="00B6241E" w:rsidRPr="00B72969">
        <w:rPr>
          <w:highlight w:val="yellow"/>
        </w:rPr>
        <w:t xml:space="preserve">Table </w:t>
      </w:r>
      <w:r w:rsidR="002B5C6C" w:rsidRPr="00B72969">
        <w:rPr>
          <w:highlight w:val="yellow"/>
        </w:rPr>
        <w:t>16</w:t>
      </w:r>
      <w:r w:rsidR="00B6241E" w:rsidRPr="00B72969">
        <w:rPr>
          <w:highlight w:val="yellow"/>
        </w:rPr>
        <w:t xml:space="preserve">, Annex </w:t>
      </w:r>
      <w:r w:rsidR="002B5C6C" w:rsidRPr="00B72969">
        <w:rPr>
          <w:highlight w:val="yellow"/>
        </w:rPr>
        <w:t>G</w:t>
      </w:r>
      <w:r w:rsidR="00B6241E">
        <w:t xml:space="preserve">). </w:t>
      </w:r>
      <w:proofErr w:type="gramStart"/>
      <w:r w:rsidR="00B6241E">
        <w:t>On the basis of</w:t>
      </w:r>
      <w:proofErr w:type="gramEnd"/>
      <w:r w:rsidR="00B6241E">
        <w:t xml:space="preserve"> evidence</w:t>
      </w:r>
      <w:r w:rsidR="000A26AA">
        <w:t xml:space="preserve"> provided by the IAEA and GPs</w:t>
      </w:r>
      <w:r w:rsidR="002B5C6C">
        <w:t>, the RCA</w:t>
      </w:r>
      <w:r w:rsidR="00B4303A">
        <w:t xml:space="preserve">’s impacts </w:t>
      </w:r>
      <w:r w:rsidR="002B5C6C">
        <w:t xml:space="preserve">meet standards for </w:t>
      </w:r>
      <w:r w:rsidR="004449E9" w:rsidRPr="004449E9">
        <w:rPr>
          <w:highlight w:val="yellow"/>
        </w:rPr>
        <w:t>[</w:t>
      </w:r>
      <w:r w:rsidR="002B5C6C" w:rsidRPr="004449E9">
        <w:rPr>
          <w:highlight w:val="yellow"/>
        </w:rPr>
        <w:t>excellent</w:t>
      </w:r>
      <w:r w:rsidR="004449E9">
        <w:rPr>
          <w:highlight w:val="yellow"/>
        </w:rPr>
        <w:t>/good/adequate/poor</w:t>
      </w:r>
      <w:r w:rsidR="004449E9" w:rsidRPr="004449E9">
        <w:rPr>
          <w:highlight w:val="yellow"/>
        </w:rPr>
        <w:t>]</w:t>
      </w:r>
      <w:r w:rsidR="002B5C6C">
        <w:t xml:space="preserve"> performance on </w:t>
      </w:r>
      <w:r w:rsidR="004449E9">
        <w:t>improved non-destructive testing capacity and capability</w:t>
      </w:r>
      <w:r w:rsidR="002B5C6C">
        <w:t xml:space="preserve">, </w:t>
      </w:r>
      <w:r w:rsidR="004449E9" w:rsidRPr="004449E9">
        <w:rPr>
          <w:highlight w:val="yellow"/>
        </w:rPr>
        <w:t>[excellent</w:t>
      </w:r>
      <w:r w:rsidR="004449E9">
        <w:rPr>
          <w:highlight w:val="yellow"/>
        </w:rPr>
        <w:t>/good/adequate/poor</w:t>
      </w:r>
      <w:r w:rsidR="004449E9" w:rsidRPr="004449E9">
        <w:rPr>
          <w:highlight w:val="yellow"/>
        </w:rPr>
        <w:t>]</w:t>
      </w:r>
      <w:r w:rsidR="004449E9">
        <w:t xml:space="preserve"> </w:t>
      </w:r>
      <w:r w:rsidR="002B5C6C">
        <w:t xml:space="preserve">performance on </w:t>
      </w:r>
      <w:r w:rsidR="004449E9">
        <w:t>increased scope and scale of non-destructive testing demand and use</w:t>
      </w:r>
      <w:r w:rsidR="002B5C6C">
        <w:t xml:space="preserve">, </w:t>
      </w:r>
      <w:r w:rsidR="004449E9" w:rsidRPr="004449E9">
        <w:rPr>
          <w:highlight w:val="yellow"/>
        </w:rPr>
        <w:t>[excellent</w:t>
      </w:r>
      <w:r w:rsidR="004449E9">
        <w:rPr>
          <w:highlight w:val="yellow"/>
        </w:rPr>
        <w:t>/good/adequate/poor</w:t>
      </w:r>
      <w:r w:rsidR="004449E9" w:rsidRPr="004449E9">
        <w:rPr>
          <w:highlight w:val="yellow"/>
        </w:rPr>
        <w:t>]</w:t>
      </w:r>
      <w:r w:rsidR="004449E9">
        <w:t xml:space="preserve"> </w:t>
      </w:r>
      <w:r w:rsidR="002B5C6C">
        <w:t xml:space="preserve">performance on </w:t>
      </w:r>
      <w:r w:rsidR="004449E9">
        <w:t>improved health and safety</w:t>
      </w:r>
      <w:r w:rsidR="002B5C6C">
        <w:t xml:space="preserve">, and </w:t>
      </w:r>
      <w:r w:rsidR="004449E9" w:rsidRPr="004449E9">
        <w:rPr>
          <w:highlight w:val="yellow"/>
        </w:rPr>
        <w:t>[excellent</w:t>
      </w:r>
      <w:r w:rsidR="004449E9">
        <w:rPr>
          <w:highlight w:val="yellow"/>
        </w:rPr>
        <w:t>/good/adequate/poor</w:t>
      </w:r>
      <w:r w:rsidR="004449E9" w:rsidRPr="004449E9">
        <w:rPr>
          <w:highlight w:val="yellow"/>
        </w:rPr>
        <w:t>]</w:t>
      </w:r>
      <w:r w:rsidR="004449E9">
        <w:t xml:space="preserve"> </w:t>
      </w:r>
      <w:r w:rsidR="002B5C6C">
        <w:t xml:space="preserve">performance on economic value. </w:t>
      </w:r>
    </w:p>
    <w:p w14:paraId="041C588E" w14:textId="77777777" w:rsidR="004427E0" w:rsidRDefault="004427E0" w:rsidP="00AE0D6A">
      <w:pPr>
        <w:pStyle w:val="Heading1"/>
      </w:pPr>
      <w:bookmarkStart w:id="2" w:name="_Toc495774964"/>
      <w:bookmarkStart w:id="3" w:name="_Toc81379268"/>
      <w:r>
        <w:lastRenderedPageBreak/>
        <w:t>Introduction</w:t>
      </w:r>
      <w:bookmarkEnd w:id="2"/>
      <w:bookmarkEnd w:id="3"/>
    </w:p>
    <w:p w14:paraId="4E7DE340" w14:textId="00F5AB33" w:rsidR="005F21DF" w:rsidRDefault="00960EC2" w:rsidP="00CD4B67">
      <w:r>
        <w:t xml:space="preserve">The International Atomic Energy Agency (IAEA) </w:t>
      </w:r>
      <w:r w:rsidR="005F21DF">
        <w:t xml:space="preserve">is the world’s central intergovernmental forum for scientific and technical co-operation in the nuclear field. </w:t>
      </w:r>
      <w:r w:rsidR="00974F26">
        <w:t xml:space="preserve">Established in 1957, and headquartered in Vienna, Austria, the IAEA </w:t>
      </w:r>
      <w:r w:rsidR="005F21DF">
        <w:t xml:space="preserve">works for the safe, secure and peaceful uses of nuclear science and technology, contributing to international peace and security and the United Nations (UN) Sustainable Development Goals. </w:t>
      </w:r>
      <w:r w:rsidR="00266E00">
        <w:t>The</w:t>
      </w:r>
      <w:r w:rsidR="005F21DF">
        <w:t xml:space="preserve"> IAEA works in close partnership with Member States, UN agencies, research </w:t>
      </w:r>
      <w:r w:rsidR="002F6711">
        <w:t>organisations</w:t>
      </w:r>
      <w:r w:rsidR="005F21DF">
        <w:t xml:space="preserve"> and civil society to maximi</w:t>
      </w:r>
      <w:r w:rsidR="00DD6F35">
        <w:t>s</w:t>
      </w:r>
      <w:r w:rsidR="005F21DF">
        <w:t xml:space="preserve">e the contribution of nuclear science and technology to the achievement of development priorities (“Atoms for Peace”). </w:t>
      </w:r>
    </w:p>
    <w:p w14:paraId="4E83F9C6" w14:textId="77777777" w:rsidR="00944ACF" w:rsidRDefault="007F2ACC" w:rsidP="00CD4B67">
      <w:r>
        <w:t xml:space="preserve">The Regional Cooperative Agreement (RCA) for Research, Development and Training Related to Nuclear Science and Technology for Asia and the Pacific was established in 1972 and has enjoyed the benefit of the IAEA Technical Cooperation (TC) programme since. </w:t>
      </w:r>
      <w:r w:rsidR="00644D14">
        <w:t>With the RCA due to celebrate its 50</w:t>
      </w:r>
      <w:r w:rsidR="00644D14" w:rsidRPr="00644D14">
        <w:rPr>
          <w:vertAlign w:val="superscript"/>
        </w:rPr>
        <w:t>th</w:t>
      </w:r>
      <w:r w:rsidR="00644D14">
        <w:t xml:space="preserve"> Anniversary in 2022, it is timely to assess the social and economic impacts of the RCA programme supported under the IAEA TC programme. </w:t>
      </w:r>
    </w:p>
    <w:p w14:paraId="56EC995A" w14:textId="77777777" w:rsidR="002A2BD1" w:rsidRPr="00C82687" w:rsidRDefault="002A2BD1" w:rsidP="002A2BD1">
      <w:r>
        <w:t xml:space="preserve">The RCA has 22 participating Government Parties (GPs): </w:t>
      </w:r>
      <w:r w:rsidRPr="00946798">
        <w:rPr>
          <w:lang w:val="en-US"/>
        </w:rPr>
        <w:t xml:space="preserve">Australia, Bangladesh, Cambodia, China, Fiji, India, Indonesia, Japan, Laos, Malaysia, Mongolia, Myanmar, Nepal, New Zealand, Pakistan, Palau, Philippines, Singapore, South Korea, Sri Lanka, Thailand, and </w:t>
      </w:r>
      <w:r>
        <w:rPr>
          <w:lang w:val="en-US"/>
        </w:rPr>
        <w:t>Viet Nam</w:t>
      </w:r>
      <w:r w:rsidRPr="00946798">
        <w:rPr>
          <w:lang w:val="en-US"/>
        </w:rPr>
        <w:t>.</w:t>
      </w:r>
      <w:r>
        <w:rPr>
          <w:lang w:val="en-US"/>
        </w:rPr>
        <w:t xml:space="preserve"> </w:t>
      </w:r>
    </w:p>
    <w:p w14:paraId="3811ED82" w14:textId="13FBC86A" w:rsidR="007F2ACC" w:rsidRDefault="00944ACF" w:rsidP="00CD4B67">
      <w:r>
        <w:t>At the 48</w:t>
      </w:r>
      <w:r w:rsidRPr="00944ACF">
        <w:rPr>
          <w:vertAlign w:val="superscript"/>
        </w:rPr>
        <w:t>th</w:t>
      </w:r>
      <w:r>
        <w:t xml:space="preserve"> RCA General Conference Meeting in Vienn</w:t>
      </w:r>
      <w:r w:rsidR="00070BB2">
        <w:t>a</w:t>
      </w:r>
      <w:r>
        <w:t xml:space="preserve">, Austria, 13 September 2019, the RCA endorsed the initiative to conduct social and economic impact assessment. To this end, the TC Division for Asia-Pacific </w:t>
      </w:r>
      <w:r w:rsidR="00C96472">
        <w:t xml:space="preserve">(TCAP) </w:t>
      </w:r>
      <w:r>
        <w:t xml:space="preserve">and TC Division of Programme Support and Coordination </w:t>
      </w:r>
      <w:r w:rsidR="00C96472">
        <w:t xml:space="preserve">(TCPC) </w:t>
      </w:r>
      <w:r>
        <w:t>jointly proposed to undertake case studies. A methodology was developed and was piloted to assess social and economic impact</w:t>
      </w:r>
      <w:r w:rsidR="00311A77">
        <w:t>s</w:t>
      </w:r>
      <w:r>
        <w:t xml:space="preserve"> of RCA projects. This report presents the findings from the social and economic impact assessment</w:t>
      </w:r>
      <w:r w:rsidR="00DD53B2">
        <w:t xml:space="preserve"> of non-destructive testing collaborations under the RCA</w:t>
      </w:r>
      <w:r>
        <w:t xml:space="preserve">. </w:t>
      </w:r>
    </w:p>
    <w:p w14:paraId="22D16022" w14:textId="7D39E1B0" w:rsidR="00946798" w:rsidRDefault="00C04823" w:rsidP="00946798">
      <w:pPr>
        <w:pStyle w:val="Heading2"/>
      </w:pPr>
      <w:bookmarkStart w:id="4" w:name="_Toc81379269"/>
      <w:bookmarkStart w:id="5" w:name="_Toc495774965"/>
      <w:r>
        <w:rPr>
          <w:rStyle w:val="Heading2Char"/>
          <w:b/>
        </w:rPr>
        <w:t>Non-destructive testing</w:t>
      </w:r>
      <w:bookmarkEnd w:id="4"/>
      <w:r>
        <w:rPr>
          <w:rStyle w:val="Heading2Char"/>
          <w:b/>
        </w:rPr>
        <w:t xml:space="preserve"> </w:t>
      </w:r>
    </w:p>
    <w:p w14:paraId="78CA0470" w14:textId="2A63F037" w:rsidR="00C82687" w:rsidRPr="00C82687" w:rsidRDefault="00C04823" w:rsidP="00C04823">
      <w:pPr>
        <w:pStyle w:val="Bullet"/>
        <w:numPr>
          <w:ilvl w:val="0"/>
          <w:numId w:val="0"/>
        </w:numPr>
        <w:rPr>
          <w:sz w:val="20"/>
          <w:szCs w:val="20"/>
        </w:rPr>
      </w:pPr>
      <w:r>
        <w:rPr>
          <w:sz w:val="20"/>
          <w:szCs w:val="20"/>
        </w:rPr>
        <w:t>[</w:t>
      </w:r>
      <w:r w:rsidRPr="00C04823">
        <w:rPr>
          <w:sz w:val="20"/>
          <w:szCs w:val="20"/>
          <w:highlight w:val="yellow"/>
        </w:rPr>
        <w:t>2-3 paragraphs on what it is</w:t>
      </w:r>
      <w:r>
        <w:rPr>
          <w:sz w:val="20"/>
          <w:szCs w:val="20"/>
        </w:rPr>
        <w:t xml:space="preserve">] </w:t>
      </w:r>
    </w:p>
    <w:p w14:paraId="791937DE" w14:textId="77777777" w:rsidR="00C86201" w:rsidRDefault="00DD24B9" w:rsidP="00DD24B9">
      <w:pPr>
        <w:pStyle w:val="Heading2"/>
      </w:pPr>
      <w:bookmarkStart w:id="6" w:name="_Toc81379270"/>
      <w:r>
        <w:t>Social and economic impact assessment</w:t>
      </w:r>
      <w:r w:rsidR="0071069F">
        <w:t xml:space="preserve"> methods</w:t>
      </w:r>
      <w:bookmarkEnd w:id="6"/>
      <w:r w:rsidR="0071069F">
        <w:t xml:space="preserve"> </w:t>
      </w:r>
    </w:p>
    <w:p w14:paraId="5781312A" w14:textId="1ED0E850" w:rsidR="007F747A" w:rsidRDefault="008F56F3" w:rsidP="008F56F3">
      <w:r>
        <w:t>The social and economic impact assessment methodology was developed specifically for</w:t>
      </w:r>
      <w:r w:rsidR="007611FC">
        <w:t xml:space="preserve"> the</w:t>
      </w:r>
      <w:r>
        <w:t xml:space="preserve"> IAEA, </w:t>
      </w:r>
      <w:r w:rsidR="00EE0E7D">
        <w:t xml:space="preserve">in order to conduct impact assessments </w:t>
      </w:r>
      <w:r w:rsidR="009F1A81">
        <w:t>for</w:t>
      </w:r>
      <w:r w:rsidR="00EE0E7D">
        <w:t xml:space="preserve"> </w:t>
      </w:r>
      <w:r>
        <w:t xml:space="preserve">case studies of TC projects under the RCA. The methodology follows the </w:t>
      </w:r>
      <w:r>
        <w:rPr>
          <w:i/>
          <w:iCs/>
        </w:rPr>
        <w:t xml:space="preserve">Value for Investment </w:t>
      </w:r>
      <w:r>
        <w:t xml:space="preserve">approach (King, 2017; King, 2019; King &amp; OPM, 2018) and the Kinnect Group </w:t>
      </w:r>
      <w:r w:rsidR="00A929C8">
        <w:t>approach to</w:t>
      </w:r>
      <w:r>
        <w:t xml:space="preserve"> evaluation rubrics (King et al., 2013; McKegg et al., 2018)</w:t>
      </w:r>
      <w:r w:rsidR="007F747A">
        <w:t xml:space="preserve"> – combining evidence from quantitative, </w:t>
      </w:r>
      <w:proofErr w:type="gramStart"/>
      <w:r w:rsidR="007F747A">
        <w:t>qualitative</w:t>
      </w:r>
      <w:proofErr w:type="gramEnd"/>
      <w:r w:rsidR="007F747A">
        <w:t xml:space="preserve"> and economic analysis</w:t>
      </w:r>
      <w:r w:rsidR="00643A7C">
        <w:t>,</w:t>
      </w:r>
      <w:r w:rsidR="007F747A">
        <w:t xml:space="preserve"> </w:t>
      </w:r>
      <w:r w:rsidR="00584FD5">
        <w:t xml:space="preserve">through the lens of an agreed performance framework, </w:t>
      </w:r>
      <w:r w:rsidR="007F747A">
        <w:t xml:space="preserve">to evaluate the impact of </w:t>
      </w:r>
      <w:r w:rsidR="0045066E">
        <w:t>non-destructive testing</w:t>
      </w:r>
      <w:r w:rsidR="007F747A">
        <w:t xml:space="preserve"> </w:t>
      </w:r>
      <w:r w:rsidR="00B2151C">
        <w:t xml:space="preserve">projects under the </w:t>
      </w:r>
      <w:r w:rsidR="007F747A">
        <w:t xml:space="preserve">RCA. </w:t>
      </w:r>
    </w:p>
    <w:p w14:paraId="1247F94B" w14:textId="30AE183B" w:rsidR="00E53173" w:rsidRDefault="00E53173" w:rsidP="00944ACF">
      <w:r>
        <w:t xml:space="preserve">Social and economic impacts of </w:t>
      </w:r>
      <w:r w:rsidR="00C45EC0">
        <w:t xml:space="preserve">the </w:t>
      </w:r>
      <w:r w:rsidR="00682FB4">
        <w:t xml:space="preserve">non-destructive testing </w:t>
      </w:r>
      <w:r w:rsidR="00B2151C">
        <w:t>projects</w:t>
      </w:r>
      <w:r w:rsidR="001C05E9">
        <w:t xml:space="preserve"> are diverse and</w:t>
      </w:r>
      <w:r w:rsidR="00C45EC0">
        <w:t xml:space="preserve"> </w:t>
      </w:r>
      <w:r>
        <w:t>include</w:t>
      </w:r>
      <w:r w:rsidR="00DC19CD">
        <w:t xml:space="preserve"> contributing to</w:t>
      </w:r>
      <w:r w:rsidR="00C45EC0">
        <w:t xml:space="preserve">: </w:t>
      </w:r>
    </w:p>
    <w:p w14:paraId="55D95A04" w14:textId="77777777" w:rsidR="00682FB4" w:rsidRPr="00682FB4" w:rsidRDefault="00682FB4" w:rsidP="00C45EC0">
      <w:pPr>
        <w:pStyle w:val="Bullet"/>
        <w:rPr>
          <w:sz w:val="20"/>
          <w:szCs w:val="20"/>
          <w:highlight w:val="yellow"/>
        </w:rPr>
      </w:pPr>
      <w:r w:rsidRPr="00682FB4">
        <w:rPr>
          <w:sz w:val="20"/>
          <w:szCs w:val="20"/>
          <w:highlight w:val="yellow"/>
        </w:rPr>
        <w:t>Things</w:t>
      </w:r>
    </w:p>
    <w:p w14:paraId="681C6B23" w14:textId="77777777" w:rsidR="00682FB4" w:rsidRPr="00682FB4" w:rsidRDefault="00682FB4" w:rsidP="00C45EC0">
      <w:pPr>
        <w:pStyle w:val="Bullet"/>
        <w:rPr>
          <w:sz w:val="20"/>
          <w:szCs w:val="20"/>
          <w:highlight w:val="yellow"/>
        </w:rPr>
      </w:pPr>
      <w:r w:rsidRPr="00682FB4">
        <w:rPr>
          <w:sz w:val="20"/>
          <w:szCs w:val="20"/>
          <w:highlight w:val="yellow"/>
        </w:rPr>
        <w:t>From</w:t>
      </w:r>
    </w:p>
    <w:p w14:paraId="478E7072" w14:textId="24FFCEFE" w:rsidR="00C86A99" w:rsidRDefault="00682FB4" w:rsidP="00C45EC0">
      <w:pPr>
        <w:pStyle w:val="Bullet"/>
        <w:rPr>
          <w:sz w:val="20"/>
          <w:szCs w:val="20"/>
        </w:rPr>
      </w:pPr>
      <w:r w:rsidRPr="00682FB4">
        <w:rPr>
          <w:sz w:val="20"/>
          <w:szCs w:val="20"/>
          <w:highlight w:val="yellow"/>
        </w:rPr>
        <w:t>Theory of change</w:t>
      </w:r>
      <w:r w:rsidR="007116FA">
        <w:rPr>
          <w:sz w:val="20"/>
          <w:szCs w:val="20"/>
        </w:rPr>
        <w:t xml:space="preserve">. </w:t>
      </w:r>
    </w:p>
    <w:p w14:paraId="3E7C8DA5" w14:textId="7C3AAD85" w:rsidR="00E53173" w:rsidRDefault="00C45EC0" w:rsidP="00944ACF">
      <w:r w:rsidRPr="00C45EC0">
        <w:t xml:space="preserve">Some of these impacts can be evaluated using cost-benefit analysis. For example, </w:t>
      </w:r>
      <w:r w:rsidR="002951F3">
        <w:t>[</w:t>
      </w:r>
      <w:r w:rsidR="002951F3" w:rsidRPr="002951F3">
        <w:rPr>
          <w:highlight w:val="yellow"/>
        </w:rPr>
        <w:t>xxxx, yyyy and zzzz</w:t>
      </w:r>
      <w:r w:rsidR="002951F3">
        <w:t>]</w:t>
      </w:r>
      <w:r>
        <w:t xml:space="preserve"> </w:t>
      </w:r>
      <w:r w:rsidR="00F012E3">
        <w:t xml:space="preserve">have a monetary value that is relatively simple to estimate. </w:t>
      </w:r>
      <w:r w:rsidR="004358AC">
        <w:t xml:space="preserve">However, economic benefits are </w:t>
      </w:r>
      <w:r w:rsidR="000D0FCB">
        <w:t xml:space="preserve">difficult to measure </w:t>
      </w:r>
      <w:r w:rsidR="004358AC">
        <w:t xml:space="preserve">when </w:t>
      </w:r>
      <w:r w:rsidR="00E265E7">
        <w:t>[</w:t>
      </w:r>
      <w:r w:rsidR="00E265E7" w:rsidRPr="00E265E7">
        <w:rPr>
          <w:highlight w:val="yellow"/>
        </w:rPr>
        <w:t>zzzzzzz</w:t>
      </w:r>
      <w:r w:rsidR="00E265E7">
        <w:t>]</w:t>
      </w:r>
      <w:r w:rsidR="004358AC">
        <w:t xml:space="preserve">. </w:t>
      </w:r>
      <w:r w:rsidR="000709FB">
        <w:t>Moreover, some</w:t>
      </w:r>
      <w:r w:rsidR="004358AC">
        <w:t xml:space="preserve"> impacts, such as </w:t>
      </w:r>
      <w:r w:rsidR="00E265E7">
        <w:t>[</w:t>
      </w:r>
      <w:r w:rsidR="00E265E7" w:rsidRPr="00E265E7">
        <w:rPr>
          <w:highlight w:val="yellow"/>
        </w:rPr>
        <w:t>zzzzzzz</w:t>
      </w:r>
      <w:r w:rsidR="00E265E7">
        <w:t>]</w:t>
      </w:r>
      <w:r w:rsidR="004358AC">
        <w:t xml:space="preserve">, </w:t>
      </w:r>
      <w:r w:rsidR="00465277">
        <w:t xml:space="preserve">can be </w:t>
      </w:r>
      <w:r w:rsidR="000D0FCB">
        <w:t xml:space="preserve">difficult </w:t>
      </w:r>
      <w:r w:rsidR="004358AC">
        <w:t xml:space="preserve">to </w:t>
      </w:r>
      <w:r w:rsidR="000D0FCB">
        <w:t>translate into monetary values</w:t>
      </w:r>
      <w:r w:rsidR="004358AC">
        <w:t>. More complex still</w:t>
      </w:r>
      <w:r w:rsidR="00FE1E15">
        <w:t xml:space="preserve">, impacts such as </w:t>
      </w:r>
      <w:r w:rsidR="00E265E7">
        <w:t>[</w:t>
      </w:r>
      <w:r w:rsidR="00E265E7" w:rsidRPr="00E265E7">
        <w:rPr>
          <w:highlight w:val="yellow"/>
        </w:rPr>
        <w:t>zzzzzzz</w:t>
      </w:r>
      <w:r w:rsidR="00E265E7">
        <w:t>]</w:t>
      </w:r>
      <w:r w:rsidR="00591F3F">
        <w:t>may be</w:t>
      </w:r>
      <w:r w:rsidR="00FE1E15">
        <w:t xml:space="preserve"> best understood </w:t>
      </w:r>
      <w:r w:rsidR="00957873">
        <w:t>by examining</w:t>
      </w:r>
      <w:r w:rsidR="00FE1E15">
        <w:t xml:space="preserve"> a </w:t>
      </w:r>
      <w:r w:rsidR="00EB77CD">
        <w:t>range</w:t>
      </w:r>
      <w:r w:rsidR="00FE1E15">
        <w:t xml:space="preserve"> of </w:t>
      </w:r>
      <w:r w:rsidR="00957873">
        <w:t xml:space="preserve">evidence including </w:t>
      </w:r>
      <w:r w:rsidR="00FE1E15">
        <w:t xml:space="preserve">‘hard’ and ‘soft’ measures. </w:t>
      </w:r>
    </w:p>
    <w:p w14:paraId="4B52D0AD" w14:textId="2ED79835" w:rsidR="0071069F" w:rsidRDefault="0043760E" w:rsidP="00944ACF">
      <w:r>
        <w:lastRenderedPageBreak/>
        <w:t>Accordingly, the</w:t>
      </w:r>
      <w:r w:rsidR="0071069F">
        <w:t xml:space="preserve"> </w:t>
      </w:r>
      <w:r w:rsidR="00E265E7">
        <w:t>non-destructive testing</w:t>
      </w:r>
      <w:r w:rsidR="00EB1791">
        <w:t xml:space="preserve"> </w:t>
      </w:r>
      <w:r w:rsidR="0071069F">
        <w:t xml:space="preserve">case study uses a mix of </w:t>
      </w:r>
      <w:r w:rsidR="00060E59">
        <w:t>methods</w:t>
      </w:r>
      <w:r w:rsidR="0071069F">
        <w:t xml:space="preserve">, including: </w:t>
      </w:r>
    </w:p>
    <w:p w14:paraId="431C5F9A" w14:textId="0D81FD1F" w:rsidR="0071069F" w:rsidRDefault="0071069F" w:rsidP="0071069F">
      <w:pPr>
        <w:pStyle w:val="Bullet"/>
        <w:rPr>
          <w:sz w:val="20"/>
          <w:szCs w:val="20"/>
        </w:rPr>
      </w:pPr>
      <w:r>
        <w:rPr>
          <w:sz w:val="20"/>
          <w:szCs w:val="20"/>
        </w:rPr>
        <w:t xml:space="preserve">An online questionnaire deployed to all countries in the RCA </w:t>
      </w:r>
      <w:r w:rsidR="007C374A">
        <w:rPr>
          <w:sz w:val="20"/>
          <w:szCs w:val="20"/>
        </w:rPr>
        <w:t xml:space="preserve">and completed by </w:t>
      </w:r>
      <w:r w:rsidR="00E97ED2" w:rsidRPr="00E97ED2">
        <w:rPr>
          <w:sz w:val="20"/>
          <w:szCs w:val="20"/>
          <w:highlight w:val="yellow"/>
        </w:rPr>
        <w:t>nn</w:t>
      </w:r>
      <w:r w:rsidR="007C374A">
        <w:rPr>
          <w:sz w:val="20"/>
          <w:szCs w:val="20"/>
        </w:rPr>
        <w:t xml:space="preserve"> of the </w:t>
      </w:r>
      <w:r w:rsidR="00E97ED2" w:rsidRPr="00E97ED2">
        <w:rPr>
          <w:sz w:val="20"/>
          <w:szCs w:val="20"/>
          <w:highlight w:val="yellow"/>
        </w:rPr>
        <w:t>NN</w:t>
      </w:r>
      <w:r w:rsidR="007C374A">
        <w:rPr>
          <w:sz w:val="20"/>
          <w:szCs w:val="20"/>
        </w:rPr>
        <w:t xml:space="preserve"> GPs</w:t>
      </w:r>
    </w:p>
    <w:p w14:paraId="328C8039" w14:textId="396A8747" w:rsidR="0071069F" w:rsidRDefault="00060E59" w:rsidP="0071069F">
      <w:pPr>
        <w:pStyle w:val="Bullet"/>
        <w:rPr>
          <w:sz w:val="20"/>
          <w:szCs w:val="20"/>
        </w:rPr>
      </w:pPr>
      <w:r>
        <w:rPr>
          <w:sz w:val="20"/>
          <w:szCs w:val="20"/>
        </w:rPr>
        <w:t>Analysis of administrative</w:t>
      </w:r>
      <w:r w:rsidR="0071069F">
        <w:rPr>
          <w:sz w:val="20"/>
          <w:szCs w:val="20"/>
        </w:rPr>
        <w:t xml:space="preserve"> data </w:t>
      </w:r>
      <w:r w:rsidR="0051601C">
        <w:rPr>
          <w:sz w:val="20"/>
          <w:szCs w:val="20"/>
        </w:rPr>
        <w:t xml:space="preserve">on </w:t>
      </w:r>
      <w:r w:rsidR="00E97ED2">
        <w:rPr>
          <w:sz w:val="20"/>
          <w:szCs w:val="20"/>
        </w:rPr>
        <w:t>non-destructive testing</w:t>
      </w:r>
      <w:r w:rsidR="0051601C">
        <w:rPr>
          <w:sz w:val="20"/>
          <w:szCs w:val="20"/>
        </w:rPr>
        <w:t xml:space="preserve"> activity and costs, provided</w:t>
      </w:r>
      <w:r w:rsidR="0071069F">
        <w:rPr>
          <w:sz w:val="20"/>
          <w:szCs w:val="20"/>
        </w:rPr>
        <w:t xml:space="preserve"> by IAEA </w:t>
      </w:r>
    </w:p>
    <w:p w14:paraId="59768A8F" w14:textId="3B68F3C4" w:rsidR="001D1EFD" w:rsidRDefault="001D1EFD" w:rsidP="0071069F">
      <w:pPr>
        <w:pStyle w:val="Bullet"/>
        <w:rPr>
          <w:sz w:val="20"/>
          <w:szCs w:val="20"/>
        </w:rPr>
      </w:pPr>
      <w:r>
        <w:rPr>
          <w:sz w:val="20"/>
          <w:szCs w:val="20"/>
        </w:rPr>
        <w:t>G</w:t>
      </w:r>
      <w:r w:rsidRPr="00113570">
        <w:rPr>
          <w:sz w:val="20"/>
          <w:szCs w:val="20"/>
        </w:rPr>
        <w:t xml:space="preserve">athering </w:t>
      </w:r>
      <w:r>
        <w:rPr>
          <w:sz w:val="20"/>
          <w:szCs w:val="20"/>
        </w:rPr>
        <w:t xml:space="preserve">additional </w:t>
      </w:r>
      <w:r w:rsidRPr="00113570">
        <w:rPr>
          <w:sz w:val="20"/>
          <w:szCs w:val="20"/>
        </w:rPr>
        <w:t xml:space="preserve">information from </w:t>
      </w:r>
      <w:r w:rsidR="00E53794">
        <w:rPr>
          <w:sz w:val="20"/>
          <w:szCs w:val="20"/>
        </w:rPr>
        <w:t xml:space="preserve">non-destructive testing </w:t>
      </w:r>
      <w:r w:rsidRPr="00113570">
        <w:rPr>
          <w:sz w:val="20"/>
          <w:szCs w:val="20"/>
        </w:rPr>
        <w:t>experts at the IAEA and GPs</w:t>
      </w:r>
      <w:r w:rsidR="008C5A3A">
        <w:rPr>
          <w:sz w:val="20"/>
          <w:szCs w:val="20"/>
        </w:rPr>
        <w:t xml:space="preserve"> </w:t>
      </w:r>
      <w:r>
        <w:rPr>
          <w:sz w:val="20"/>
          <w:szCs w:val="20"/>
        </w:rPr>
        <w:t xml:space="preserve"> </w:t>
      </w:r>
    </w:p>
    <w:p w14:paraId="531FC60D" w14:textId="27E32320" w:rsidR="0071069F" w:rsidRDefault="0071069F" w:rsidP="0071069F">
      <w:pPr>
        <w:pStyle w:val="Bullet"/>
        <w:rPr>
          <w:sz w:val="20"/>
          <w:szCs w:val="20"/>
        </w:rPr>
      </w:pPr>
      <w:r>
        <w:rPr>
          <w:sz w:val="20"/>
          <w:szCs w:val="20"/>
        </w:rPr>
        <w:t xml:space="preserve">Narrative case examples, written from details provided by </w:t>
      </w:r>
      <w:r w:rsidR="005B3780">
        <w:rPr>
          <w:sz w:val="20"/>
          <w:szCs w:val="20"/>
        </w:rPr>
        <w:t>four</w:t>
      </w:r>
      <w:r>
        <w:rPr>
          <w:sz w:val="20"/>
          <w:szCs w:val="20"/>
        </w:rPr>
        <w:t xml:space="preserve"> countries on a selection of ‘success cases’ of </w:t>
      </w:r>
      <w:r w:rsidR="00E53794">
        <w:rPr>
          <w:sz w:val="20"/>
          <w:szCs w:val="20"/>
        </w:rPr>
        <w:t>non-destructive testing</w:t>
      </w:r>
    </w:p>
    <w:p w14:paraId="04FDB52C" w14:textId="2432000A" w:rsidR="00E53173" w:rsidRPr="00E53173" w:rsidRDefault="000227B1" w:rsidP="0071069F">
      <w:pPr>
        <w:pStyle w:val="Bullet"/>
        <w:rPr>
          <w:sz w:val="20"/>
          <w:szCs w:val="20"/>
        </w:rPr>
      </w:pPr>
      <w:r>
        <w:rPr>
          <w:sz w:val="20"/>
          <w:szCs w:val="20"/>
        </w:rPr>
        <w:t xml:space="preserve">Economic </w:t>
      </w:r>
      <w:r w:rsidR="00E53173">
        <w:rPr>
          <w:sz w:val="20"/>
          <w:szCs w:val="20"/>
        </w:rPr>
        <w:t>analysis</w:t>
      </w:r>
      <w:r>
        <w:rPr>
          <w:sz w:val="20"/>
          <w:szCs w:val="20"/>
        </w:rPr>
        <w:t xml:space="preserve"> of costs and benefits of </w:t>
      </w:r>
      <w:r w:rsidR="00E53794">
        <w:rPr>
          <w:sz w:val="20"/>
          <w:szCs w:val="20"/>
        </w:rPr>
        <w:t>non-destructive testing projects</w:t>
      </w:r>
      <w:r>
        <w:rPr>
          <w:sz w:val="20"/>
          <w:szCs w:val="20"/>
        </w:rPr>
        <w:t xml:space="preserve"> under the RCA. </w:t>
      </w:r>
    </w:p>
    <w:p w14:paraId="141C014C" w14:textId="6115FEF2" w:rsidR="00EB14FF" w:rsidRDefault="00E53173" w:rsidP="0071069F">
      <w:pPr>
        <w:rPr>
          <w:lang w:val="en-NZ"/>
        </w:rPr>
      </w:pPr>
      <w:r>
        <w:rPr>
          <w:lang w:val="en-NZ"/>
        </w:rPr>
        <w:t>To combine the quantitative, qualitative and economic analysis, evaluation rubrics were developed</w:t>
      </w:r>
      <w:r w:rsidR="0043760E">
        <w:rPr>
          <w:lang w:val="en-NZ"/>
        </w:rPr>
        <w:t>. Rubrics</w:t>
      </w:r>
      <w:r w:rsidR="009559D4">
        <w:rPr>
          <w:lang w:val="en-NZ"/>
        </w:rPr>
        <w:t xml:space="preserve">, comprising </w:t>
      </w:r>
      <w:r w:rsidR="009C7D37">
        <w:rPr>
          <w:lang w:val="en-NZ"/>
        </w:rPr>
        <w:t xml:space="preserve">a matrix of agreed </w:t>
      </w:r>
      <w:r w:rsidR="009559D4">
        <w:rPr>
          <w:lang w:val="en-NZ"/>
        </w:rPr>
        <w:t>criteria (aspects of performance) and standards (levels of performance)</w:t>
      </w:r>
      <w:r w:rsidR="0043760E">
        <w:rPr>
          <w:lang w:val="en-NZ"/>
        </w:rPr>
        <w:t xml:space="preserve"> provide</w:t>
      </w:r>
      <w:r w:rsidR="00DB18E8">
        <w:rPr>
          <w:lang w:val="en-NZ"/>
        </w:rPr>
        <w:t>d</w:t>
      </w:r>
      <w:r w:rsidR="0043760E">
        <w:rPr>
          <w:lang w:val="en-NZ"/>
        </w:rPr>
        <w:t xml:space="preserve"> a transparent and robust </w:t>
      </w:r>
      <w:r w:rsidR="009559D4">
        <w:rPr>
          <w:lang w:val="en-NZ"/>
        </w:rPr>
        <w:t>framework</w:t>
      </w:r>
      <w:r w:rsidR="0043760E">
        <w:rPr>
          <w:lang w:val="en-NZ"/>
        </w:rPr>
        <w:t xml:space="preserve"> for rating the social and economic impact of the </w:t>
      </w:r>
      <w:r w:rsidR="00E53794">
        <w:rPr>
          <w:szCs w:val="20"/>
        </w:rPr>
        <w:t xml:space="preserve">non-destructive testing </w:t>
      </w:r>
      <w:r w:rsidR="00B2151C">
        <w:rPr>
          <w:lang w:val="en-NZ"/>
        </w:rPr>
        <w:t xml:space="preserve">projects under the </w:t>
      </w:r>
      <w:r w:rsidR="0043760E">
        <w:rPr>
          <w:lang w:val="en-NZ"/>
        </w:rPr>
        <w:t xml:space="preserve">RCA </w:t>
      </w:r>
      <w:r w:rsidR="00775DAA">
        <w:rPr>
          <w:lang w:val="en-NZ"/>
        </w:rPr>
        <w:t xml:space="preserve">from the mix of evidence. </w:t>
      </w:r>
      <w:r w:rsidR="00DE4290">
        <w:rPr>
          <w:lang w:val="en-NZ"/>
        </w:rPr>
        <w:t xml:space="preserve">Refer to </w:t>
      </w:r>
      <w:r w:rsidR="00C64C65">
        <w:rPr>
          <w:lang w:val="en-NZ"/>
        </w:rPr>
        <w:t>Annex G</w:t>
      </w:r>
      <w:r w:rsidR="00DE4290">
        <w:rPr>
          <w:lang w:val="en-NZ"/>
        </w:rPr>
        <w:t xml:space="preserve"> for </w:t>
      </w:r>
      <w:r w:rsidR="00775DAA">
        <w:rPr>
          <w:lang w:val="en-NZ"/>
        </w:rPr>
        <w:t xml:space="preserve">full </w:t>
      </w:r>
      <w:r w:rsidR="00DE4290">
        <w:rPr>
          <w:lang w:val="en-NZ"/>
        </w:rPr>
        <w:t xml:space="preserve">details of the methodology. </w:t>
      </w:r>
    </w:p>
    <w:p w14:paraId="116A8FD0" w14:textId="77777777" w:rsidR="0071069F" w:rsidRPr="0071069F" w:rsidRDefault="0071069F" w:rsidP="00944ACF">
      <w:pPr>
        <w:rPr>
          <w:lang w:val="en-NZ"/>
        </w:rPr>
      </w:pPr>
    </w:p>
    <w:p w14:paraId="401BD1D0" w14:textId="77777777" w:rsidR="00A37023" w:rsidRDefault="00A37023" w:rsidP="008A03E1">
      <w:pPr>
        <w:pStyle w:val="Heading1"/>
      </w:pPr>
      <w:bookmarkStart w:id="7" w:name="_Toc81379271"/>
      <w:bookmarkEnd w:id="5"/>
      <w:r>
        <w:lastRenderedPageBreak/>
        <w:t>Social and economic impact</w:t>
      </w:r>
      <w:r w:rsidR="00F06316">
        <w:t>s</w:t>
      </w:r>
      <w:bookmarkEnd w:id="7"/>
    </w:p>
    <w:p w14:paraId="52609B0D" w14:textId="4638A5D2" w:rsidR="005C2CF4" w:rsidRDefault="00DF7EC5" w:rsidP="00510F87">
      <w:r>
        <w:t>[</w:t>
      </w:r>
      <w:r w:rsidRPr="00DF7EC5">
        <w:rPr>
          <w:highlight w:val="yellow"/>
        </w:rPr>
        <w:t xml:space="preserve">This is the section where </w:t>
      </w:r>
      <w:r w:rsidRPr="001448E1">
        <w:rPr>
          <w:b/>
          <w:bCs/>
          <w:highlight w:val="yellow"/>
        </w:rPr>
        <w:t>Julian</w:t>
      </w:r>
      <w:r w:rsidRPr="00DF7EC5">
        <w:rPr>
          <w:highlight w:val="yellow"/>
        </w:rPr>
        <w:t xml:space="preserve"> will summarise key findings, synthesising across the survey, case studies and economic analysis, using the rubrics to guide the reporting structure</w:t>
      </w:r>
      <w:r>
        <w:t xml:space="preserve">] </w:t>
      </w:r>
    </w:p>
    <w:p w14:paraId="5F293530" w14:textId="1F54FC6E" w:rsidR="00A0346D" w:rsidRDefault="00DF7EC5" w:rsidP="00A0346D">
      <w:pPr>
        <w:pStyle w:val="Heading2"/>
      </w:pPr>
      <w:bookmarkStart w:id="8" w:name="_Toc81379272"/>
      <w:r>
        <w:t>Improved non-destructive testing capacity and capability</w:t>
      </w:r>
      <w:bookmarkEnd w:id="8"/>
      <w:r>
        <w:t xml:space="preserve"> </w:t>
      </w:r>
    </w:p>
    <w:p w14:paraId="76457758" w14:textId="77777777" w:rsidR="00DF7EC5" w:rsidRDefault="00DF7EC5" w:rsidP="00DF7EC5">
      <w:r>
        <w:t>Xxxx</w:t>
      </w:r>
    </w:p>
    <w:p w14:paraId="62006001" w14:textId="77777777" w:rsidR="00DF7EC5" w:rsidRPr="00DF7EC5" w:rsidRDefault="00DF7EC5" w:rsidP="00DF7EC5">
      <w:pPr>
        <w:pStyle w:val="Bullet"/>
        <w:rPr>
          <w:sz w:val="20"/>
          <w:szCs w:val="20"/>
        </w:rPr>
      </w:pPr>
      <w:r>
        <w:rPr>
          <w:sz w:val="20"/>
          <w:szCs w:val="20"/>
        </w:rPr>
        <w:t>xxx</w:t>
      </w:r>
    </w:p>
    <w:p w14:paraId="436FFC13" w14:textId="77777777" w:rsidR="00DF7EC5" w:rsidRDefault="00DF7EC5" w:rsidP="00DF7EC5">
      <w:pPr>
        <w:shd w:val="clear" w:color="auto" w:fill="DEE8FA" w:themeFill="accent1" w:themeFillTint="33"/>
        <w:rPr>
          <w:szCs w:val="20"/>
        </w:rPr>
      </w:pPr>
      <w:r>
        <w:rPr>
          <w:szCs w:val="20"/>
        </w:rPr>
        <w:t xml:space="preserve">Example from case study. </w:t>
      </w:r>
    </w:p>
    <w:p w14:paraId="76C1E3EB" w14:textId="24A66A9E" w:rsidR="00510F87" w:rsidRDefault="00DF7EC5" w:rsidP="00510F87">
      <w:pPr>
        <w:pStyle w:val="Heading2"/>
      </w:pPr>
      <w:bookmarkStart w:id="9" w:name="_Toc81379273"/>
      <w:r>
        <w:t>Increased scope and scale of non-destructive testing demand and use</w:t>
      </w:r>
      <w:bookmarkEnd w:id="9"/>
    </w:p>
    <w:p w14:paraId="5E860569" w14:textId="4178139F" w:rsidR="00317DBE" w:rsidRDefault="00DF7EC5" w:rsidP="00510F87">
      <w:r>
        <w:t>Xxxx</w:t>
      </w:r>
    </w:p>
    <w:p w14:paraId="0B6C0274" w14:textId="2309897C" w:rsidR="00DF7EC5" w:rsidRPr="00DF7EC5" w:rsidRDefault="00DF7EC5" w:rsidP="00510F87">
      <w:pPr>
        <w:pStyle w:val="Bullet"/>
        <w:rPr>
          <w:sz w:val="20"/>
          <w:szCs w:val="20"/>
        </w:rPr>
      </w:pPr>
      <w:r>
        <w:rPr>
          <w:sz w:val="20"/>
          <w:szCs w:val="20"/>
        </w:rPr>
        <w:t>xxx</w:t>
      </w:r>
    </w:p>
    <w:p w14:paraId="20033871" w14:textId="5075E8AD" w:rsidR="00317DBE" w:rsidRDefault="00DF7EC5" w:rsidP="00D55827">
      <w:pPr>
        <w:shd w:val="clear" w:color="auto" w:fill="DEE8FA" w:themeFill="accent1" w:themeFillTint="33"/>
        <w:rPr>
          <w:szCs w:val="20"/>
        </w:rPr>
      </w:pPr>
      <w:r>
        <w:rPr>
          <w:szCs w:val="20"/>
        </w:rPr>
        <w:t>Example from case study</w:t>
      </w:r>
      <w:r w:rsidR="00317DBE">
        <w:rPr>
          <w:szCs w:val="20"/>
        </w:rPr>
        <w:t xml:space="preserve">. </w:t>
      </w:r>
    </w:p>
    <w:p w14:paraId="4085EE57" w14:textId="3C674DF1" w:rsidR="00DF7EC5" w:rsidRDefault="00DF7EC5" w:rsidP="00DF7EC5">
      <w:pPr>
        <w:pStyle w:val="Heading2"/>
      </w:pPr>
      <w:bookmarkStart w:id="10" w:name="_Toc81379274"/>
      <w:r>
        <w:t>Improved health and safety</w:t>
      </w:r>
      <w:bookmarkEnd w:id="10"/>
      <w:r>
        <w:t xml:space="preserve"> </w:t>
      </w:r>
    </w:p>
    <w:p w14:paraId="6D1566C8" w14:textId="77777777" w:rsidR="00DF7EC5" w:rsidRDefault="00DF7EC5" w:rsidP="00DF7EC5">
      <w:r>
        <w:t>Xxxx</w:t>
      </w:r>
    </w:p>
    <w:p w14:paraId="6914E510" w14:textId="77777777" w:rsidR="00DF7EC5" w:rsidRPr="00DF7EC5" w:rsidRDefault="00DF7EC5" w:rsidP="00DF7EC5">
      <w:pPr>
        <w:pStyle w:val="Bullet"/>
        <w:rPr>
          <w:sz w:val="20"/>
          <w:szCs w:val="20"/>
        </w:rPr>
      </w:pPr>
      <w:r>
        <w:rPr>
          <w:sz w:val="20"/>
          <w:szCs w:val="20"/>
        </w:rPr>
        <w:t>xxx</w:t>
      </w:r>
    </w:p>
    <w:p w14:paraId="61A491EB" w14:textId="77777777" w:rsidR="00DF7EC5" w:rsidRDefault="00DF7EC5" w:rsidP="00DF7EC5">
      <w:pPr>
        <w:shd w:val="clear" w:color="auto" w:fill="DEE8FA" w:themeFill="accent1" w:themeFillTint="33"/>
        <w:rPr>
          <w:szCs w:val="20"/>
        </w:rPr>
      </w:pPr>
      <w:r>
        <w:rPr>
          <w:szCs w:val="20"/>
        </w:rPr>
        <w:t xml:space="preserve">Example from case study. </w:t>
      </w:r>
    </w:p>
    <w:p w14:paraId="19AC3130" w14:textId="349FB1C2" w:rsidR="00510F87" w:rsidRDefault="00510F87" w:rsidP="00510F87">
      <w:pPr>
        <w:pStyle w:val="Heading2"/>
      </w:pPr>
      <w:bookmarkStart w:id="11" w:name="_Toc81379275"/>
      <w:r>
        <w:t>Economic impacts</w:t>
      </w:r>
      <w:bookmarkEnd w:id="11"/>
    </w:p>
    <w:p w14:paraId="552101D7" w14:textId="3A88C327" w:rsidR="00AB18E7" w:rsidRDefault="00B62609" w:rsidP="00B62609">
      <w:r>
        <w:t xml:space="preserve">A social cost-benefit analysis was conducted to estimate economic impacts generated by </w:t>
      </w:r>
      <w:r w:rsidR="0067761E">
        <w:t xml:space="preserve">the </w:t>
      </w:r>
      <w:r>
        <w:t>RCA</w:t>
      </w:r>
      <w:r w:rsidR="00AB18E7">
        <w:t xml:space="preserve">. The analysis estimated the incremental (additional) costs and benefits </w:t>
      </w:r>
      <w:r w:rsidR="00AB18E7" w:rsidRPr="00843752">
        <w:rPr>
          <w:lang w:val="en-AU"/>
        </w:rPr>
        <w:t>that are attributable to</w:t>
      </w:r>
      <w:r w:rsidR="00E8051B">
        <w:rPr>
          <w:lang w:val="en-AU"/>
        </w:rPr>
        <w:t xml:space="preserve"> RCA</w:t>
      </w:r>
      <w:r w:rsidR="00AB18E7" w:rsidRPr="00843752">
        <w:rPr>
          <w:lang w:val="en-AU"/>
        </w:rPr>
        <w:t xml:space="preserve"> </w:t>
      </w:r>
      <w:r w:rsidR="00AB18E7" w:rsidRPr="0023086B">
        <w:rPr>
          <w:lang w:val="en-AU"/>
        </w:rPr>
        <w:t>collaboration</w:t>
      </w:r>
      <w:r w:rsidR="00AB18E7" w:rsidRPr="00843752">
        <w:rPr>
          <w:lang w:val="en-AU"/>
        </w:rPr>
        <w:t xml:space="preserve"> in </w:t>
      </w:r>
      <w:r w:rsidR="000F261A">
        <w:rPr>
          <w:lang w:val="en-AU"/>
        </w:rPr>
        <w:t>non-destructive testing</w:t>
      </w:r>
      <w:r w:rsidR="00AB18E7" w:rsidRPr="00843752">
        <w:rPr>
          <w:lang w:val="en-AU"/>
        </w:rPr>
        <w:t xml:space="preserve"> – </w:t>
      </w:r>
      <w:proofErr w:type="gramStart"/>
      <w:r w:rsidR="00AB18E7" w:rsidRPr="00843752">
        <w:rPr>
          <w:lang w:val="en-AU"/>
        </w:rPr>
        <w:t>i.e.</w:t>
      </w:r>
      <w:proofErr w:type="gramEnd"/>
      <w:r w:rsidR="00AB18E7" w:rsidRPr="00843752">
        <w:rPr>
          <w:lang w:val="en-AU"/>
        </w:rPr>
        <w:t xml:space="preserve"> </w:t>
      </w:r>
      <w:r w:rsidR="00AB18E7">
        <w:rPr>
          <w:lang w:val="en-AU"/>
        </w:rPr>
        <w:t>it</w:t>
      </w:r>
      <w:r w:rsidR="00AB18E7" w:rsidRPr="00843752">
        <w:rPr>
          <w:lang w:val="en-AU"/>
        </w:rPr>
        <w:t xml:space="preserve"> did not estimate the benefits and costs of </w:t>
      </w:r>
      <w:r w:rsidR="000F261A">
        <w:rPr>
          <w:lang w:val="en-AU"/>
        </w:rPr>
        <w:t>non-destructive testing</w:t>
      </w:r>
      <w:r w:rsidR="000F261A" w:rsidRPr="00843752">
        <w:rPr>
          <w:lang w:val="en-AU"/>
        </w:rPr>
        <w:t xml:space="preserve"> </w:t>
      </w:r>
      <w:r w:rsidR="00AB18E7" w:rsidRPr="00843752">
        <w:rPr>
          <w:lang w:val="en-AU"/>
        </w:rPr>
        <w:t>activities as a whole but rather the benefits and costs associated with collaboration under the RCA</w:t>
      </w:r>
      <w:r w:rsidR="00AB18E7">
        <w:rPr>
          <w:lang w:val="en-AU"/>
        </w:rPr>
        <w:t>, compared to a hypothetical situation with no RCA</w:t>
      </w:r>
      <w:r w:rsidR="00AB18E7" w:rsidRPr="00843752">
        <w:rPr>
          <w:lang w:val="en-AU"/>
        </w:rPr>
        <w:t>.</w:t>
      </w:r>
      <w:r w:rsidR="00AB18E7">
        <w:rPr>
          <w:lang w:val="en-AU"/>
        </w:rPr>
        <w:t xml:space="preserve"> </w:t>
      </w:r>
    </w:p>
    <w:p w14:paraId="45A43F84" w14:textId="5844DF15" w:rsidR="00B62609" w:rsidRPr="00AB18E7" w:rsidRDefault="00AB18E7" w:rsidP="00B62609">
      <w:r>
        <w:t xml:space="preserve">The analysis used data from the survey, together with administrative and cost data provided by the IAEA. It estimated the costs and benefits that </w:t>
      </w:r>
      <w:r w:rsidR="00B62609">
        <w:t xml:space="preserve">occurred between 2000 to </w:t>
      </w:r>
      <w:r w:rsidR="000F261A">
        <w:t>2020</w:t>
      </w:r>
      <w:r w:rsidR="00B62609">
        <w:t xml:space="preserve">. </w:t>
      </w:r>
      <w:r w:rsidR="0009630F">
        <w:rPr>
          <w:lang w:val="en-AU"/>
        </w:rPr>
        <w:t xml:space="preserve">Costs and benefits were analysed as annual time series and adjusted </w:t>
      </w:r>
      <w:r w:rsidR="00B51303">
        <w:rPr>
          <w:lang w:val="en-AU"/>
        </w:rPr>
        <w:t xml:space="preserve">for timing, </w:t>
      </w:r>
      <w:r w:rsidR="0009630F">
        <w:rPr>
          <w:lang w:val="en-AU"/>
        </w:rPr>
        <w:t xml:space="preserve">using </w:t>
      </w:r>
      <w:r w:rsidR="00895919">
        <w:rPr>
          <w:lang w:val="en-AU"/>
        </w:rPr>
        <w:t>discounting to</w:t>
      </w:r>
      <w:r w:rsidR="0009630F">
        <w:rPr>
          <w:lang w:val="en-AU"/>
        </w:rPr>
        <w:t xml:space="preserve"> convert values </w:t>
      </w:r>
      <w:r w:rsidR="00895919">
        <w:rPr>
          <w:lang w:val="en-AU"/>
        </w:rPr>
        <w:t xml:space="preserve">occurring at different points in time </w:t>
      </w:r>
      <w:r w:rsidR="0009630F">
        <w:rPr>
          <w:lang w:val="en-AU"/>
        </w:rPr>
        <w:t xml:space="preserve">into present values. </w:t>
      </w:r>
    </w:p>
    <w:p w14:paraId="00B61D24" w14:textId="28F0B098" w:rsidR="000D7175" w:rsidRDefault="000D7175" w:rsidP="00510F87">
      <w:r w:rsidRPr="000D7175">
        <w:rPr>
          <w:b/>
          <w:bCs/>
          <w:color w:val="1A4FAB" w:themeColor="text2"/>
        </w:rPr>
        <w:t>Benefits</w:t>
      </w:r>
      <w:r w:rsidRPr="000D7175">
        <w:rPr>
          <w:color w:val="1A4FAB" w:themeColor="text2"/>
        </w:rPr>
        <w:t xml:space="preserve"> </w:t>
      </w:r>
      <w:r w:rsidR="0073066D">
        <w:t>represent</w:t>
      </w:r>
      <w:r>
        <w:t xml:space="preserve"> </w:t>
      </w:r>
      <w:r w:rsidR="00E45D80">
        <w:t>[</w:t>
      </w:r>
      <w:r w:rsidR="00E45D80" w:rsidRPr="00E45D80">
        <w:rPr>
          <w:highlight w:val="yellow"/>
        </w:rPr>
        <w:t>xxxx</w:t>
      </w:r>
      <w:r w:rsidR="00E45D80">
        <w:t>] and included</w:t>
      </w:r>
      <w:r>
        <w:t xml:space="preserve">: </w:t>
      </w:r>
    </w:p>
    <w:p w14:paraId="79A4C7F3" w14:textId="77777777" w:rsidR="00E45D80" w:rsidRPr="00E45D80" w:rsidRDefault="00E45D80" w:rsidP="000D7175">
      <w:pPr>
        <w:pStyle w:val="Bullet"/>
        <w:rPr>
          <w:sz w:val="20"/>
          <w:szCs w:val="20"/>
          <w:highlight w:val="yellow"/>
        </w:rPr>
      </w:pPr>
      <w:r w:rsidRPr="00E45D80">
        <w:rPr>
          <w:sz w:val="20"/>
          <w:szCs w:val="20"/>
          <w:highlight w:val="yellow"/>
        </w:rPr>
        <w:t>Things</w:t>
      </w:r>
    </w:p>
    <w:p w14:paraId="07B70ED7" w14:textId="77777777" w:rsidR="00E45D80" w:rsidRPr="00E45D80" w:rsidRDefault="00E45D80" w:rsidP="000D7175">
      <w:pPr>
        <w:pStyle w:val="Bullet"/>
        <w:rPr>
          <w:sz w:val="20"/>
          <w:szCs w:val="20"/>
          <w:highlight w:val="yellow"/>
        </w:rPr>
      </w:pPr>
      <w:r w:rsidRPr="00E45D80">
        <w:rPr>
          <w:sz w:val="20"/>
          <w:szCs w:val="20"/>
          <w:highlight w:val="yellow"/>
        </w:rPr>
        <w:t>And</w:t>
      </w:r>
    </w:p>
    <w:p w14:paraId="394F9174" w14:textId="69937CE1" w:rsidR="000D7175" w:rsidRPr="000D7175" w:rsidRDefault="00E45D80" w:rsidP="000D7175">
      <w:pPr>
        <w:pStyle w:val="Bullet"/>
        <w:rPr>
          <w:sz w:val="20"/>
          <w:szCs w:val="20"/>
        </w:rPr>
      </w:pPr>
      <w:r w:rsidRPr="00E45D80">
        <w:rPr>
          <w:sz w:val="20"/>
          <w:szCs w:val="20"/>
          <w:highlight w:val="yellow"/>
        </w:rPr>
        <w:t>Stuff</w:t>
      </w:r>
      <w:r w:rsidR="000D7175">
        <w:rPr>
          <w:sz w:val="20"/>
          <w:szCs w:val="20"/>
        </w:rPr>
        <w:t xml:space="preserve">. </w:t>
      </w:r>
    </w:p>
    <w:p w14:paraId="0E0853E7" w14:textId="0E17B922" w:rsidR="0073066D" w:rsidRDefault="0073066D" w:rsidP="00510F87">
      <w:pPr>
        <w:rPr>
          <w:lang w:val="en-AU"/>
        </w:rPr>
      </w:pPr>
      <w:r w:rsidRPr="00A63D12">
        <w:rPr>
          <w:b/>
          <w:bCs/>
          <w:color w:val="1A4FAB" w:themeColor="text2"/>
          <w:lang w:val="en-AU"/>
        </w:rPr>
        <w:t>Costs</w:t>
      </w:r>
      <w:r w:rsidRPr="00A63D12">
        <w:rPr>
          <w:color w:val="1A4FAB" w:themeColor="text2"/>
          <w:lang w:val="en-AU"/>
        </w:rPr>
        <w:t xml:space="preserve"> </w:t>
      </w:r>
      <w:r>
        <w:rPr>
          <w:lang w:val="en-AU"/>
        </w:rPr>
        <w:t xml:space="preserve">represent the opportunity costs arising from committing resources of the IAEA and GPs to RCA-related activities. They include costs of </w:t>
      </w:r>
      <w:r w:rsidR="00652213">
        <w:rPr>
          <w:lang w:val="en-AU"/>
        </w:rPr>
        <w:t>[</w:t>
      </w:r>
      <w:r w:rsidR="00652213" w:rsidRPr="00652213">
        <w:rPr>
          <w:highlight w:val="yellow"/>
          <w:lang w:val="en-AU"/>
        </w:rPr>
        <w:t>xxxxx</w:t>
      </w:r>
      <w:r w:rsidR="00652213">
        <w:rPr>
          <w:lang w:val="en-AU"/>
        </w:rPr>
        <w:t>]</w:t>
      </w:r>
      <w:r w:rsidR="00A63D12">
        <w:rPr>
          <w:lang w:val="en-AU"/>
        </w:rPr>
        <w:t xml:space="preserve">. </w:t>
      </w:r>
    </w:p>
    <w:p w14:paraId="79EE84F5" w14:textId="1737CDE7" w:rsidR="002C409C" w:rsidRDefault="00A63D12" w:rsidP="002C409C">
      <w:r w:rsidRPr="00A63D12">
        <w:rPr>
          <w:b/>
          <w:bCs/>
          <w:color w:val="1A4FAB" w:themeColor="text2"/>
          <w:lang w:val="en-AU"/>
        </w:rPr>
        <w:t xml:space="preserve">Results </w:t>
      </w:r>
      <w:r w:rsidRPr="00807493">
        <w:rPr>
          <w:lang w:val="en-AU"/>
        </w:rPr>
        <w:t xml:space="preserve">of the analysis </w:t>
      </w:r>
      <w:r>
        <w:rPr>
          <w:lang w:val="en-AU"/>
        </w:rPr>
        <w:t>indicate</w:t>
      </w:r>
      <w:r w:rsidR="000D7175">
        <w:rPr>
          <w:lang w:val="en-AU"/>
        </w:rPr>
        <w:t xml:space="preserve"> that the RCA delivered </w:t>
      </w:r>
      <w:r w:rsidR="00652213" w:rsidRPr="004449E9">
        <w:rPr>
          <w:highlight w:val="yellow"/>
        </w:rPr>
        <w:t>[excellent</w:t>
      </w:r>
      <w:r w:rsidR="00652213">
        <w:rPr>
          <w:highlight w:val="yellow"/>
        </w:rPr>
        <w:t>/good/adequate/poor</w:t>
      </w:r>
      <w:r w:rsidR="00652213" w:rsidRPr="004449E9">
        <w:rPr>
          <w:highlight w:val="yellow"/>
        </w:rPr>
        <w:t>]</w:t>
      </w:r>
      <w:r w:rsidR="00652213">
        <w:t xml:space="preserve"> </w:t>
      </w:r>
      <w:r w:rsidR="000D7175">
        <w:rPr>
          <w:lang w:val="en-AU"/>
        </w:rPr>
        <w:t xml:space="preserve">economic outcomes, with estimated benefits </w:t>
      </w:r>
      <w:r w:rsidR="00652213">
        <w:rPr>
          <w:lang w:val="en-AU"/>
        </w:rPr>
        <w:t>[</w:t>
      </w:r>
      <w:r w:rsidR="000D7175" w:rsidRPr="00652213">
        <w:rPr>
          <w:highlight w:val="yellow"/>
          <w:lang w:val="en-AU"/>
        </w:rPr>
        <w:t>exceeding</w:t>
      </w:r>
      <w:r w:rsidR="00652213">
        <w:rPr>
          <w:lang w:val="en-AU"/>
        </w:rPr>
        <w:t>]</w:t>
      </w:r>
      <w:r w:rsidR="000D7175">
        <w:rPr>
          <w:lang w:val="en-AU"/>
        </w:rPr>
        <w:t xml:space="preserve"> estimated costs. In the baseline scenario, the </w:t>
      </w:r>
      <w:r w:rsidR="001F56F4">
        <w:rPr>
          <w:lang w:val="en-AU"/>
        </w:rPr>
        <w:t>RCA generated</w:t>
      </w:r>
      <w:r w:rsidR="00F7770C">
        <w:rPr>
          <w:lang w:val="en-AU"/>
        </w:rPr>
        <w:t xml:space="preserve"> </w:t>
      </w:r>
      <w:r w:rsidR="00F7770C" w:rsidRPr="00F7770C">
        <w:rPr>
          <w:b/>
          <w:bCs/>
          <w:color w:val="1A4FAB" w:themeColor="text2"/>
          <w:lang w:val="en-AU"/>
        </w:rPr>
        <w:t xml:space="preserve">EUR </w:t>
      </w:r>
      <w:r w:rsidR="00940496" w:rsidRPr="00940496">
        <w:rPr>
          <w:b/>
          <w:bCs/>
          <w:color w:val="1A4FAB" w:themeColor="text2"/>
          <w:highlight w:val="yellow"/>
          <w:lang w:val="en-AU"/>
        </w:rPr>
        <w:t>xxx</w:t>
      </w:r>
      <w:r w:rsidR="00F7770C" w:rsidRPr="00F7770C">
        <w:rPr>
          <w:b/>
          <w:bCs/>
          <w:color w:val="1A4FAB" w:themeColor="text2"/>
          <w:lang w:val="en-AU"/>
        </w:rPr>
        <w:t xml:space="preserve"> of net economic benefits</w:t>
      </w:r>
      <w:r w:rsidR="00F7770C" w:rsidRPr="00F7770C">
        <w:rPr>
          <w:color w:val="1A4FAB" w:themeColor="text2"/>
          <w:lang w:val="en-AU"/>
        </w:rPr>
        <w:t xml:space="preserve"> </w:t>
      </w:r>
      <w:r w:rsidR="00F7770C">
        <w:rPr>
          <w:lang w:val="en-AU"/>
        </w:rPr>
        <w:t xml:space="preserve">(valued in 2020 EUR, including </w:t>
      </w:r>
      <w:r w:rsidR="00940496" w:rsidRPr="00940496">
        <w:rPr>
          <w:highlight w:val="yellow"/>
          <w:lang w:val="en-AU"/>
        </w:rPr>
        <w:t>xxx</w:t>
      </w:r>
      <w:r w:rsidR="00F7770C">
        <w:rPr>
          <w:lang w:val="en-AU"/>
        </w:rPr>
        <w:t xml:space="preserve"> costs and </w:t>
      </w:r>
      <w:r w:rsidR="00940496" w:rsidRPr="00940496">
        <w:rPr>
          <w:highlight w:val="yellow"/>
          <w:lang w:val="en-AU"/>
        </w:rPr>
        <w:t>xxx</w:t>
      </w:r>
      <w:r w:rsidR="00F7770C">
        <w:rPr>
          <w:lang w:val="en-AU"/>
        </w:rPr>
        <w:t xml:space="preserve"> </w:t>
      </w:r>
      <w:r w:rsidR="00F7770C">
        <w:rPr>
          <w:lang w:val="en-AU"/>
        </w:rPr>
        <w:lastRenderedPageBreak/>
        <w:t>benefits).</w:t>
      </w:r>
      <w:r w:rsidR="00C95B45">
        <w:rPr>
          <w:lang w:val="en-AU"/>
        </w:rPr>
        <w:t xml:space="preserve"> </w:t>
      </w:r>
      <w:r w:rsidR="00EC5D04">
        <w:rPr>
          <w:lang w:val="en-NZ"/>
        </w:rPr>
        <w:t xml:space="preserve">As is often the case in cost-benefit analysis, some important </w:t>
      </w:r>
      <w:r w:rsidR="002C409C">
        <w:rPr>
          <w:lang w:val="en-NZ"/>
        </w:rPr>
        <w:t>parameters</w:t>
      </w:r>
      <w:r w:rsidR="00EC5D04">
        <w:rPr>
          <w:lang w:val="en-NZ"/>
        </w:rPr>
        <w:t xml:space="preserve"> required modelling assumptions to be developed</w:t>
      </w:r>
      <w:r w:rsidR="00746449">
        <w:rPr>
          <w:lang w:val="en-NZ"/>
        </w:rPr>
        <w:t>,</w:t>
      </w:r>
      <w:r w:rsidR="00EC5D04">
        <w:rPr>
          <w:lang w:val="en-NZ"/>
        </w:rPr>
        <w:t xml:space="preserve"> in consultation with </w:t>
      </w:r>
      <w:r w:rsidR="00940496">
        <w:rPr>
          <w:lang w:val="en-NZ"/>
        </w:rPr>
        <w:t>non-destructive testing</w:t>
      </w:r>
      <w:r w:rsidR="00EC5D04">
        <w:rPr>
          <w:lang w:val="en-NZ"/>
        </w:rPr>
        <w:t xml:space="preserve"> experts. To understand the implications of uncertainty in these modelling assumptions, sensitivity analysis was conducted</w:t>
      </w:r>
      <w:r w:rsidR="00895919">
        <w:rPr>
          <w:lang w:val="en-NZ"/>
        </w:rPr>
        <w:t xml:space="preserve"> that involved testing how the estimates of benefits and costs varied under alternative assumptions</w:t>
      </w:r>
      <w:r w:rsidR="00EC5D04">
        <w:rPr>
          <w:lang w:val="en-NZ"/>
        </w:rPr>
        <w:t xml:space="preserve">. </w:t>
      </w:r>
      <w:r w:rsidR="002C409C">
        <w:rPr>
          <w:lang w:val="en-NZ"/>
        </w:rPr>
        <w:t xml:space="preserve">Sensitivity analysis revealed that under </w:t>
      </w:r>
      <w:r w:rsidR="00746449">
        <w:rPr>
          <w:lang w:val="en-NZ"/>
        </w:rPr>
        <w:t xml:space="preserve">a range of </w:t>
      </w:r>
      <w:r w:rsidR="002C409C" w:rsidRPr="00B861BF">
        <w:t xml:space="preserve">alternative assumptions, </w:t>
      </w:r>
      <w:r w:rsidR="002C409C" w:rsidRPr="00B861BF">
        <w:rPr>
          <w:b/>
          <w:bCs/>
          <w:color w:val="1A4FAB" w:themeColor="text2"/>
        </w:rPr>
        <w:t xml:space="preserve">net benefits could be between EUR </w:t>
      </w:r>
      <w:r w:rsidR="00940496" w:rsidRPr="00940496">
        <w:rPr>
          <w:b/>
          <w:bCs/>
          <w:color w:val="1A4FAB" w:themeColor="text2"/>
          <w:highlight w:val="yellow"/>
        </w:rPr>
        <w:t>xxx</w:t>
      </w:r>
      <w:r w:rsidR="002C409C" w:rsidRPr="00B861BF">
        <w:rPr>
          <w:b/>
          <w:bCs/>
          <w:color w:val="1A4FAB" w:themeColor="text2"/>
        </w:rPr>
        <w:t xml:space="preserve"> and EUR </w:t>
      </w:r>
      <w:r w:rsidR="00940496" w:rsidRPr="00940496">
        <w:rPr>
          <w:b/>
          <w:bCs/>
          <w:color w:val="1A4FAB" w:themeColor="text2"/>
          <w:highlight w:val="yellow"/>
        </w:rPr>
        <w:t>xxx</w:t>
      </w:r>
      <w:r w:rsidR="002C409C" w:rsidRPr="00B861BF">
        <w:t>. In our view</w:t>
      </w:r>
      <w:r w:rsidR="002C409C">
        <w:t xml:space="preserve">, it is likely that the net benefits of the RCA </w:t>
      </w:r>
      <w:r w:rsidR="00895919">
        <w:t xml:space="preserve">remain </w:t>
      </w:r>
      <w:r w:rsidR="002C409C">
        <w:t xml:space="preserve">positive under </w:t>
      </w:r>
      <w:r w:rsidR="00940496">
        <w:t>[</w:t>
      </w:r>
      <w:r w:rsidR="002C409C" w:rsidRPr="00940496">
        <w:rPr>
          <w:highlight w:val="yellow"/>
        </w:rPr>
        <w:t>almost all</w:t>
      </w:r>
      <w:r w:rsidR="00940496" w:rsidRPr="00940496">
        <w:rPr>
          <w:highlight w:val="yellow"/>
        </w:rPr>
        <w:t xml:space="preserve"> or whatever</w:t>
      </w:r>
      <w:r w:rsidR="00940496">
        <w:t>]</w:t>
      </w:r>
      <w:r w:rsidR="002C409C">
        <w:t xml:space="preserve"> plausible assumptions about benefits and costs. </w:t>
      </w:r>
    </w:p>
    <w:p w14:paraId="23E775CD" w14:textId="2551BC49" w:rsidR="00C95B45" w:rsidRPr="00F7770C" w:rsidRDefault="00C95B45" w:rsidP="00C95B45">
      <w:pPr>
        <w:rPr>
          <w:lang w:val="en-AU"/>
        </w:rPr>
      </w:pPr>
      <w:r>
        <w:rPr>
          <w:szCs w:val="20"/>
        </w:rPr>
        <w:t xml:space="preserve">This implies that, historically, </w:t>
      </w:r>
      <w:r w:rsidRPr="006C626C">
        <w:rPr>
          <w:b/>
          <w:bCs/>
          <w:color w:val="1A4FAB" w:themeColor="text2"/>
          <w:szCs w:val="20"/>
        </w:rPr>
        <w:t xml:space="preserve">each 1 EUR of costs was associated with </w:t>
      </w:r>
      <w:r w:rsidR="0009689D" w:rsidRPr="0009689D">
        <w:rPr>
          <w:b/>
          <w:bCs/>
          <w:color w:val="1A4FAB" w:themeColor="text2"/>
          <w:szCs w:val="20"/>
          <w:highlight w:val="yellow"/>
        </w:rPr>
        <w:t>xxxx</w:t>
      </w:r>
      <w:r w:rsidRPr="006C626C">
        <w:rPr>
          <w:b/>
          <w:bCs/>
          <w:color w:val="1A4FAB" w:themeColor="text2"/>
          <w:szCs w:val="20"/>
        </w:rPr>
        <w:t xml:space="preserve"> </w:t>
      </w:r>
      <w:r>
        <w:rPr>
          <w:b/>
          <w:bCs/>
          <w:color w:val="1A4FAB" w:themeColor="text2"/>
          <w:szCs w:val="20"/>
        </w:rPr>
        <w:t xml:space="preserve">EUR </w:t>
      </w:r>
      <w:r w:rsidRPr="006C626C">
        <w:rPr>
          <w:b/>
          <w:bCs/>
          <w:color w:val="1A4FAB" w:themeColor="text2"/>
          <w:szCs w:val="20"/>
        </w:rPr>
        <w:t>of economic benefits</w:t>
      </w:r>
      <w:r>
        <w:rPr>
          <w:b/>
          <w:bCs/>
          <w:color w:val="1A4FAB" w:themeColor="text2"/>
          <w:szCs w:val="20"/>
        </w:rPr>
        <w:t xml:space="preserve"> on average with a range from 5</w:t>
      </w:r>
      <w:r w:rsidR="0009689D" w:rsidRPr="0009689D">
        <w:rPr>
          <w:b/>
          <w:bCs/>
          <w:color w:val="1A4FAB" w:themeColor="text2"/>
          <w:highlight w:val="yellow"/>
        </w:rPr>
        <w:t xml:space="preserve"> </w:t>
      </w:r>
      <w:r w:rsidR="0009689D" w:rsidRPr="00940496">
        <w:rPr>
          <w:b/>
          <w:bCs/>
          <w:color w:val="1A4FAB" w:themeColor="text2"/>
          <w:highlight w:val="yellow"/>
        </w:rPr>
        <w:t>xxx</w:t>
      </w:r>
      <w:r w:rsidR="0009689D">
        <w:rPr>
          <w:b/>
          <w:bCs/>
          <w:color w:val="1A4FAB" w:themeColor="text2"/>
          <w:szCs w:val="20"/>
        </w:rPr>
        <w:t xml:space="preserve"> </w:t>
      </w:r>
      <w:r>
        <w:rPr>
          <w:b/>
          <w:bCs/>
          <w:color w:val="1A4FAB" w:themeColor="text2"/>
          <w:szCs w:val="20"/>
        </w:rPr>
        <w:t xml:space="preserve">EUR under the most pessimistic scenario that we considered to </w:t>
      </w:r>
      <w:r w:rsidR="0009689D" w:rsidRPr="00940496">
        <w:rPr>
          <w:b/>
          <w:bCs/>
          <w:color w:val="1A4FAB" w:themeColor="text2"/>
          <w:highlight w:val="yellow"/>
        </w:rPr>
        <w:t>xxx</w:t>
      </w:r>
      <w:r w:rsidR="0009689D">
        <w:rPr>
          <w:b/>
          <w:bCs/>
          <w:color w:val="1A4FAB" w:themeColor="text2"/>
          <w:szCs w:val="20"/>
        </w:rPr>
        <w:t xml:space="preserve"> </w:t>
      </w:r>
      <w:r>
        <w:rPr>
          <w:b/>
          <w:bCs/>
          <w:color w:val="1A4FAB" w:themeColor="text2"/>
          <w:szCs w:val="20"/>
        </w:rPr>
        <w:t>EUR under the most optimistic scenario that we considered</w:t>
      </w:r>
      <w:r>
        <w:rPr>
          <w:szCs w:val="20"/>
        </w:rPr>
        <w:t xml:space="preserve">. </w:t>
      </w:r>
    </w:p>
    <w:p w14:paraId="277A8E70" w14:textId="6514716D" w:rsidR="002C409C" w:rsidRPr="002C409C" w:rsidRDefault="002C409C" w:rsidP="002C409C">
      <w:r>
        <w:t xml:space="preserve">Our estimates of costs and benefits are largely retrospective and are based on actual outcomes under the RCA between 2000 and </w:t>
      </w:r>
      <w:r w:rsidR="0009689D">
        <w:t>2020</w:t>
      </w:r>
      <w:r>
        <w:t xml:space="preserve">. These results should not be used to make decisions about the future of the RCA, or to decide whether the scale of the RCA should be increased or decreased. </w:t>
      </w:r>
      <w:r w:rsidR="00DC1885">
        <w:t>Full details of the cost-benefit analysis are provided in Annex F.</w:t>
      </w:r>
      <w:r w:rsidR="002C082A">
        <w:t xml:space="preserve"> </w:t>
      </w:r>
    </w:p>
    <w:p w14:paraId="3DEEA0AE" w14:textId="0C14F42B" w:rsidR="00510F87" w:rsidRDefault="009016F2" w:rsidP="00510F87">
      <w:pPr>
        <w:pStyle w:val="Heading2"/>
      </w:pPr>
      <w:r>
        <w:br w:type="column"/>
      </w:r>
      <w:bookmarkStart w:id="12" w:name="_Toc81379276"/>
      <w:r w:rsidR="00510F87">
        <w:lastRenderedPageBreak/>
        <w:t>Conclusion</w:t>
      </w:r>
      <w:bookmarkEnd w:id="12"/>
    </w:p>
    <w:p w14:paraId="67D47C3D" w14:textId="2C6F62BE" w:rsidR="008438DC" w:rsidRDefault="008438DC" w:rsidP="008438DC">
      <w:r>
        <w:t xml:space="preserve">The RCA has supported a significant body of </w:t>
      </w:r>
      <w:r w:rsidR="003B79BD">
        <w:t>non-destructive testing projects</w:t>
      </w:r>
      <w:r>
        <w:t xml:space="preserve">, contributing to </w:t>
      </w:r>
      <w:r w:rsidR="003B79BD">
        <w:t>[</w:t>
      </w:r>
      <w:r w:rsidR="003B79BD" w:rsidRPr="003B79BD">
        <w:rPr>
          <w:highlight w:val="yellow"/>
        </w:rPr>
        <w:t>xxx</w:t>
      </w:r>
      <w:r w:rsidR="003B79BD">
        <w:t>] including [</w:t>
      </w:r>
      <w:r w:rsidR="003B79BD" w:rsidRPr="003B79BD">
        <w:rPr>
          <w:highlight w:val="yellow"/>
        </w:rPr>
        <w:t>xxx</w:t>
      </w:r>
      <w:r w:rsidR="003B79BD">
        <w:t>]</w:t>
      </w:r>
      <w:r>
        <w:t xml:space="preserve"> that would not otherwise have </w:t>
      </w:r>
      <w:r w:rsidR="003B79BD">
        <w:t>occurred</w:t>
      </w:r>
      <w:r>
        <w:t xml:space="preserve">. This research has brought positive impacts including </w:t>
      </w:r>
      <w:r w:rsidR="006B0B93">
        <w:t>[</w:t>
      </w:r>
      <w:r w:rsidR="006B0B93" w:rsidRPr="006B0B93">
        <w:rPr>
          <w:highlight w:val="yellow"/>
        </w:rPr>
        <w:t>xxxxx</w:t>
      </w:r>
      <w:r w:rsidR="006B0B93">
        <w:t>]</w:t>
      </w:r>
      <w:r>
        <w:t xml:space="preserve">. </w:t>
      </w:r>
    </w:p>
    <w:p w14:paraId="4E9B01F7" w14:textId="52A8F252" w:rsidR="008438DC" w:rsidRDefault="008438DC" w:rsidP="008438DC">
      <w:r>
        <w:t xml:space="preserve">Cost-benefit analysis estimated that the RCA created </w:t>
      </w:r>
      <w:r w:rsidR="006B0B93">
        <w:t>[</w:t>
      </w:r>
      <w:r w:rsidRPr="006B0B93">
        <w:rPr>
          <w:highlight w:val="yellow"/>
        </w:rPr>
        <w:t>more</w:t>
      </w:r>
      <w:r w:rsidR="006B0B93">
        <w:t>]</w:t>
      </w:r>
      <w:r>
        <w:t xml:space="preserve"> economic value than it consumed between 2000 and </w:t>
      </w:r>
      <w:r w:rsidR="006B0B93">
        <w:t>2020</w:t>
      </w:r>
      <w:r>
        <w:t xml:space="preserve">, with each 1 EUR of costs </w:t>
      </w:r>
      <w:r w:rsidR="0043373F">
        <w:t xml:space="preserve">incurred between 2000 and 2019 </w:t>
      </w:r>
      <w:r>
        <w:t xml:space="preserve">associated with </w:t>
      </w:r>
      <w:r w:rsidR="00E04590">
        <w:t>[</w:t>
      </w:r>
      <w:r w:rsidR="00E04590" w:rsidRPr="003B79BD">
        <w:rPr>
          <w:highlight w:val="yellow"/>
        </w:rPr>
        <w:t>xxx</w:t>
      </w:r>
      <w:r w:rsidR="00E04590">
        <w:t xml:space="preserve">] </w:t>
      </w:r>
      <w:r>
        <w:t>EUR of economic benefits</w:t>
      </w:r>
      <w:r w:rsidR="00B3690F">
        <w:t xml:space="preserve"> on average</w:t>
      </w:r>
      <w:r>
        <w:t xml:space="preserve">. </w:t>
      </w:r>
    </w:p>
    <w:p w14:paraId="7A6523B9" w14:textId="59EA1240" w:rsidR="006C05EF" w:rsidRDefault="00CA5600" w:rsidP="008438DC">
      <w:r>
        <w:t xml:space="preserve">Pre-defined performance criteria were </w:t>
      </w:r>
      <w:r w:rsidRPr="00156972">
        <w:t xml:space="preserve">agreed with IAEA and GP experts to provide an evaluative framework </w:t>
      </w:r>
      <w:r>
        <w:t>for</w:t>
      </w:r>
      <w:r w:rsidRPr="00156972">
        <w:t xml:space="preserve"> the impact assessment</w:t>
      </w:r>
      <w:r w:rsidR="008438DC">
        <w:t xml:space="preserve"> (Table 16, Annex G). </w:t>
      </w:r>
      <w:r w:rsidR="00120899">
        <w:t>E</w:t>
      </w:r>
      <w:r w:rsidR="006C05EF">
        <w:t>vidence of RCA impacts</w:t>
      </w:r>
      <w:r w:rsidR="00B63B84">
        <w:t xml:space="preserve"> provided by the IAEA and GPs</w:t>
      </w:r>
      <w:r w:rsidR="00120899">
        <w:t xml:space="preserve"> suggests that</w:t>
      </w:r>
      <w:r w:rsidR="006C05EF">
        <w:t xml:space="preserve"> the RCA meets standards of: </w:t>
      </w:r>
    </w:p>
    <w:p w14:paraId="59DEE5B8" w14:textId="1AB113BF" w:rsidR="006C05EF" w:rsidRDefault="00E04590" w:rsidP="006C05EF">
      <w:pPr>
        <w:pStyle w:val="Bullet"/>
        <w:rPr>
          <w:sz w:val="20"/>
          <w:szCs w:val="20"/>
        </w:rPr>
      </w:pPr>
      <w:r>
        <w:rPr>
          <w:b/>
          <w:bCs/>
          <w:color w:val="1A4FAB" w:themeColor="text2"/>
          <w:sz w:val="20"/>
          <w:szCs w:val="20"/>
        </w:rPr>
        <w:t>[</w:t>
      </w:r>
      <w:r w:rsidR="006C05EF" w:rsidRPr="00E04590">
        <w:rPr>
          <w:b/>
          <w:bCs/>
          <w:color w:val="1A4FAB" w:themeColor="text2"/>
          <w:sz w:val="20"/>
          <w:szCs w:val="20"/>
          <w:highlight w:val="yellow"/>
        </w:rPr>
        <w:t>Excellent</w:t>
      </w:r>
      <w:r w:rsidRPr="00E04590">
        <w:rPr>
          <w:b/>
          <w:bCs/>
          <w:color w:val="1A4FAB" w:themeColor="text2"/>
          <w:sz w:val="20"/>
          <w:szCs w:val="20"/>
          <w:highlight w:val="yellow"/>
        </w:rPr>
        <w:t>/good/adequate/poor</w:t>
      </w:r>
      <w:r>
        <w:rPr>
          <w:b/>
          <w:bCs/>
          <w:color w:val="1A4FAB" w:themeColor="text2"/>
          <w:sz w:val="20"/>
          <w:szCs w:val="20"/>
        </w:rPr>
        <w:t>]</w:t>
      </w:r>
      <w:r w:rsidR="006C05EF" w:rsidRPr="00C434B9">
        <w:rPr>
          <w:color w:val="1A4FAB" w:themeColor="text2"/>
          <w:sz w:val="20"/>
          <w:szCs w:val="20"/>
        </w:rPr>
        <w:t xml:space="preserve"> </w:t>
      </w:r>
      <w:r w:rsidR="006C05EF" w:rsidRPr="006C05EF">
        <w:rPr>
          <w:sz w:val="20"/>
          <w:szCs w:val="20"/>
        </w:rPr>
        <w:t>performance</w:t>
      </w:r>
      <w:r w:rsidR="006C05EF">
        <w:rPr>
          <w:sz w:val="20"/>
          <w:szCs w:val="20"/>
        </w:rPr>
        <w:t xml:space="preserve"> for </w:t>
      </w:r>
      <w:r>
        <w:rPr>
          <w:b/>
          <w:bCs/>
          <w:color w:val="1A4FAB" w:themeColor="text2"/>
          <w:sz w:val="20"/>
          <w:szCs w:val="20"/>
        </w:rPr>
        <w:t>improved non-destructive testing capacity and capability</w:t>
      </w:r>
      <w:r w:rsidR="00340E53">
        <w:rPr>
          <w:sz w:val="20"/>
          <w:szCs w:val="20"/>
        </w:rPr>
        <w:t xml:space="preserve">, with </w:t>
      </w:r>
      <w:r w:rsidRPr="00E04590">
        <w:rPr>
          <w:sz w:val="20"/>
          <w:szCs w:val="20"/>
          <w:highlight w:val="yellow"/>
        </w:rPr>
        <w:t>[xxxxx]</w:t>
      </w:r>
      <w:r>
        <w:rPr>
          <w:sz w:val="20"/>
          <w:szCs w:val="20"/>
        </w:rPr>
        <w:t xml:space="preserve"> </w:t>
      </w:r>
      <w:r w:rsidR="00340E53">
        <w:rPr>
          <w:sz w:val="20"/>
          <w:szCs w:val="20"/>
        </w:rPr>
        <w:t xml:space="preserve"> </w:t>
      </w:r>
    </w:p>
    <w:p w14:paraId="4295E736" w14:textId="1C1BDF9A" w:rsidR="00E04590" w:rsidRDefault="00E04590" w:rsidP="00D520EF">
      <w:pPr>
        <w:pStyle w:val="Bullet"/>
        <w:rPr>
          <w:sz w:val="20"/>
          <w:szCs w:val="20"/>
        </w:rPr>
      </w:pPr>
      <w:r w:rsidRPr="00E04590">
        <w:rPr>
          <w:b/>
          <w:bCs/>
          <w:color w:val="1A4FAB" w:themeColor="text2"/>
          <w:sz w:val="20"/>
          <w:szCs w:val="20"/>
        </w:rPr>
        <w:t>[</w:t>
      </w:r>
      <w:r w:rsidRPr="00E04590">
        <w:rPr>
          <w:b/>
          <w:bCs/>
          <w:color w:val="1A4FAB" w:themeColor="text2"/>
          <w:sz w:val="20"/>
          <w:szCs w:val="20"/>
          <w:highlight w:val="yellow"/>
        </w:rPr>
        <w:t>Excellent/good/adequate/poor</w:t>
      </w:r>
      <w:r w:rsidRPr="00E04590">
        <w:rPr>
          <w:b/>
          <w:bCs/>
          <w:color w:val="1A4FAB" w:themeColor="text2"/>
          <w:sz w:val="20"/>
          <w:szCs w:val="20"/>
        </w:rPr>
        <w:t>]</w:t>
      </w:r>
      <w:r w:rsidR="005F60DA">
        <w:rPr>
          <w:b/>
          <w:bCs/>
          <w:color w:val="1A4FAB" w:themeColor="text2"/>
          <w:sz w:val="20"/>
          <w:szCs w:val="20"/>
        </w:rPr>
        <w:t xml:space="preserve"> </w:t>
      </w:r>
      <w:r w:rsidR="006C05EF" w:rsidRPr="00E04590">
        <w:rPr>
          <w:sz w:val="20"/>
          <w:szCs w:val="20"/>
        </w:rPr>
        <w:t xml:space="preserve">performance for </w:t>
      </w:r>
      <w:r w:rsidRPr="00E04590">
        <w:rPr>
          <w:b/>
          <w:bCs/>
          <w:color w:val="1A4FAB" w:themeColor="text2"/>
          <w:sz w:val="20"/>
          <w:szCs w:val="20"/>
        </w:rPr>
        <w:t>increased scope and scale of non-destructive testing demand and use</w:t>
      </w:r>
      <w:r w:rsidR="00340E53" w:rsidRPr="00E04590">
        <w:rPr>
          <w:sz w:val="20"/>
          <w:szCs w:val="20"/>
        </w:rPr>
        <w:t xml:space="preserve">, </w:t>
      </w:r>
      <w:r>
        <w:rPr>
          <w:sz w:val="20"/>
          <w:szCs w:val="20"/>
        </w:rPr>
        <w:t xml:space="preserve">with </w:t>
      </w:r>
      <w:r w:rsidRPr="00E04590">
        <w:rPr>
          <w:sz w:val="20"/>
          <w:szCs w:val="20"/>
          <w:highlight w:val="yellow"/>
        </w:rPr>
        <w:t>[xxxxx]</w:t>
      </w:r>
      <w:r>
        <w:rPr>
          <w:sz w:val="20"/>
          <w:szCs w:val="20"/>
        </w:rPr>
        <w:t xml:space="preserve">  </w:t>
      </w:r>
    </w:p>
    <w:p w14:paraId="29D22326" w14:textId="148E0980" w:rsidR="006C05EF" w:rsidRPr="00E04590" w:rsidRDefault="00E04590" w:rsidP="00D520EF">
      <w:pPr>
        <w:pStyle w:val="Bullet"/>
        <w:rPr>
          <w:sz w:val="20"/>
          <w:szCs w:val="20"/>
        </w:rPr>
      </w:pPr>
      <w:r w:rsidRPr="00E04590">
        <w:rPr>
          <w:b/>
          <w:bCs/>
          <w:color w:val="1A4FAB" w:themeColor="text2"/>
          <w:sz w:val="20"/>
          <w:szCs w:val="20"/>
        </w:rPr>
        <w:t>[</w:t>
      </w:r>
      <w:r w:rsidRPr="00E04590">
        <w:rPr>
          <w:b/>
          <w:bCs/>
          <w:color w:val="1A4FAB" w:themeColor="text2"/>
          <w:sz w:val="20"/>
          <w:szCs w:val="20"/>
          <w:highlight w:val="yellow"/>
        </w:rPr>
        <w:t>Excellent/good/adequate/poor</w:t>
      </w:r>
      <w:r w:rsidRPr="00E04590">
        <w:rPr>
          <w:b/>
          <w:bCs/>
          <w:color w:val="1A4FAB" w:themeColor="text2"/>
          <w:sz w:val="20"/>
          <w:szCs w:val="20"/>
        </w:rPr>
        <w:t>]</w:t>
      </w:r>
      <w:r w:rsidR="005F60DA">
        <w:rPr>
          <w:b/>
          <w:bCs/>
          <w:color w:val="1A4FAB" w:themeColor="text2"/>
          <w:sz w:val="20"/>
          <w:szCs w:val="20"/>
        </w:rPr>
        <w:t xml:space="preserve"> </w:t>
      </w:r>
      <w:r w:rsidR="006C05EF" w:rsidRPr="00E04590">
        <w:rPr>
          <w:sz w:val="20"/>
          <w:szCs w:val="20"/>
        </w:rPr>
        <w:t xml:space="preserve">performance for </w:t>
      </w:r>
      <w:r w:rsidR="005F60DA">
        <w:rPr>
          <w:b/>
          <w:bCs/>
          <w:color w:val="1A4FAB" w:themeColor="text2"/>
          <w:sz w:val="20"/>
          <w:szCs w:val="20"/>
        </w:rPr>
        <w:t>improved health and safety</w:t>
      </w:r>
      <w:r w:rsidR="00340E53" w:rsidRPr="00E04590">
        <w:rPr>
          <w:color w:val="1A4FAB" w:themeColor="text2"/>
          <w:sz w:val="20"/>
          <w:szCs w:val="20"/>
        </w:rPr>
        <w:t xml:space="preserve"> </w:t>
      </w:r>
      <w:r>
        <w:rPr>
          <w:sz w:val="20"/>
          <w:szCs w:val="20"/>
        </w:rPr>
        <w:t xml:space="preserve">with </w:t>
      </w:r>
      <w:r w:rsidRPr="00E04590">
        <w:rPr>
          <w:sz w:val="20"/>
          <w:szCs w:val="20"/>
          <w:highlight w:val="yellow"/>
        </w:rPr>
        <w:t>[xxxxx]</w:t>
      </w:r>
      <w:r>
        <w:rPr>
          <w:sz w:val="20"/>
          <w:szCs w:val="20"/>
        </w:rPr>
        <w:t xml:space="preserve">  </w:t>
      </w:r>
    </w:p>
    <w:p w14:paraId="692A9C6E" w14:textId="4E88E561" w:rsidR="00510F87" w:rsidRDefault="00E04590" w:rsidP="00510F87">
      <w:pPr>
        <w:pStyle w:val="Bullet"/>
        <w:rPr>
          <w:sz w:val="20"/>
          <w:szCs w:val="20"/>
        </w:rPr>
      </w:pPr>
      <w:r>
        <w:rPr>
          <w:b/>
          <w:bCs/>
          <w:color w:val="1A4FAB" w:themeColor="text2"/>
          <w:sz w:val="20"/>
          <w:szCs w:val="20"/>
        </w:rPr>
        <w:t>[</w:t>
      </w:r>
      <w:r w:rsidRPr="00E04590">
        <w:rPr>
          <w:b/>
          <w:bCs/>
          <w:color w:val="1A4FAB" w:themeColor="text2"/>
          <w:sz w:val="20"/>
          <w:szCs w:val="20"/>
          <w:highlight w:val="yellow"/>
        </w:rPr>
        <w:t>Excellent/good/adequate/poor</w:t>
      </w:r>
      <w:r>
        <w:rPr>
          <w:b/>
          <w:bCs/>
          <w:color w:val="1A4FAB" w:themeColor="text2"/>
          <w:sz w:val="20"/>
          <w:szCs w:val="20"/>
        </w:rPr>
        <w:t>]</w:t>
      </w:r>
      <w:r w:rsidR="005F60DA">
        <w:rPr>
          <w:b/>
          <w:bCs/>
          <w:color w:val="1A4FAB" w:themeColor="text2"/>
          <w:sz w:val="20"/>
          <w:szCs w:val="20"/>
        </w:rPr>
        <w:t xml:space="preserve"> </w:t>
      </w:r>
      <w:r w:rsidR="006C05EF">
        <w:rPr>
          <w:sz w:val="20"/>
          <w:szCs w:val="20"/>
        </w:rPr>
        <w:t xml:space="preserve">performance for </w:t>
      </w:r>
      <w:r w:rsidR="006C05EF" w:rsidRPr="00C434B9">
        <w:rPr>
          <w:b/>
          <w:bCs/>
          <w:color w:val="1A4FAB" w:themeColor="text2"/>
          <w:sz w:val="20"/>
          <w:szCs w:val="20"/>
        </w:rPr>
        <w:t>economic value</w:t>
      </w:r>
      <w:r w:rsidR="00340E53">
        <w:rPr>
          <w:sz w:val="20"/>
          <w:szCs w:val="20"/>
        </w:rPr>
        <w:t xml:space="preserve">, with </w:t>
      </w:r>
      <w:r w:rsidR="0059736D">
        <w:rPr>
          <w:sz w:val="20"/>
          <w:szCs w:val="20"/>
        </w:rPr>
        <w:t>cost-benefit</w:t>
      </w:r>
      <w:r w:rsidR="00340E53">
        <w:rPr>
          <w:sz w:val="20"/>
          <w:szCs w:val="20"/>
        </w:rPr>
        <w:t xml:space="preserve"> analysis suggesting with a </w:t>
      </w:r>
      <w:r>
        <w:rPr>
          <w:sz w:val="20"/>
          <w:szCs w:val="20"/>
        </w:rPr>
        <w:t>[</w:t>
      </w:r>
      <w:r w:rsidR="00340E53" w:rsidRPr="00E04590">
        <w:rPr>
          <w:sz w:val="20"/>
          <w:szCs w:val="20"/>
          <w:highlight w:val="yellow"/>
        </w:rPr>
        <w:t>high level of certainty</w:t>
      </w:r>
      <w:r>
        <w:rPr>
          <w:sz w:val="20"/>
          <w:szCs w:val="20"/>
        </w:rPr>
        <w:t>]</w:t>
      </w:r>
      <w:r w:rsidR="00340E53">
        <w:rPr>
          <w:sz w:val="20"/>
          <w:szCs w:val="20"/>
        </w:rPr>
        <w:t xml:space="preserve"> that the net benefits of the RCA were positive under </w:t>
      </w:r>
      <w:r>
        <w:rPr>
          <w:sz w:val="20"/>
          <w:szCs w:val="20"/>
        </w:rPr>
        <w:t>[</w:t>
      </w:r>
      <w:r w:rsidR="00340E53" w:rsidRPr="00E04590">
        <w:rPr>
          <w:sz w:val="20"/>
          <w:szCs w:val="20"/>
          <w:highlight w:val="yellow"/>
        </w:rPr>
        <w:t>almost all</w:t>
      </w:r>
      <w:r>
        <w:rPr>
          <w:sz w:val="20"/>
          <w:szCs w:val="20"/>
        </w:rPr>
        <w:t>]</w:t>
      </w:r>
      <w:r w:rsidR="00340E53">
        <w:rPr>
          <w:sz w:val="20"/>
          <w:szCs w:val="20"/>
        </w:rPr>
        <w:t xml:space="preserve"> plausible assumptions about benefits and costs. </w:t>
      </w:r>
    </w:p>
    <w:p w14:paraId="0423D828" w14:textId="0DA24AFF" w:rsidR="00820FD9" w:rsidRPr="006C05EF" w:rsidRDefault="00820FD9" w:rsidP="00AB780A">
      <w:r>
        <w:t xml:space="preserve">Overall, </w:t>
      </w:r>
      <w:r w:rsidR="00AB780A">
        <w:t xml:space="preserve">when assessed against the agreed performance framework, </w:t>
      </w:r>
      <w:r>
        <w:t>the RCA</w:t>
      </w:r>
      <w:r w:rsidR="003F77E1">
        <w:t xml:space="preserve">’s contribution to </w:t>
      </w:r>
      <w:r w:rsidR="005F60DA">
        <w:t>non-destructive testing</w:t>
      </w:r>
      <w:r w:rsidR="003F77E1">
        <w:t xml:space="preserve"> projects</w:t>
      </w:r>
      <w:r>
        <w:t xml:space="preserve"> </w:t>
      </w:r>
      <w:r w:rsidR="007765A0">
        <w:t>demonstrates</w:t>
      </w:r>
      <w:r>
        <w:t xml:space="preserve"> an </w:t>
      </w:r>
      <w:r w:rsidR="005F60DA">
        <w:rPr>
          <w:b/>
          <w:bCs/>
          <w:color w:val="1A4FAB" w:themeColor="text2"/>
          <w:szCs w:val="20"/>
        </w:rPr>
        <w:t>[</w:t>
      </w:r>
      <w:r w:rsidR="005F60DA">
        <w:rPr>
          <w:b/>
          <w:bCs/>
          <w:color w:val="1A4FAB" w:themeColor="text2"/>
          <w:szCs w:val="20"/>
          <w:highlight w:val="yellow"/>
        </w:rPr>
        <w:t>e</w:t>
      </w:r>
      <w:r w:rsidR="005F60DA" w:rsidRPr="00E04590">
        <w:rPr>
          <w:b/>
          <w:bCs/>
          <w:color w:val="1A4FAB" w:themeColor="text2"/>
          <w:szCs w:val="20"/>
          <w:highlight w:val="yellow"/>
        </w:rPr>
        <w:t>xcellent/good/adequate/poor</w:t>
      </w:r>
      <w:r w:rsidR="005F60DA">
        <w:rPr>
          <w:b/>
          <w:bCs/>
          <w:color w:val="1A4FAB" w:themeColor="text2"/>
          <w:szCs w:val="20"/>
        </w:rPr>
        <w:t xml:space="preserve">] </w:t>
      </w:r>
      <w:r>
        <w:t xml:space="preserve">level of social and economic impact. </w:t>
      </w:r>
    </w:p>
    <w:p w14:paraId="22C01F53" w14:textId="721DF76B" w:rsidR="00451A8A" w:rsidRDefault="00E24972" w:rsidP="00451A8A">
      <w:pPr>
        <w:pStyle w:val="Heading1"/>
        <w:rPr>
          <w:bCs/>
        </w:rPr>
      </w:pPr>
      <w:bookmarkStart w:id="13" w:name="_Toc81379277"/>
      <w:r>
        <w:lastRenderedPageBreak/>
        <w:t xml:space="preserve">Annex A: </w:t>
      </w:r>
      <w:r w:rsidR="00FD2CDD">
        <w:rPr>
          <w:bCs/>
        </w:rPr>
        <w:t>[</w:t>
      </w:r>
      <w:r w:rsidR="00FD2CDD" w:rsidRPr="00FD2CDD">
        <w:rPr>
          <w:bCs/>
          <w:highlight w:val="yellow"/>
        </w:rPr>
        <w:t>project and country</w:t>
      </w:r>
      <w:r w:rsidR="00FD2CDD">
        <w:rPr>
          <w:bCs/>
        </w:rPr>
        <w:t>]</w:t>
      </w:r>
      <w:r w:rsidR="00C50539">
        <w:rPr>
          <w:bCs/>
        </w:rPr>
        <w:t xml:space="preserve"> – case example</w:t>
      </w:r>
      <w:bookmarkEnd w:id="13"/>
      <w:r w:rsidR="00C50539">
        <w:rPr>
          <w:bCs/>
        </w:rPr>
        <w:t xml:space="preserve"> </w:t>
      </w:r>
    </w:p>
    <w:p w14:paraId="3F7E7431" w14:textId="503D3107" w:rsidR="00AB5930" w:rsidRPr="00AB5930" w:rsidRDefault="00FD2CDD" w:rsidP="00167F79">
      <w:pPr>
        <w:pStyle w:val="Heading3"/>
      </w:pPr>
      <w:bookmarkStart w:id="14" w:name="_Toc81379278"/>
      <w:r>
        <w:t>Marti</w:t>
      </w:r>
      <w:bookmarkEnd w:id="14"/>
      <w:r>
        <w:t xml:space="preserve"> </w:t>
      </w:r>
    </w:p>
    <w:p w14:paraId="512A3D11" w14:textId="09E3186A" w:rsidR="00113570" w:rsidRPr="00113570" w:rsidRDefault="00FD2CDD" w:rsidP="00113570">
      <w:r>
        <w:t xml:space="preserve">Marti </w:t>
      </w:r>
    </w:p>
    <w:p w14:paraId="0369B43B" w14:textId="77777777" w:rsidR="00AB5930" w:rsidRPr="00732CAE" w:rsidRDefault="00AB5930" w:rsidP="00732CAE"/>
    <w:p w14:paraId="035540CC" w14:textId="659B2B0C" w:rsidR="00AB5930" w:rsidRPr="00FD2CDD" w:rsidRDefault="00E24972" w:rsidP="00FD2CDD">
      <w:pPr>
        <w:pStyle w:val="Heading1"/>
        <w:rPr>
          <w:bCs/>
        </w:rPr>
      </w:pPr>
      <w:bookmarkStart w:id="15" w:name="_Toc81379279"/>
      <w:r>
        <w:lastRenderedPageBreak/>
        <w:t xml:space="preserve">Annex B: </w:t>
      </w:r>
      <w:r w:rsidR="00FD2CDD">
        <w:rPr>
          <w:bCs/>
        </w:rPr>
        <w:t>[</w:t>
      </w:r>
      <w:r w:rsidR="00FD2CDD" w:rsidRPr="00FD2CDD">
        <w:rPr>
          <w:bCs/>
          <w:highlight w:val="yellow"/>
        </w:rPr>
        <w:t>project and country</w:t>
      </w:r>
      <w:r w:rsidR="00FD2CDD">
        <w:rPr>
          <w:bCs/>
        </w:rPr>
        <w:t xml:space="preserve">] </w:t>
      </w:r>
      <w:r w:rsidR="00C50539">
        <w:rPr>
          <w:bCs/>
        </w:rPr>
        <w:t>– case example</w:t>
      </w:r>
      <w:bookmarkEnd w:id="15"/>
    </w:p>
    <w:p w14:paraId="3D16B4EA" w14:textId="77777777" w:rsidR="00FD2CDD" w:rsidRPr="00AB5930" w:rsidRDefault="00FD2CDD" w:rsidP="00FD2CDD">
      <w:pPr>
        <w:pStyle w:val="Heading3"/>
      </w:pPr>
      <w:bookmarkStart w:id="16" w:name="_Toc81379280"/>
      <w:r>
        <w:t>Marti</w:t>
      </w:r>
      <w:bookmarkEnd w:id="16"/>
      <w:r>
        <w:t xml:space="preserve"> </w:t>
      </w:r>
    </w:p>
    <w:p w14:paraId="2B274841" w14:textId="77777777" w:rsidR="00FD2CDD" w:rsidRPr="00113570" w:rsidRDefault="00FD2CDD" w:rsidP="00FD2CDD">
      <w:r>
        <w:t xml:space="preserve">Marti </w:t>
      </w:r>
    </w:p>
    <w:p w14:paraId="243AB891" w14:textId="77777777" w:rsidR="00AB5930" w:rsidRPr="00732CAE" w:rsidRDefault="00AB5930" w:rsidP="001442B9"/>
    <w:p w14:paraId="7BC751D6" w14:textId="77777777" w:rsidR="001442B9" w:rsidRPr="001442B9" w:rsidRDefault="001442B9" w:rsidP="001442B9"/>
    <w:p w14:paraId="289B83AB" w14:textId="77777777" w:rsidR="008A03E1" w:rsidRDefault="008A03E1" w:rsidP="008A03E1"/>
    <w:p w14:paraId="7116F396" w14:textId="59185480" w:rsidR="00E24972" w:rsidRDefault="00E24972" w:rsidP="00E24972">
      <w:pPr>
        <w:pStyle w:val="Heading1"/>
        <w:rPr>
          <w:bCs/>
        </w:rPr>
      </w:pPr>
      <w:bookmarkStart w:id="17" w:name="_Toc81379281"/>
      <w:r>
        <w:lastRenderedPageBreak/>
        <w:t xml:space="preserve">Annex C: </w:t>
      </w:r>
      <w:r w:rsidR="00FD2CDD">
        <w:rPr>
          <w:bCs/>
        </w:rPr>
        <w:t>[</w:t>
      </w:r>
      <w:r w:rsidR="00FD2CDD" w:rsidRPr="00FD2CDD">
        <w:rPr>
          <w:bCs/>
          <w:highlight w:val="yellow"/>
        </w:rPr>
        <w:t>project and country</w:t>
      </w:r>
      <w:r w:rsidR="00FD2CDD">
        <w:rPr>
          <w:bCs/>
        </w:rPr>
        <w:t xml:space="preserve">] </w:t>
      </w:r>
      <w:r w:rsidR="00460C43">
        <w:rPr>
          <w:bCs/>
        </w:rPr>
        <w:t>– case example</w:t>
      </w:r>
      <w:bookmarkEnd w:id="17"/>
    </w:p>
    <w:p w14:paraId="6A2ABBFE" w14:textId="5DDBF75A" w:rsidR="00FD2CDD" w:rsidRDefault="00FD2CDD" w:rsidP="00FD2CDD">
      <w:pPr>
        <w:pStyle w:val="Heading3"/>
      </w:pPr>
      <w:bookmarkStart w:id="18" w:name="_Toc81379282"/>
      <w:r>
        <w:t>Marti</w:t>
      </w:r>
      <w:bookmarkEnd w:id="18"/>
      <w:r>
        <w:t xml:space="preserve"> </w:t>
      </w:r>
    </w:p>
    <w:p w14:paraId="5AAD28C3" w14:textId="7846BE81" w:rsidR="001448E1" w:rsidRPr="001448E1" w:rsidRDefault="001448E1" w:rsidP="001448E1">
      <w:r>
        <w:t xml:space="preserve">Marti </w:t>
      </w:r>
    </w:p>
    <w:p w14:paraId="3E736DF5" w14:textId="77777777" w:rsidR="000E2227" w:rsidRPr="000E2227" w:rsidRDefault="000E2227" w:rsidP="000E2227"/>
    <w:p w14:paraId="6D4E177C" w14:textId="77777777" w:rsidR="00AB5930" w:rsidRPr="00732CAE" w:rsidRDefault="00AB5930" w:rsidP="001442B9"/>
    <w:p w14:paraId="67E7D4D3" w14:textId="77777777" w:rsidR="001442B9" w:rsidRPr="001442B9" w:rsidRDefault="001442B9" w:rsidP="001442B9"/>
    <w:p w14:paraId="43DC8855" w14:textId="77777777" w:rsidR="008A03E1" w:rsidRDefault="008A03E1" w:rsidP="008A03E1"/>
    <w:p w14:paraId="7E66EB02" w14:textId="510FC8FA" w:rsidR="00E24972" w:rsidRDefault="00E24972" w:rsidP="00E24972">
      <w:pPr>
        <w:pStyle w:val="Heading1"/>
        <w:rPr>
          <w:bCs/>
        </w:rPr>
      </w:pPr>
      <w:bookmarkStart w:id="19" w:name="_Toc81379283"/>
      <w:r>
        <w:lastRenderedPageBreak/>
        <w:t xml:space="preserve">Annex D: </w:t>
      </w:r>
      <w:r w:rsidR="00FD2CDD">
        <w:rPr>
          <w:bCs/>
        </w:rPr>
        <w:t>[</w:t>
      </w:r>
      <w:r w:rsidR="00FD2CDD" w:rsidRPr="00FD2CDD">
        <w:rPr>
          <w:bCs/>
          <w:highlight w:val="yellow"/>
        </w:rPr>
        <w:t>project and country</w:t>
      </w:r>
      <w:r w:rsidR="00FD2CDD">
        <w:rPr>
          <w:bCs/>
        </w:rPr>
        <w:t xml:space="preserve">] </w:t>
      </w:r>
      <w:r w:rsidR="00460C43">
        <w:rPr>
          <w:bCs/>
        </w:rPr>
        <w:t>– case example</w:t>
      </w:r>
      <w:bookmarkEnd w:id="19"/>
    </w:p>
    <w:p w14:paraId="7BFE5021" w14:textId="77777777" w:rsidR="00FD2CDD" w:rsidRPr="00AB5930" w:rsidRDefault="00FD2CDD" w:rsidP="00FD2CDD">
      <w:pPr>
        <w:pStyle w:val="Heading3"/>
      </w:pPr>
      <w:bookmarkStart w:id="20" w:name="_Toc81379284"/>
      <w:r>
        <w:t>Marti</w:t>
      </w:r>
      <w:bookmarkEnd w:id="20"/>
      <w:r>
        <w:t xml:space="preserve"> </w:t>
      </w:r>
    </w:p>
    <w:p w14:paraId="6654FDD8" w14:textId="77777777" w:rsidR="00FD2CDD" w:rsidRPr="00113570" w:rsidRDefault="00FD2CDD" w:rsidP="00FD2CDD">
      <w:r>
        <w:t xml:space="preserve">Marti </w:t>
      </w:r>
    </w:p>
    <w:p w14:paraId="2AB74CBB" w14:textId="77777777" w:rsidR="008A03E1" w:rsidRDefault="008A03E1" w:rsidP="008A03E1">
      <w:pPr>
        <w:pStyle w:val="Heading1"/>
      </w:pPr>
      <w:bookmarkStart w:id="21" w:name="_Toc81379285"/>
      <w:r>
        <w:lastRenderedPageBreak/>
        <w:t>Annex</w:t>
      </w:r>
      <w:r w:rsidR="00E24972">
        <w:t xml:space="preserve"> E</w:t>
      </w:r>
      <w:r>
        <w:t>: Survey Analysis</w:t>
      </w:r>
      <w:bookmarkEnd w:id="21"/>
    </w:p>
    <w:p w14:paraId="70D74683" w14:textId="27F43A4D" w:rsidR="00F77F53" w:rsidRPr="00F77F53" w:rsidRDefault="00096F81" w:rsidP="0070521B">
      <w:pPr>
        <w:pStyle w:val="Heading2"/>
        <w:rPr>
          <w:lang w:val="en-US"/>
        </w:rPr>
      </w:pPr>
      <w:bookmarkStart w:id="22" w:name="_Toc81379286"/>
      <w:r>
        <w:rPr>
          <w:lang w:val="en-US"/>
        </w:rPr>
        <w:t>Andres</w:t>
      </w:r>
      <w:bookmarkEnd w:id="22"/>
      <w:r>
        <w:rPr>
          <w:lang w:val="en-US"/>
        </w:rPr>
        <w:t xml:space="preserve"> </w:t>
      </w:r>
    </w:p>
    <w:p w14:paraId="0F213630" w14:textId="55A3C94F" w:rsidR="00F77F53" w:rsidRPr="00F77F53" w:rsidRDefault="00096F81" w:rsidP="00F77F53">
      <w:pPr>
        <w:rPr>
          <w:lang w:val="en-US"/>
        </w:rPr>
      </w:pPr>
      <w:r>
        <w:rPr>
          <w:lang w:val="en-US"/>
        </w:rPr>
        <w:t xml:space="preserve">Andres </w:t>
      </w:r>
    </w:p>
    <w:p w14:paraId="1AA2D26C" w14:textId="77777777" w:rsidR="008A03E1" w:rsidRDefault="008A03E1" w:rsidP="008A03E1">
      <w:pPr>
        <w:pStyle w:val="Heading1"/>
      </w:pPr>
      <w:bookmarkStart w:id="23" w:name="_Toc81379287"/>
      <w:r>
        <w:lastRenderedPageBreak/>
        <w:t>Annex</w:t>
      </w:r>
      <w:r w:rsidR="00E24972">
        <w:t xml:space="preserve"> F</w:t>
      </w:r>
      <w:r>
        <w:t>: Economic Analysis</w:t>
      </w:r>
      <w:bookmarkEnd w:id="23"/>
    </w:p>
    <w:p w14:paraId="381650AF" w14:textId="7CB0E0E8" w:rsidR="00A36B5D" w:rsidRPr="00A36B5D" w:rsidRDefault="00096F81" w:rsidP="00A36B5D">
      <w:pPr>
        <w:pStyle w:val="Heading2"/>
      </w:pPr>
      <w:bookmarkStart w:id="24" w:name="_Toc81379288"/>
      <w:r>
        <w:t>Aaron</w:t>
      </w:r>
      <w:bookmarkEnd w:id="24"/>
      <w:r>
        <w:t xml:space="preserve"> </w:t>
      </w:r>
    </w:p>
    <w:p w14:paraId="663E14C4" w14:textId="2167261B" w:rsidR="00A36B5D" w:rsidRPr="00A36B5D" w:rsidRDefault="00096F81" w:rsidP="00A36B5D">
      <w:pPr>
        <w:rPr>
          <w:lang w:val="en-AU"/>
        </w:rPr>
      </w:pPr>
      <w:r>
        <w:rPr>
          <w:lang w:val="en-AU"/>
        </w:rPr>
        <w:t xml:space="preserve">Aaron </w:t>
      </w:r>
    </w:p>
    <w:p w14:paraId="70B02E76" w14:textId="77777777" w:rsidR="00B62609" w:rsidRPr="00732CAE" w:rsidRDefault="00B62609" w:rsidP="00732CAE"/>
    <w:p w14:paraId="0FCD3D59" w14:textId="77777777" w:rsidR="008A03E1" w:rsidRDefault="008A03E1" w:rsidP="008A03E1">
      <w:pPr>
        <w:pStyle w:val="Heading1"/>
      </w:pPr>
      <w:bookmarkStart w:id="25" w:name="_Toc81379289"/>
      <w:r>
        <w:lastRenderedPageBreak/>
        <w:t>Annex</w:t>
      </w:r>
      <w:r w:rsidR="00E24972">
        <w:t xml:space="preserve"> G</w:t>
      </w:r>
      <w:r>
        <w:t>: Methodology</w:t>
      </w:r>
      <w:bookmarkEnd w:id="25"/>
    </w:p>
    <w:p w14:paraId="4FB729D1" w14:textId="16F9C085" w:rsidR="0036568B" w:rsidRDefault="0090225F" w:rsidP="0036568B">
      <w:r>
        <w:t>The</w:t>
      </w:r>
      <w:r w:rsidR="004B6C78">
        <w:t xml:space="preserve"> social and economic impact assessment methodology was developed</w:t>
      </w:r>
      <w:r w:rsidR="002D63C2">
        <w:t xml:space="preserve"> specifically</w:t>
      </w:r>
      <w:r w:rsidR="004B6C78">
        <w:t xml:space="preserve"> for IAEA</w:t>
      </w:r>
      <w:r w:rsidR="00DD6D10">
        <w:t xml:space="preserve">, for case studies of Technical Cooperation (TC) projects under the Regional Cooperative Agreement (RCA) </w:t>
      </w:r>
      <w:r w:rsidR="00781DE4">
        <w:t>for Research, Development and Training Related to Nuclear Science and Technology for Asia and the Pacific</w:t>
      </w:r>
      <w:r w:rsidR="00DD6D10">
        <w:t xml:space="preserve">. </w:t>
      </w:r>
      <w:r w:rsidR="006260EF">
        <w:t xml:space="preserve">The methodology </w:t>
      </w:r>
      <w:r w:rsidR="005B6BEA">
        <w:t xml:space="preserve">follows the </w:t>
      </w:r>
      <w:r w:rsidR="005B6BEA">
        <w:rPr>
          <w:i/>
          <w:iCs/>
        </w:rPr>
        <w:t xml:space="preserve">Value for Investment </w:t>
      </w:r>
      <w:r w:rsidR="005B6BEA">
        <w:t>approach developed by</w:t>
      </w:r>
      <w:r w:rsidR="006260EF">
        <w:t xml:space="preserve"> Dr Julian King (King, 2017; King, 2019; King &amp; OPM, 2018) and the Kinnect Group </w:t>
      </w:r>
      <w:r w:rsidR="00152B78">
        <w:t>approach to</w:t>
      </w:r>
      <w:r w:rsidR="00D25447">
        <w:t xml:space="preserve"> evaluation rubrics </w:t>
      </w:r>
      <w:r w:rsidR="006260EF">
        <w:t xml:space="preserve">(King et al., 2013; McKegg et al., 2018). </w:t>
      </w:r>
    </w:p>
    <w:p w14:paraId="40CC1064" w14:textId="77777777" w:rsidR="0036568B" w:rsidRPr="0036568B" w:rsidRDefault="00D33365" w:rsidP="00714F6D">
      <w:pPr>
        <w:pStyle w:val="Heading3"/>
      </w:pPr>
      <w:bookmarkStart w:id="26" w:name="_Toc47007994"/>
      <w:bookmarkStart w:id="27" w:name="_Toc47527084"/>
      <w:bookmarkStart w:id="28" w:name="_Toc48746201"/>
      <w:bookmarkStart w:id="29" w:name="_Toc81379290"/>
      <w:r>
        <w:t>Evaluating impact in complex environments</w:t>
      </w:r>
      <w:bookmarkEnd w:id="26"/>
      <w:bookmarkEnd w:id="27"/>
      <w:bookmarkEnd w:id="28"/>
      <w:bookmarkEnd w:id="29"/>
      <w:r>
        <w:t xml:space="preserve"> </w:t>
      </w:r>
    </w:p>
    <w:p w14:paraId="6F9DA185" w14:textId="77777777" w:rsidR="008E288B" w:rsidRDefault="00E6529C" w:rsidP="00070BB2">
      <w:r>
        <w:t xml:space="preserve">From the outset it was acknowledged that these case studies would be challenging to conduct. </w:t>
      </w:r>
      <w:r w:rsidR="008E288B">
        <w:t>The RCA is a complex environment for evaluation. There are diverse countries and stakeholder groups, long-term investments of decades</w:t>
      </w:r>
      <w:r w:rsidR="00A46F7A">
        <w:t>,</w:t>
      </w:r>
      <w:r w:rsidR="008E288B">
        <w:t xml:space="preserve"> with contexts that are continuing to evolve, and multiple outcomes sought across a range of thematic areas. </w:t>
      </w:r>
      <w:r w:rsidR="00F1562A">
        <w:t>Impact evidence</w:t>
      </w:r>
      <w:r w:rsidR="008E288B">
        <w:t xml:space="preserve"> has not been routinely collected; </w:t>
      </w:r>
      <w:r w:rsidR="007B46B3">
        <w:t xml:space="preserve">TC </w:t>
      </w:r>
      <w:r w:rsidR="00E342CA">
        <w:t xml:space="preserve">outcome </w:t>
      </w:r>
      <w:r w:rsidR="007B46B3">
        <w:t>monitoring</w:t>
      </w:r>
      <w:r w:rsidR="00393016">
        <w:t xml:space="preserve"> systems have generally focused on immediate outcomes and have not included </w:t>
      </w:r>
      <w:r w:rsidR="00E342CA">
        <w:t xml:space="preserve">longer-term </w:t>
      </w:r>
      <w:r w:rsidR="00393016">
        <w:t xml:space="preserve">social and economic impacts. </w:t>
      </w:r>
    </w:p>
    <w:p w14:paraId="0D4A5951" w14:textId="77777777" w:rsidR="00E6529C" w:rsidRDefault="00E6529C" w:rsidP="00070BB2">
      <w:r>
        <w:t xml:space="preserve">A methodology was needed that could: </w:t>
      </w:r>
    </w:p>
    <w:p w14:paraId="78511E69" w14:textId="77777777" w:rsidR="00E6529C" w:rsidRDefault="00E6529C" w:rsidP="00E6529C">
      <w:pPr>
        <w:pStyle w:val="Bullet"/>
        <w:rPr>
          <w:sz w:val="20"/>
          <w:szCs w:val="20"/>
        </w:rPr>
      </w:pPr>
      <w:r>
        <w:rPr>
          <w:sz w:val="20"/>
          <w:szCs w:val="20"/>
        </w:rPr>
        <w:t>Evaluate impacts retrospectively, looking back many years</w:t>
      </w:r>
      <w:r w:rsidR="00393016">
        <w:rPr>
          <w:sz w:val="20"/>
          <w:szCs w:val="20"/>
        </w:rPr>
        <w:t xml:space="preserve"> </w:t>
      </w:r>
    </w:p>
    <w:p w14:paraId="5B08A5DE" w14:textId="77777777" w:rsidR="00393016" w:rsidRDefault="00393016" w:rsidP="00E6529C">
      <w:pPr>
        <w:pStyle w:val="Bullet"/>
        <w:rPr>
          <w:sz w:val="20"/>
          <w:szCs w:val="20"/>
        </w:rPr>
      </w:pPr>
      <w:r>
        <w:rPr>
          <w:sz w:val="20"/>
          <w:szCs w:val="20"/>
        </w:rPr>
        <w:t>Evaluate long-term effects</w:t>
      </w:r>
      <w:r w:rsidR="002B6F26">
        <w:rPr>
          <w:sz w:val="20"/>
          <w:szCs w:val="20"/>
        </w:rPr>
        <w:t xml:space="preserve">, because there is often a long lag between project completion and the realisation of social and economic impacts </w:t>
      </w:r>
    </w:p>
    <w:p w14:paraId="75D01C13" w14:textId="77777777" w:rsidR="002B6F26" w:rsidRDefault="002B6F26" w:rsidP="00E6529C">
      <w:pPr>
        <w:pStyle w:val="Bullet"/>
        <w:rPr>
          <w:sz w:val="20"/>
          <w:szCs w:val="20"/>
        </w:rPr>
      </w:pPr>
      <w:r>
        <w:rPr>
          <w:sz w:val="20"/>
          <w:szCs w:val="20"/>
        </w:rPr>
        <w:t xml:space="preserve">Capture unexpected outcomes, instead of just looking for the expected outcomes, because these can be as impactful as the project’s originally stated target outcomes </w:t>
      </w:r>
    </w:p>
    <w:p w14:paraId="4BD1EA5B" w14:textId="77777777" w:rsidR="002B6F26" w:rsidRDefault="002B6F26" w:rsidP="00E6529C">
      <w:pPr>
        <w:pStyle w:val="Bullet"/>
        <w:rPr>
          <w:sz w:val="20"/>
          <w:szCs w:val="20"/>
        </w:rPr>
      </w:pPr>
      <w:r>
        <w:rPr>
          <w:sz w:val="20"/>
          <w:szCs w:val="20"/>
        </w:rPr>
        <w:t xml:space="preserve">Measure the intangible value of the RCA’s contributions, such as networking, in addition to outcomes that are more amenable to numeric and/or monetary metrics </w:t>
      </w:r>
    </w:p>
    <w:p w14:paraId="4F187CCD" w14:textId="77777777" w:rsidR="00E6529C" w:rsidRPr="002455CC" w:rsidRDefault="002B6F26" w:rsidP="00070BB2">
      <w:pPr>
        <w:pStyle w:val="Bullet"/>
        <w:rPr>
          <w:sz w:val="20"/>
          <w:szCs w:val="20"/>
        </w:rPr>
      </w:pPr>
      <w:r>
        <w:rPr>
          <w:sz w:val="20"/>
          <w:szCs w:val="20"/>
        </w:rPr>
        <w:t xml:space="preserve">Deal with the complexity of attribution (or at least contribution), recognising that one outcome can arise from many contributions (of which the RCA project may be only one) and conversely one project may contribute to many different outcomes or impacts. </w:t>
      </w:r>
    </w:p>
    <w:p w14:paraId="797892D8" w14:textId="77777777" w:rsidR="00D17E47" w:rsidRDefault="00714F6D" w:rsidP="00714F6D">
      <w:pPr>
        <w:pStyle w:val="Heading3"/>
      </w:pPr>
      <w:bookmarkStart w:id="30" w:name="_Toc47007995"/>
      <w:bookmarkStart w:id="31" w:name="_Toc47527085"/>
      <w:bookmarkStart w:id="32" w:name="_Toc48746202"/>
      <w:bookmarkStart w:id="33" w:name="_Toc81379291"/>
      <w:r>
        <w:t>Developing</w:t>
      </w:r>
      <w:r w:rsidR="008D6FAA">
        <w:t xml:space="preserve"> the methodology</w:t>
      </w:r>
      <w:bookmarkEnd w:id="30"/>
      <w:bookmarkEnd w:id="31"/>
      <w:bookmarkEnd w:id="32"/>
      <w:bookmarkEnd w:id="33"/>
      <w:r w:rsidR="008D6FAA">
        <w:t xml:space="preserve"> </w:t>
      </w:r>
    </w:p>
    <w:p w14:paraId="21A66886" w14:textId="77777777" w:rsidR="0033152B" w:rsidRDefault="005E2CA3" w:rsidP="0033152B">
      <w:r>
        <w:t xml:space="preserve">A meeting was held in Vienna, Austria from 1-4 July 2019 to establish a methodology and work plan for performing the case studies. The meeting had eight participants including representatives from TCAP, TCPC, and </w:t>
      </w:r>
      <w:r w:rsidR="008864CB">
        <w:t>invited</w:t>
      </w:r>
      <w:r>
        <w:t xml:space="preserve"> experts from China and New Zealand. Invited experts </w:t>
      </w:r>
      <w:r w:rsidR="00070BB2">
        <w:t xml:space="preserve">Dr Julian King and Kate McKegg summarised and compared approaches and tools for social and economic impact assessment. </w:t>
      </w:r>
      <w:r w:rsidR="0033152B">
        <w:t xml:space="preserve">A methodology was proposed – </w:t>
      </w:r>
      <w:r w:rsidR="0033152B">
        <w:rPr>
          <w:i/>
          <w:iCs/>
        </w:rPr>
        <w:t>Value for Investment</w:t>
      </w:r>
      <w:r w:rsidR="0033152B">
        <w:t xml:space="preserve"> – that combines strengths from the disciplines of economics and evaluation. </w:t>
      </w:r>
    </w:p>
    <w:p w14:paraId="0804A07E" w14:textId="0594882F" w:rsidR="0033152B" w:rsidRDefault="0033152B" w:rsidP="0033152B">
      <w:r>
        <w:t xml:space="preserve">Evaluation is the systematic determination of the merit, worth or significance of something. Evaluation of social and economic impacts requires not only </w:t>
      </w:r>
      <w:r w:rsidRPr="0033152B">
        <w:rPr>
          <w:i/>
          <w:iCs/>
        </w:rPr>
        <w:t>evidence</w:t>
      </w:r>
      <w:r>
        <w:t xml:space="preserve"> of those impacts, but also </w:t>
      </w:r>
      <w:r w:rsidRPr="0033152B">
        <w:rPr>
          <w:i/>
          <w:iCs/>
        </w:rPr>
        <w:t>valuing</w:t>
      </w:r>
      <w:r>
        <w:t xml:space="preserve"> – interpreting the evidence through the lens of what matters to people (King, 2019). Economics and evaluation bring different approaches to valuing. For example, cost-benefit analysis uses money as the metric for understanding value</w:t>
      </w:r>
      <w:r w:rsidR="00434706">
        <w:t xml:space="preserve"> (Drummond et al., 2005)</w:t>
      </w:r>
      <w:r>
        <w:t xml:space="preserve">, while other approaches </w:t>
      </w:r>
      <w:r w:rsidR="00993AC4">
        <w:t>include</w:t>
      </w:r>
      <w:r w:rsidR="00040094">
        <w:t xml:space="preserve"> </w:t>
      </w:r>
      <w:r w:rsidR="00602CCB">
        <w:t>numerical</w:t>
      </w:r>
      <w:r w:rsidR="00040094">
        <w:t xml:space="preserve"> </w:t>
      </w:r>
      <w:r w:rsidR="00602CCB">
        <w:t>or</w:t>
      </w:r>
      <w:r w:rsidR="00040094">
        <w:t xml:space="preserve"> qualitative </w:t>
      </w:r>
      <w:r w:rsidR="000E5B32">
        <w:t>synthesis</w:t>
      </w:r>
      <w:r w:rsidR="002B51C5">
        <w:t xml:space="preserve"> (Davidson, 2005)</w:t>
      </w:r>
      <w:r w:rsidR="000E5B32">
        <w:t>,</w:t>
      </w:r>
      <w:r w:rsidR="00040094">
        <w:t xml:space="preserve"> </w:t>
      </w:r>
      <w:r w:rsidR="00A90A61">
        <w:t>or</w:t>
      </w:r>
      <w:r w:rsidR="00B12A4E">
        <w:t xml:space="preserve"> </w:t>
      </w:r>
      <w:r w:rsidR="00040094">
        <w:t xml:space="preserve">citizen deliberation </w:t>
      </w:r>
      <w:r>
        <w:t xml:space="preserve">(Schwandt, 2015). </w:t>
      </w:r>
    </w:p>
    <w:p w14:paraId="348DC403" w14:textId="77777777" w:rsidR="00F75FA8" w:rsidRDefault="00F807FB" w:rsidP="00070BB2">
      <w:r>
        <w:t>The Value for Investment approach combines approaches to valuing</w:t>
      </w:r>
      <w:r w:rsidR="007C709E">
        <w:t xml:space="preserve"> from evaluation and economics. It accommodates </w:t>
      </w:r>
      <w:r>
        <w:t xml:space="preserve">multiple values (e.g., social, cultural, environmental and economic) and multiple sources of evidence (qualitative and quantitative) to enable robust and transparent ratings of the RCA’s impacts. </w:t>
      </w:r>
      <w:r w:rsidR="00382154">
        <w:t xml:space="preserve">The approach </w:t>
      </w:r>
      <w:r w:rsidR="001B0631">
        <w:t>involves</w:t>
      </w:r>
      <w:r w:rsidR="00382154">
        <w:t xml:space="preserve"> eight steps: </w:t>
      </w:r>
    </w:p>
    <w:p w14:paraId="3DA57072" w14:textId="77777777" w:rsidR="00382154" w:rsidRDefault="00AC799B" w:rsidP="00382154">
      <w:pPr>
        <w:pStyle w:val="List"/>
        <w:rPr>
          <w:sz w:val="20"/>
          <w:szCs w:val="20"/>
        </w:rPr>
      </w:pPr>
      <w:r>
        <w:rPr>
          <w:sz w:val="20"/>
          <w:szCs w:val="20"/>
        </w:rPr>
        <w:t xml:space="preserve">Understand the programme or project, including its context, stakeholders and theory of change. </w:t>
      </w:r>
    </w:p>
    <w:p w14:paraId="0ED79896" w14:textId="77777777" w:rsidR="00AC799B" w:rsidRDefault="00AC799B" w:rsidP="00382154">
      <w:pPr>
        <w:pStyle w:val="List"/>
        <w:rPr>
          <w:sz w:val="20"/>
          <w:szCs w:val="20"/>
        </w:rPr>
      </w:pPr>
      <w:r>
        <w:rPr>
          <w:sz w:val="20"/>
          <w:szCs w:val="20"/>
        </w:rPr>
        <w:lastRenderedPageBreak/>
        <w:t xml:space="preserve">Develop performance criteria – the aspects of social and economic impacts that will be the focus of the evaluation – e.g., increased food production, reduced use of agricultural inputs, etc. </w:t>
      </w:r>
    </w:p>
    <w:p w14:paraId="00057DCD" w14:textId="77777777" w:rsidR="00AC799B" w:rsidRDefault="00AC799B" w:rsidP="00382154">
      <w:pPr>
        <w:pStyle w:val="List"/>
        <w:rPr>
          <w:sz w:val="20"/>
          <w:szCs w:val="20"/>
        </w:rPr>
      </w:pPr>
      <w:r>
        <w:rPr>
          <w:sz w:val="20"/>
          <w:szCs w:val="20"/>
        </w:rPr>
        <w:t xml:space="preserve">Develop performance standards for each criterion – narratives that describe levels of performance such as ‘excellent’, ‘good’, ‘adequate’ and ‘inadequate’. </w:t>
      </w:r>
    </w:p>
    <w:p w14:paraId="6DB7C3A3" w14:textId="77777777" w:rsidR="00AC799B" w:rsidRDefault="00AC799B" w:rsidP="00382154">
      <w:pPr>
        <w:pStyle w:val="List"/>
        <w:rPr>
          <w:sz w:val="20"/>
          <w:szCs w:val="20"/>
        </w:rPr>
      </w:pPr>
      <w:r>
        <w:rPr>
          <w:sz w:val="20"/>
          <w:szCs w:val="20"/>
        </w:rPr>
        <w:t xml:space="preserve">From the criteria and standards, select and identify the evidence needed and the methods that should be used to gather the evidence – e.g., surveys, case examples, administrative data, etc. </w:t>
      </w:r>
    </w:p>
    <w:p w14:paraId="3DD93DD3" w14:textId="77777777" w:rsidR="00AC799B" w:rsidRDefault="00B93E0E" w:rsidP="00382154">
      <w:pPr>
        <w:pStyle w:val="List"/>
        <w:rPr>
          <w:sz w:val="20"/>
          <w:szCs w:val="20"/>
        </w:rPr>
      </w:pPr>
      <w:r>
        <w:rPr>
          <w:sz w:val="20"/>
          <w:szCs w:val="20"/>
        </w:rPr>
        <w:t xml:space="preserve">Gather evidence. Note that the evidence needed and means of gathering it need to be tailored to the circumstances of the project. </w:t>
      </w:r>
    </w:p>
    <w:p w14:paraId="5225A7C9" w14:textId="77777777" w:rsidR="00B93E0E" w:rsidRDefault="00B93E0E" w:rsidP="00382154">
      <w:pPr>
        <w:pStyle w:val="List"/>
        <w:rPr>
          <w:sz w:val="20"/>
          <w:szCs w:val="20"/>
        </w:rPr>
      </w:pPr>
      <w:r>
        <w:rPr>
          <w:sz w:val="20"/>
          <w:szCs w:val="20"/>
        </w:rPr>
        <w:t>Analyse the evidence. At this stage, each evidence source is analysed separately, using methods suited to each source</w:t>
      </w:r>
      <w:r w:rsidR="00533A78">
        <w:rPr>
          <w:sz w:val="20"/>
          <w:szCs w:val="20"/>
        </w:rPr>
        <w:t xml:space="preserve"> – e.g., quantitative analysis of survey data, qualitative analysis of case examples, economic analysis of costs and benefits. </w:t>
      </w:r>
    </w:p>
    <w:p w14:paraId="09A2A596" w14:textId="77777777" w:rsidR="000E42B9" w:rsidRDefault="000E42B9" w:rsidP="00382154">
      <w:pPr>
        <w:pStyle w:val="List"/>
        <w:rPr>
          <w:sz w:val="20"/>
          <w:szCs w:val="20"/>
        </w:rPr>
      </w:pPr>
      <w:r>
        <w:rPr>
          <w:sz w:val="20"/>
          <w:szCs w:val="20"/>
        </w:rPr>
        <w:t xml:space="preserve">Synthesise the evidence. At this stage, the streams of analysis are brought together to make evaluative judgements – ratings of performance according to the agreed criteria and standards. </w:t>
      </w:r>
    </w:p>
    <w:p w14:paraId="3FB71D9F" w14:textId="77777777" w:rsidR="000E42B9" w:rsidRPr="00382154" w:rsidRDefault="000E42B9" w:rsidP="00382154">
      <w:pPr>
        <w:pStyle w:val="List"/>
        <w:rPr>
          <w:sz w:val="20"/>
          <w:szCs w:val="20"/>
        </w:rPr>
      </w:pPr>
      <w:r>
        <w:rPr>
          <w:sz w:val="20"/>
          <w:szCs w:val="20"/>
        </w:rPr>
        <w:t xml:space="preserve">Reporting, based on the criteria agreed in advance. </w:t>
      </w:r>
    </w:p>
    <w:p w14:paraId="6EF82417" w14:textId="77777777" w:rsidR="00070BB2" w:rsidRDefault="00382154" w:rsidP="00070BB2">
      <w:r>
        <w:t xml:space="preserve">Following </w:t>
      </w:r>
      <w:r w:rsidR="001B0631">
        <w:t>this sequence of</w:t>
      </w:r>
      <w:r>
        <w:t xml:space="preserve"> steps helps ensure the evaluation is aligned with the RCA context, gathers and analyses the right evidence, interprets the evidence on an agreed basis, and provides clear conclusions about the RCA’s social and economic impact. </w:t>
      </w:r>
      <w:r w:rsidR="00AC799B">
        <w:t>Involving</w:t>
      </w:r>
      <w:r>
        <w:t xml:space="preserve"> stakeholders in the design of the evaluation </w:t>
      </w:r>
      <w:r w:rsidR="00CE3ACD">
        <w:t xml:space="preserve">and the interpretation of findings </w:t>
      </w:r>
      <w:r>
        <w:t>supports understanding, ownership, validity and use</w:t>
      </w:r>
      <w:r w:rsidR="00CE3ACD">
        <w:t xml:space="preserve"> </w:t>
      </w:r>
      <w:r>
        <w:t xml:space="preserve">(King, 2019). </w:t>
      </w:r>
    </w:p>
    <w:p w14:paraId="7E4CF1AD" w14:textId="6D31CB48" w:rsidR="002B5ECD" w:rsidRDefault="002B5ECD" w:rsidP="00070BB2">
      <w:r>
        <w:t xml:space="preserve">The methodology was piloted in a case study of mutation breeding projects under the RCA (King, McKegg, Arau, Schiff, &amp; Garcia Aisa, 2020) before being deployed in subsequent case studies. </w:t>
      </w:r>
    </w:p>
    <w:p w14:paraId="0FFCF2DF" w14:textId="09EA5115" w:rsidR="004A319E" w:rsidRPr="008D6FAA" w:rsidRDefault="000F47AF" w:rsidP="00714F6D">
      <w:pPr>
        <w:pStyle w:val="Heading3"/>
      </w:pPr>
      <w:bookmarkStart w:id="34" w:name="_Toc47007996"/>
      <w:bookmarkStart w:id="35" w:name="_Toc47527086"/>
      <w:bookmarkStart w:id="36" w:name="_Toc48746203"/>
      <w:bookmarkStart w:id="37" w:name="_Toc81379292"/>
      <w:r>
        <w:t>Applying</w:t>
      </w:r>
      <w:r w:rsidR="004A319E">
        <w:t xml:space="preserve"> the methodology</w:t>
      </w:r>
      <w:bookmarkEnd w:id="34"/>
      <w:bookmarkEnd w:id="35"/>
      <w:bookmarkEnd w:id="36"/>
      <w:bookmarkEnd w:id="37"/>
      <w:r w:rsidR="004A319E">
        <w:t xml:space="preserve"> </w:t>
      </w:r>
    </w:p>
    <w:p w14:paraId="4A3BDCDF" w14:textId="77777777" w:rsidR="004A319E" w:rsidRDefault="00DC2B32" w:rsidP="00714F6D">
      <w:pPr>
        <w:pStyle w:val="Heading4"/>
      </w:pPr>
      <w:r>
        <w:t xml:space="preserve">Theory of change </w:t>
      </w:r>
    </w:p>
    <w:p w14:paraId="75954441" w14:textId="77777777" w:rsidR="00115089" w:rsidRDefault="00B422B8" w:rsidP="00B422B8">
      <w:pPr>
        <w:rPr>
          <w:lang w:val="en-NZ"/>
        </w:rPr>
      </w:pPr>
      <w:r>
        <w:rPr>
          <w:lang w:val="en-NZ"/>
        </w:rPr>
        <w:t xml:space="preserve">A theory of change is a depiction of the programme to be evaluated, including </w:t>
      </w:r>
      <w:r w:rsidR="000C3A0E">
        <w:rPr>
          <w:lang w:val="en-NZ"/>
        </w:rPr>
        <w:t>the</w:t>
      </w:r>
      <w:r w:rsidRPr="00B422B8">
        <w:rPr>
          <w:lang w:val="en-NZ"/>
        </w:rPr>
        <w:t xml:space="preserve"> needs </w:t>
      </w:r>
      <w:r>
        <w:rPr>
          <w:lang w:val="en-NZ"/>
        </w:rPr>
        <w:t>it</w:t>
      </w:r>
      <w:r w:rsidRPr="00B422B8">
        <w:rPr>
          <w:lang w:val="en-NZ"/>
        </w:rPr>
        <w:t xml:space="preserve"> is intended to meet and how it is intended to function (King, 2019). A theory of change “explains how activities are understood to produce a series of results that contribute to achieving the final intended impacts” (Rogers, 2014, p. 1). </w:t>
      </w:r>
    </w:p>
    <w:p w14:paraId="7A686B5E" w14:textId="111E7442" w:rsidR="00EA5F66" w:rsidRPr="00B72300" w:rsidRDefault="00823D90" w:rsidP="00B72300">
      <w:r>
        <w:t>The</w:t>
      </w:r>
      <w:r w:rsidR="00B422B8">
        <w:t xml:space="preserve"> theory of change for the </w:t>
      </w:r>
      <w:r w:rsidR="000F47AF">
        <w:t>non-destructive testing</w:t>
      </w:r>
      <w:r w:rsidR="00B422B8">
        <w:t xml:space="preserve"> programme </w:t>
      </w:r>
      <w:r w:rsidR="003E484E">
        <w:t>(</w:t>
      </w:r>
      <w:r w:rsidR="003E484E" w:rsidRPr="0093197B">
        <w:rPr>
          <w:highlight w:val="yellow"/>
        </w:rPr>
        <w:t xml:space="preserve">Figure </w:t>
      </w:r>
      <w:r w:rsidR="0093197B" w:rsidRPr="0093197B">
        <w:rPr>
          <w:highlight w:val="yellow"/>
        </w:rPr>
        <w:t>xxx</w:t>
      </w:r>
      <w:r w:rsidR="003E484E">
        <w:t xml:space="preserve">) </w:t>
      </w:r>
      <w:r w:rsidR="00B422B8">
        <w:t xml:space="preserve">was developed </w:t>
      </w:r>
      <w:r w:rsidR="00FA2D77">
        <w:t>iteratively by IAEA, selected experts from participating GPs, and the impact assessment team</w:t>
      </w:r>
      <w:r w:rsidR="00B422B8">
        <w:t xml:space="preserve">. Developing a theory of change in a participatory manner helps lead to </w:t>
      </w:r>
      <w:r w:rsidR="005849A6">
        <w:t xml:space="preserve">a clear and shared understanding of the programme (Funnell &amp; Rogers, 2011). </w:t>
      </w:r>
    </w:p>
    <w:p w14:paraId="12EBFBCC" w14:textId="61E45467" w:rsidR="00081CFA" w:rsidRDefault="00081CFA" w:rsidP="00081CFA">
      <w:pPr>
        <w:rPr>
          <w:lang w:val="en-NZ"/>
        </w:rPr>
      </w:pPr>
      <w:r w:rsidRPr="00081CFA">
        <w:rPr>
          <w:lang w:val="en-NZ"/>
        </w:rPr>
        <w:t>A th</w:t>
      </w:r>
      <w:r>
        <w:rPr>
          <w:lang w:val="en-NZ"/>
        </w:rPr>
        <w:t>eory of change may be used as a tool when assessing causality or contribution</w:t>
      </w:r>
      <w:r w:rsidRPr="00B422B8">
        <w:rPr>
          <w:lang w:val="en-NZ"/>
        </w:rPr>
        <w:t xml:space="preserve"> (Funnell &amp; Rogers, 2011)</w:t>
      </w:r>
      <w:r w:rsidR="00B72300">
        <w:rPr>
          <w:lang w:val="en-NZ"/>
        </w:rPr>
        <w:t xml:space="preserve">. </w:t>
      </w:r>
      <w:r w:rsidR="00B63CC6">
        <w:rPr>
          <w:lang w:val="en-NZ"/>
        </w:rPr>
        <w:t xml:space="preserve">In the case of </w:t>
      </w:r>
      <w:r w:rsidR="008B235F">
        <w:rPr>
          <w:lang w:val="en-NZ"/>
        </w:rPr>
        <w:t>non-destructive testing</w:t>
      </w:r>
      <w:r w:rsidR="00B63CC6">
        <w:rPr>
          <w:lang w:val="en-NZ"/>
        </w:rPr>
        <w:t xml:space="preserve"> under the RCA, the focus was on the value added through regional collaboration. In the absence of a measurable counterfactual (e.g. a control group), the evaluation design theori</w:t>
      </w:r>
      <w:r w:rsidR="00DD6F35">
        <w:rPr>
          <w:lang w:val="en-NZ"/>
        </w:rPr>
        <w:t>s</w:t>
      </w:r>
      <w:r w:rsidR="00B63CC6">
        <w:rPr>
          <w:lang w:val="en-NZ"/>
        </w:rPr>
        <w:t xml:space="preserve">ed that regional collaboration would add value by </w:t>
      </w:r>
      <w:r w:rsidR="008A15FB">
        <w:rPr>
          <w:lang w:val="en-NZ"/>
        </w:rPr>
        <w:t>[</w:t>
      </w:r>
      <w:r w:rsidR="00B63CC6" w:rsidRPr="008A15FB">
        <w:rPr>
          <w:highlight w:val="yellow"/>
          <w:lang w:val="en-NZ"/>
        </w:rPr>
        <w:t>strengthening regional capacity, by supporting some research that would not otherwise have been undertaken, and by enabling some research to be successfully completed more quickly than would have been possible without the RCA</w:t>
      </w:r>
      <w:r w:rsidR="008A15FB">
        <w:rPr>
          <w:lang w:val="en-NZ"/>
        </w:rPr>
        <w:t>]</w:t>
      </w:r>
      <w:r w:rsidR="00B63CC6">
        <w:rPr>
          <w:lang w:val="en-NZ"/>
        </w:rPr>
        <w:t xml:space="preserve">. These theories were tested by eliciting feedback from the participating countries. </w:t>
      </w:r>
    </w:p>
    <w:p w14:paraId="02278453" w14:textId="7B983E9F" w:rsidR="00B72300" w:rsidRPr="00115089" w:rsidRDefault="00081CFA" w:rsidP="00B72300">
      <w:pPr>
        <w:rPr>
          <w:lang w:val="en-NZ"/>
        </w:rPr>
      </w:pPr>
      <w:r>
        <w:rPr>
          <w:lang w:val="en-NZ"/>
        </w:rPr>
        <w:t xml:space="preserve">A theory of change can also be </w:t>
      </w:r>
      <w:r w:rsidRPr="00081CFA">
        <w:rPr>
          <w:lang w:val="en-NZ"/>
        </w:rPr>
        <w:t>used to help identify a complete and coherent set of evaluation criteria (Davidson, 2005).</w:t>
      </w:r>
      <w:r>
        <w:rPr>
          <w:lang w:val="en-NZ"/>
        </w:rPr>
        <w:t xml:space="preserve"> </w:t>
      </w:r>
      <w:r w:rsidR="00B72300">
        <w:rPr>
          <w:lang w:val="en-NZ"/>
        </w:rPr>
        <w:t xml:space="preserve">For the </w:t>
      </w:r>
      <w:r w:rsidR="00CE52BC">
        <w:rPr>
          <w:lang w:val="en-NZ"/>
        </w:rPr>
        <w:t>non-destructive testing</w:t>
      </w:r>
      <w:r w:rsidR="00B72300">
        <w:rPr>
          <w:lang w:val="en-NZ"/>
        </w:rPr>
        <w:t xml:space="preserve"> case study, it</w:t>
      </w:r>
      <w:r w:rsidR="00B72300">
        <w:t xml:space="preserve"> was agreed that the focus of the evaluation would be on four impact areas: </w:t>
      </w:r>
    </w:p>
    <w:p w14:paraId="410C1501" w14:textId="7CBD3879" w:rsidR="00B72300" w:rsidRDefault="00CE52BC" w:rsidP="00B72300">
      <w:pPr>
        <w:pStyle w:val="Bullet"/>
        <w:rPr>
          <w:sz w:val="20"/>
          <w:szCs w:val="20"/>
        </w:rPr>
      </w:pPr>
      <w:r>
        <w:rPr>
          <w:sz w:val="20"/>
          <w:szCs w:val="20"/>
        </w:rPr>
        <w:t xml:space="preserve">Improved non-destructive testing capacity and capability </w:t>
      </w:r>
    </w:p>
    <w:p w14:paraId="078EB1B1" w14:textId="0A55C9A3" w:rsidR="00B72300" w:rsidRDefault="00CE52BC" w:rsidP="00B72300">
      <w:pPr>
        <w:pStyle w:val="Bullet"/>
        <w:rPr>
          <w:sz w:val="20"/>
          <w:szCs w:val="20"/>
        </w:rPr>
      </w:pPr>
      <w:r>
        <w:rPr>
          <w:sz w:val="20"/>
          <w:szCs w:val="20"/>
        </w:rPr>
        <w:t>Increased scope and scale of non-destructive testing demand and use</w:t>
      </w:r>
    </w:p>
    <w:p w14:paraId="0843941E" w14:textId="67E4D5B7" w:rsidR="00B72300" w:rsidRDefault="00CE52BC" w:rsidP="00B72300">
      <w:pPr>
        <w:pStyle w:val="Bullet"/>
        <w:rPr>
          <w:sz w:val="20"/>
          <w:szCs w:val="20"/>
        </w:rPr>
      </w:pPr>
      <w:r>
        <w:rPr>
          <w:sz w:val="20"/>
          <w:szCs w:val="20"/>
        </w:rPr>
        <w:t>Improved health and safety</w:t>
      </w:r>
    </w:p>
    <w:p w14:paraId="0AE527D9" w14:textId="01A469E5" w:rsidR="00EB14FF" w:rsidRPr="00CE52BC" w:rsidRDefault="00B72300" w:rsidP="00EB14FF">
      <w:pPr>
        <w:pStyle w:val="Bullet"/>
        <w:rPr>
          <w:sz w:val="20"/>
          <w:szCs w:val="20"/>
        </w:rPr>
        <w:sectPr w:rsidR="00EB14FF" w:rsidRPr="00CE52BC" w:rsidSect="00775DA9">
          <w:footerReference w:type="default" r:id="rId14"/>
          <w:type w:val="oddPage"/>
          <w:pgSz w:w="11906" w:h="16838" w:code="9"/>
          <w:pgMar w:top="1440" w:right="1843" w:bottom="1440" w:left="1843" w:header="709" w:footer="709" w:gutter="0"/>
          <w:cols w:space="1230"/>
          <w:docGrid w:linePitch="360"/>
        </w:sectPr>
      </w:pPr>
      <w:r>
        <w:rPr>
          <w:sz w:val="20"/>
          <w:szCs w:val="20"/>
        </w:rPr>
        <w:t xml:space="preserve">Economic impacts. </w:t>
      </w:r>
    </w:p>
    <w:p w14:paraId="143664A9" w14:textId="2220D6CC" w:rsidR="00D17E47" w:rsidRDefault="00D17E47" w:rsidP="00D17E47">
      <w:pPr>
        <w:pStyle w:val="Caption"/>
      </w:pPr>
      <w:bookmarkStart w:id="38" w:name="_Toc81379298"/>
      <w:r>
        <w:lastRenderedPageBreak/>
        <w:t xml:space="preserve">Figure </w:t>
      </w:r>
      <w:r>
        <w:fldChar w:fldCharType="begin"/>
      </w:r>
      <w:r>
        <w:instrText xml:space="preserve"> SEQ Figure \* ARABIC </w:instrText>
      </w:r>
      <w:r>
        <w:fldChar w:fldCharType="separate"/>
      </w:r>
      <w:r w:rsidR="0042294E">
        <w:rPr>
          <w:noProof/>
        </w:rPr>
        <w:t>25</w:t>
      </w:r>
      <w:r>
        <w:fldChar w:fldCharType="end"/>
      </w:r>
      <w:r>
        <w:t xml:space="preserve">: Theory of change for RCA </w:t>
      </w:r>
      <w:r w:rsidR="00CE52BC">
        <w:t>non-destructive testing</w:t>
      </w:r>
      <w:r>
        <w:t xml:space="preserve"> projects</w:t>
      </w:r>
      <w:bookmarkEnd w:id="38"/>
      <w:r>
        <w:t xml:space="preserve"> </w:t>
      </w:r>
    </w:p>
    <w:p w14:paraId="05C05D0C" w14:textId="1D80A2C9" w:rsidR="00D17E47" w:rsidRPr="00185E1E" w:rsidRDefault="00CE52BC" w:rsidP="00D17E47">
      <w:r w:rsidRPr="00F64F1F">
        <w:rPr>
          <w:noProof/>
          <w:sz w:val="22"/>
        </w:rPr>
        <w:drawing>
          <wp:inline distT="0" distB="0" distL="0" distR="0" wp14:anchorId="6AF1B3C3" wp14:editId="27E1F0B1">
            <wp:extent cx="5033349" cy="28957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482" cy="2916002"/>
                    </a:xfrm>
                    <a:prstGeom prst="rect">
                      <a:avLst/>
                    </a:prstGeom>
                  </pic:spPr>
                </pic:pic>
              </a:graphicData>
            </a:graphic>
          </wp:inline>
        </w:drawing>
      </w:r>
    </w:p>
    <w:p w14:paraId="3FBE4AEF" w14:textId="21DB7A6A" w:rsidR="00D276F4" w:rsidRDefault="00D276F4" w:rsidP="00D276F4">
      <w:pPr>
        <w:pStyle w:val="Heading4"/>
      </w:pPr>
      <w:r>
        <w:t xml:space="preserve">Criteria and standards </w:t>
      </w:r>
    </w:p>
    <w:p w14:paraId="024D87CC" w14:textId="03F8F797" w:rsidR="00D276F4" w:rsidRDefault="00D276F4" w:rsidP="00D276F4">
      <w:r>
        <w:t xml:space="preserve">Evaluation criteria and standards for the four impact areas were collaboratively developed. </w:t>
      </w:r>
      <w:r w:rsidRPr="003D7743">
        <w:rPr>
          <w:highlight w:val="yellow"/>
        </w:rPr>
        <w:t>Table</w:t>
      </w:r>
      <w:r w:rsidR="003D7743" w:rsidRPr="003D7743">
        <w:rPr>
          <w:highlight w:val="yellow"/>
        </w:rPr>
        <w:t>s</w:t>
      </w:r>
      <w:r w:rsidRPr="003D7743">
        <w:rPr>
          <w:highlight w:val="yellow"/>
        </w:rPr>
        <w:t xml:space="preserve"> </w:t>
      </w:r>
      <w:r w:rsidR="003D7743" w:rsidRPr="003D7743">
        <w:rPr>
          <w:highlight w:val="yellow"/>
        </w:rPr>
        <w:t>xxx-xxx</w:t>
      </w:r>
      <w:r w:rsidR="00BD05F9">
        <w:t xml:space="preserve"> </w:t>
      </w:r>
      <w:r>
        <w:t xml:space="preserve">set out </w:t>
      </w:r>
      <w:r w:rsidR="00C80BE2">
        <w:t>the</w:t>
      </w:r>
      <w:r>
        <w:t xml:space="preserve"> </w:t>
      </w:r>
      <w:r w:rsidRPr="00C80BE2">
        <w:rPr>
          <w:i/>
          <w:iCs/>
        </w:rPr>
        <w:t>rubric</w:t>
      </w:r>
      <w:r>
        <w:t xml:space="preserve"> </w:t>
      </w:r>
      <w:r w:rsidR="00C80BE2">
        <w:t xml:space="preserve">(matrix of criteria and standards) </w:t>
      </w:r>
      <w:r>
        <w:t xml:space="preserve">used in this impact assessment. The columns of the rubric correspond to impact areas from the theory of change, while the rows describe levels of performance. </w:t>
      </w:r>
    </w:p>
    <w:p w14:paraId="735F4FD5" w14:textId="67AC41A9" w:rsidR="00D17E47" w:rsidRDefault="00D17E47" w:rsidP="00D17E47">
      <w:pPr>
        <w:pStyle w:val="Caption"/>
      </w:pPr>
      <w:bookmarkStart w:id="39" w:name="_Toc81379294"/>
      <w:r>
        <w:t xml:space="preserve">Table </w:t>
      </w:r>
      <w:r>
        <w:fldChar w:fldCharType="begin"/>
      </w:r>
      <w:r>
        <w:instrText xml:space="preserve"> SEQ Table \* ARABIC </w:instrText>
      </w:r>
      <w:r>
        <w:fldChar w:fldCharType="separate"/>
      </w:r>
      <w:r w:rsidR="00BD05F9">
        <w:rPr>
          <w:noProof/>
        </w:rPr>
        <w:t>15</w:t>
      </w:r>
      <w:r>
        <w:fldChar w:fldCharType="end"/>
      </w:r>
      <w:r>
        <w:t>: Rubric</w:t>
      </w:r>
      <w:r w:rsidR="003D7743">
        <w:t xml:space="preserve"> for criterion 1: improved NDT capacity and capability</w:t>
      </w:r>
      <w:bookmarkEnd w:id="39"/>
      <w:r w:rsidR="003D7743">
        <w:t xml:space="preserve"> </w:t>
      </w:r>
      <w:r>
        <w:t xml:space="preserve"> </w:t>
      </w:r>
    </w:p>
    <w:tbl>
      <w:tblPr>
        <w:tblW w:w="9490" w:type="dxa"/>
        <w:tblLayout w:type="fixed"/>
        <w:tblLook w:val="0600" w:firstRow="0" w:lastRow="0" w:firstColumn="0" w:lastColumn="0" w:noHBand="1" w:noVBand="1"/>
      </w:tblPr>
      <w:tblGrid>
        <w:gridCol w:w="2596"/>
        <w:gridCol w:w="6894"/>
      </w:tblGrid>
      <w:tr w:rsidR="003D7743" w:rsidRPr="003D7743" w14:paraId="6FF1014D" w14:textId="77777777" w:rsidTr="008A3537">
        <w:trPr>
          <w:trHeight w:val="397"/>
        </w:trPr>
        <w:tc>
          <w:tcPr>
            <w:tcW w:w="2596"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569EBF6A" w14:textId="77777777" w:rsidR="003D7743" w:rsidRPr="003D7743" w:rsidRDefault="003D7743" w:rsidP="008A3537">
            <w:pPr>
              <w:widowControl w:val="0"/>
              <w:pBdr>
                <w:top w:val="nil"/>
                <w:left w:val="nil"/>
                <w:bottom w:val="nil"/>
                <w:right w:val="nil"/>
                <w:between w:val="nil"/>
              </w:pBdr>
              <w:rPr>
                <w:b/>
                <w:bCs/>
                <w:szCs w:val="20"/>
              </w:rPr>
            </w:pPr>
            <w:r w:rsidRPr="003D7743">
              <w:rPr>
                <w:b/>
                <w:bCs/>
                <w:szCs w:val="20"/>
              </w:rPr>
              <w:t>Standard (to be applied to each GP)</w:t>
            </w:r>
          </w:p>
        </w:tc>
        <w:tc>
          <w:tcPr>
            <w:tcW w:w="6894"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232224F8" w14:textId="77777777" w:rsidR="003D7743" w:rsidRPr="003D7743" w:rsidRDefault="003D7743" w:rsidP="008A3537">
            <w:pPr>
              <w:widowControl w:val="0"/>
              <w:pBdr>
                <w:top w:val="nil"/>
                <w:left w:val="nil"/>
                <w:bottom w:val="nil"/>
                <w:right w:val="nil"/>
                <w:between w:val="nil"/>
              </w:pBdr>
              <w:rPr>
                <w:b/>
                <w:bCs/>
                <w:szCs w:val="20"/>
              </w:rPr>
            </w:pPr>
            <w:r w:rsidRPr="003D7743">
              <w:rPr>
                <w:b/>
                <w:bCs/>
                <w:szCs w:val="20"/>
              </w:rPr>
              <w:t>Criterion 1: Improved NDT capacity and capability</w:t>
            </w:r>
          </w:p>
        </w:tc>
      </w:tr>
      <w:tr w:rsidR="003D7743" w:rsidRPr="003D7743" w14:paraId="6694B313" w14:textId="77777777" w:rsidTr="008A3537">
        <w:trPr>
          <w:trHeight w:val="3794"/>
        </w:trPr>
        <w:tc>
          <w:tcPr>
            <w:tcW w:w="2596"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0BCBE48E" w14:textId="77777777" w:rsidR="003D7743" w:rsidRPr="003D7743" w:rsidRDefault="003D7743" w:rsidP="008A3537">
            <w:pPr>
              <w:widowControl w:val="0"/>
              <w:pBdr>
                <w:top w:val="nil"/>
                <w:left w:val="nil"/>
                <w:bottom w:val="nil"/>
                <w:right w:val="nil"/>
                <w:between w:val="nil"/>
              </w:pBdr>
              <w:rPr>
                <w:szCs w:val="20"/>
              </w:rPr>
            </w:pPr>
            <w:r w:rsidRPr="003D7743">
              <w:rPr>
                <w:b/>
                <w:bCs/>
                <w:szCs w:val="20"/>
              </w:rPr>
              <w:t>Excellent</w:t>
            </w:r>
            <w:r w:rsidRPr="003D7743">
              <w:rPr>
                <w:szCs w:val="20"/>
              </w:rPr>
              <w:t xml:space="preserve"> (exceeding expectations) </w:t>
            </w:r>
          </w:p>
          <w:p w14:paraId="280BDF8C" w14:textId="77777777" w:rsidR="003D7743" w:rsidRPr="003D7743" w:rsidRDefault="003D7743" w:rsidP="008A3537">
            <w:pPr>
              <w:widowControl w:val="0"/>
              <w:pBdr>
                <w:top w:val="nil"/>
                <w:left w:val="nil"/>
                <w:bottom w:val="nil"/>
                <w:right w:val="nil"/>
                <w:between w:val="nil"/>
              </w:pBdr>
              <w:rPr>
                <w:szCs w:val="20"/>
              </w:rPr>
            </w:pPr>
          </w:p>
          <w:p w14:paraId="6A8BCE08" w14:textId="77777777" w:rsidR="003D7743" w:rsidRPr="003D7743" w:rsidRDefault="003D7743" w:rsidP="008A3537">
            <w:pPr>
              <w:widowControl w:val="0"/>
              <w:pBdr>
                <w:top w:val="nil"/>
                <w:left w:val="nil"/>
                <w:bottom w:val="nil"/>
                <w:right w:val="nil"/>
                <w:between w:val="nil"/>
              </w:pBdr>
              <w:rPr>
                <w:szCs w:val="20"/>
              </w:rPr>
            </w:pPr>
            <w:r w:rsidRPr="003D7743">
              <w:rPr>
                <w:szCs w:val="20"/>
              </w:rPr>
              <w:t xml:space="preserve">GPs with excellent status meet the standard for Good, plus: </w:t>
            </w:r>
          </w:p>
        </w:tc>
        <w:tc>
          <w:tcPr>
            <w:tcW w:w="6894"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106BF063" w14:textId="77777777" w:rsidR="003D7743" w:rsidRPr="003D7743" w:rsidRDefault="003D7743" w:rsidP="008A3537">
            <w:pPr>
              <w:widowControl w:val="0"/>
              <w:pBdr>
                <w:top w:val="nil"/>
                <w:left w:val="nil"/>
                <w:bottom w:val="nil"/>
                <w:right w:val="nil"/>
                <w:between w:val="nil"/>
              </w:pBdr>
              <w:rPr>
                <w:szCs w:val="20"/>
              </w:rPr>
            </w:pPr>
            <w:r w:rsidRPr="003D7743">
              <w:rPr>
                <w:szCs w:val="20"/>
              </w:rPr>
              <w:t xml:space="preserve">GPs have fulfilled the MRA requirements of ICNDT </w:t>
            </w:r>
            <w:proofErr w:type="gramStart"/>
            <w:r w:rsidRPr="003D7743">
              <w:rPr>
                <w:szCs w:val="20"/>
              </w:rPr>
              <w:t>as a result of</w:t>
            </w:r>
            <w:proofErr w:type="gramEnd"/>
            <w:r w:rsidRPr="003D7743">
              <w:rPr>
                <w:szCs w:val="20"/>
              </w:rPr>
              <w:t xml:space="preserve"> the support under the RCA programme of IAEA. </w:t>
            </w:r>
          </w:p>
          <w:p w14:paraId="17F1B386" w14:textId="77777777" w:rsidR="003D7743" w:rsidRPr="003D7743" w:rsidRDefault="003D7743" w:rsidP="008A3537">
            <w:pPr>
              <w:widowControl w:val="0"/>
              <w:pBdr>
                <w:top w:val="nil"/>
                <w:left w:val="nil"/>
                <w:bottom w:val="nil"/>
                <w:right w:val="nil"/>
                <w:between w:val="nil"/>
              </w:pBdr>
              <w:rPr>
                <w:szCs w:val="20"/>
              </w:rPr>
            </w:pPr>
            <w:r w:rsidRPr="003D7743">
              <w:rPr>
                <w:szCs w:val="20"/>
              </w:rPr>
              <w:t xml:space="preserve">. NDT Society is registered with APFNDT and ICNDT </w:t>
            </w:r>
          </w:p>
          <w:p w14:paraId="2E80DFF1" w14:textId="77777777" w:rsidR="003D7743" w:rsidRPr="003D7743" w:rsidRDefault="003D7743" w:rsidP="008A3537">
            <w:pPr>
              <w:widowControl w:val="0"/>
              <w:pBdr>
                <w:top w:val="nil"/>
                <w:left w:val="nil"/>
                <w:bottom w:val="nil"/>
                <w:right w:val="nil"/>
                <w:between w:val="nil"/>
              </w:pBdr>
              <w:rPr>
                <w:szCs w:val="20"/>
              </w:rPr>
            </w:pPr>
            <w:r w:rsidRPr="003D7743">
              <w:rPr>
                <w:szCs w:val="20"/>
              </w:rPr>
              <w:t xml:space="preserve">. The society is a signatory to ICNDT MRA </w:t>
            </w:r>
          </w:p>
          <w:p w14:paraId="211BE63C" w14:textId="77777777" w:rsidR="003D7743" w:rsidRPr="003D7743" w:rsidRDefault="003D7743" w:rsidP="008A3537">
            <w:pPr>
              <w:widowControl w:val="0"/>
              <w:pBdr>
                <w:top w:val="nil"/>
                <w:left w:val="nil"/>
                <w:bottom w:val="nil"/>
                <w:right w:val="nil"/>
                <w:between w:val="nil"/>
              </w:pBdr>
              <w:rPr>
                <w:szCs w:val="20"/>
              </w:rPr>
            </w:pPr>
            <w:r w:rsidRPr="003D7743">
              <w:rPr>
                <w:szCs w:val="20"/>
              </w:rPr>
              <w:t xml:space="preserve">. NCB for NDT accredited to ISO 17024 </w:t>
            </w:r>
          </w:p>
          <w:p w14:paraId="465C62CA" w14:textId="77777777" w:rsidR="003D7743" w:rsidRPr="003D7743" w:rsidRDefault="003D7743" w:rsidP="008A3537">
            <w:pPr>
              <w:widowControl w:val="0"/>
              <w:pBdr>
                <w:top w:val="nil"/>
                <w:left w:val="nil"/>
                <w:bottom w:val="nil"/>
                <w:right w:val="nil"/>
                <w:between w:val="nil"/>
              </w:pBdr>
              <w:rPr>
                <w:szCs w:val="20"/>
              </w:rPr>
            </w:pPr>
            <w:r w:rsidRPr="003D7743">
              <w:rPr>
                <w:szCs w:val="20"/>
              </w:rPr>
              <w:t xml:space="preserve">. NCB accepted for registration under the ICNDT MRA </w:t>
            </w:r>
          </w:p>
          <w:p w14:paraId="7092F902" w14:textId="3B6EA6A7" w:rsidR="003D7743" w:rsidRPr="003D7743" w:rsidRDefault="003D7743" w:rsidP="008A3537">
            <w:pPr>
              <w:widowControl w:val="0"/>
              <w:pBdr>
                <w:top w:val="nil"/>
                <w:left w:val="nil"/>
                <w:bottom w:val="nil"/>
                <w:right w:val="nil"/>
                <w:between w:val="nil"/>
              </w:pBdr>
              <w:rPr>
                <w:szCs w:val="20"/>
              </w:rPr>
            </w:pPr>
            <w:r w:rsidRPr="003D7743">
              <w:rPr>
                <w:szCs w:val="20"/>
              </w:rPr>
              <w:t xml:space="preserve">. Accredited training centres offering ISO 9712 training. </w:t>
            </w:r>
          </w:p>
          <w:p w14:paraId="10A7E5E7" w14:textId="1EFC24FE" w:rsidR="003D7743" w:rsidRPr="003D7743" w:rsidRDefault="003D7743" w:rsidP="008A3537">
            <w:pPr>
              <w:widowControl w:val="0"/>
              <w:pBdr>
                <w:top w:val="nil"/>
                <w:left w:val="nil"/>
                <w:bottom w:val="nil"/>
                <w:right w:val="nil"/>
                <w:between w:val="nil"/>
              </w:pBdr>
              <w:rPr>
                <w:szCs w:val="20"/>
              </w:rPr>
            </w:pPr>
            <w:r w:rsidRPr="003D7743">
              <w:rPr>
                <w:szCs w:val="20"/>
              </w:rPr>
              <w:t xml:space="preserve">The support in establishing GPs’ NDT infrastructure through the RCA programme has enabled GPs to produce </w:t>
            </w:r>
            <w:r w:rsidRPr="003D7743">
              <w:rPr>
                <w:i/>
                <w:iCs/>
                <w:szCs w:val="20"/>
              </w:rPr>
              <w:t>certified personnel in advanced techniques (RT-D, PAUT, TOFD, PEC, etc)</w:t>
            </w:r>
            <w:r w:rsidRPr="003D7743">
              <w:rPr>
                <w:szCs w:val="20"/>
              </w:rPr>
              <w:t xml:space="preserve">, in addition to the conventional methods (RT, UT, MT, PT, ET). </w:t>
            </w:r>
          </w:p>
          <w:p w14:paraId="142B9235" w14:textId="77777777" w:rsidR="003D7743" w:rsidRPr="003D7743" w:rsidRDefault="003D7743" w:rsidP="008A3537">
            <w:pPr>
              <w:widowControl w:val="0"/>
              <w:pBdr>
                <w:top w:val="nil"/>
                <w:left w:val="nil"/>
                <w:bottom w:val="nil"/>
                <w:right w:val="nil"/>
                <w:between w:val="nil"/>
              </w:pBdr>
              <w:rPr>
                <w:szCs w:val="20"/>
              </w:rPr>
            </w:pPr>
            <w:r w:rsidRPr="003D7743">
              <w:rPr>
                <w:szCs w:val="20"/>
              </w:rPr>
              <w:t xml:space="preserve">GPs have achieved increased self-reliance in NDT, including offering training and inspection activities to local industries as well as abroad. </w:t>
            </w:r>
          </w:p>
        </w:tc>
      </w:tr>
      <w:tr w:rsidR="003D7743" w:rsidRPr="003D7743" w14:paraId="37E86BFF" w14:textId="77777777" w:rsidTr="008A3537">
        <w:trPr>
          <w:trHeight w:val="3511"/>
        </w:trPr>
        <w:tc>
          <w:tcPr>
            <w:tcW w:w="2596"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71A6C61A" w14:textId="77777777" w:rsidR="003D7743" w:rsidRPr="003D7743" w:rsidRDefault="003D7743" w:rsidP="008A3537">
            <w:pPr>
              <w:widowControl w:val="0"/>
              <w:pBdr>
                <w:top w:val="nil"/>
                <w:left w:val="nil"/>
                <w:bottom w:val="nil"/>
                <w:right w:val="nil"/>
                <w:between w:val="nil"/>
              </w:pBdr>
              <w:rPr>
                <w:szCs w:val="20"/>
              </w:rPr>
            </w:pPr>
            <w:r w:rsidRPr="003D7743">
              <w:rPr>
                <w:b/>
                <w:bCs/>
                <w:szCs w:val="20"/>
              </w:rPr>
              <w:lastRenderedPageBreak/>
              <w:t>Good</w:t>
            </w:r>
            <w:r w:rsidRPr="003D7743">
              <w:rPr>
                <w:szCs w:val="20"/>
              </w:rPr>
              <w:t xml:space="preserve"> (meeting expectations) </w:t>
            </w:r>
          </w:p>
          <w:p w14:paraId="260ACA5C" w14:textId="77777777" w:rsidR="003D7743" w:rsidRPr="003D7743" w:rsidRDefault="003D7743" w:rsidP="008A3537">
            <w:pPr>
              <w:widowControl w:val="0"/>
              <w:pBdr>
                <w:top w:val="nil"/>
                <w:left w:val="nil"/>
                <w:bottom w:val="nil"/>
                <w:right w:val="nil"/>
                <w:between w:val="nil"/>
              </w:pBdr>
              <w:rPr>
                <w:szCs w:val="20"/>
              </w:rPr>
            </w:pPr>
          </w:p>
          <w:p w14:paraId="0701E917" w14:textId="77777777" w:rsidR="003D7743" w:rsidRPr="003D7743" w:rsidRDefault="003D7743" w:rsidP="008A3537">
            <w:pPr>
              <w:widowControl w:val="0"/>
              <w:pBdr>
                <w:top w:val="nil"/>
                <w:left w:val="nil"/>
                <w:bottom w:val="nil"/>
                <w:right w:val="nil"/>
                <w:between w:val="nil"/>
              </w:pBdr>
              <w:rPr>
                <w:szCs w:val="20"/>
              </w:rPr>
            </w:pPr>
            <w:r w:rsidRPr="003D7743">
              <w:rPr>
                <w:szCs w:val="20"/>
              </w:rPr>
              <w:t xml:space="preserve">GPs with good status meet the standard for Adequate, plus: </w:t>
            </w:r>
          </w:p>
        </w:tc>
        <w:tc>
          <w:tcPr>
            <w:tcW w:w="6894"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6F57DDA3" w14:textId="77777777" w:rsidR="003D7743" w:rsidRPr="003D7743" w:rsidRDefault="003D7743" w:rsidP="008A3537">
            <w:pPr>
              <w:widowControl w:val="0"/>
              <w:pBdr>
                <w:top w:val="nil"/>
                <w:left w:val="nil"/>
                <w:bottom w:val="nil"/>
                <w:right w:val="nil"/>
                <w:between w:val="nil"/>
              </w:pBdr>
              <w:rPr>
                <w:szCs w:val="20"/>
              </w:rPr>
            </w:pPr>
            <w:r w:rsidRPr="003D7743">
              <w:rPr>
                <w:szCs w:val="20"/>
              </w:rPr>
              <w:t xml:space="preserve">GPs have established </w:t>
            </w:r>
            <w:proofErr w:type="gramStart"/>
            <w:r w:rsidRPr="003D7743">
              <w:rPr>
                <w:szCs w:val="20"/>
              </w:rPr>
              <w:t>internationally-recognised</w:t>
            </w:r>
            <w:proofErr w:type="gramEnd"/>
            <w:r w:rsidRPr="003D7743">
              <w:rPr>
                <w:szCs w:val="20"/>
              </w:rPr>
              <w:t xml:space="preserve"> NDT infrastructure at the national level as a result of the support under the RCA programme of IAEA. </w:t>
            </w:r>
          </w:p>
          <w:p w14:paraId="18DE9E98" w14:textId="77777777" w:rsidR="003D7743" w:rsidRPr="003D7743" w:rsidRDefault="003D7743" w:rsidP="008A3537">
            <w:pPr>
              <w:widowControl w:val="0"/>
              <w:pBdr>
                <w:top w:val="nil"/>
                <w:left w:val="nil"/>
                <w:bottom w:val="nil"/>
                <w:right w:val="nil"/>
                <w:between w:val="nil"/>
              </w:pBdr>
              <w:rPr>
                <w:szCs w:val="20"/>
              </w:rPr>
            </w:pPr>
            <w:r w:rsidRPr="003D7743">
              <w:rPr>
                <w:szCs w:val="20"/>
              </w:rPr>
              <w:t xml:space="preserve">. NDT Society has been established </w:t>
            </w:r>
          </w:p>
          <w:p w14:paraId="2F76E1BF" w14:textId="77777777" w:rsidR="003D7743" w:rsidRPr="003D7743" w:rsidRDefault="003D7743" w:rsidP="008A3537">
            <w:pPr>
              <w:widowControl w:val="0"/>
              <w:pBdr>
                <w:top w:val="nil"/>
                <w:left w:val="nil"/>
                <w:bottom w:val="nil"/>
                <w:right w:val="nil"/>
                <w:between w:val="nil"/>
              </w:pBdr>
              <w:rPr>
                <w:szCs w:val="20"/>
              </w:rPr>
            </w:pPr>
            <w:r w:rsidRPr="003D7743">
              <w:rPr>
                <w:szCs w:val="20"/>
              </w:rPr>
              <w:t xml:space="preserve">. National certification body on NDT has been established. </w:t>
            </w:r>
          </w:p>
          <w:p w14:paraId="04B62D1B" w14:textId="4A23F353" w:rsidR="003D7743" w:rsidRPr="003D7743" w:rsidRDefault="003D7743" w:rsidP="008A3537">
            <w:pPr>
              <w:widowControl w:val="0"/>
              <w:pBdr>
                <w:top w:val="nil"/>
                <w:left w:val="nil"/>
                <w:bottom w:val="nil"/>
                <w:right w:val="nil"/>
                <w:between w:val="nil"/>
              </w:pBdr>
              <w:rPr>
                <w:szCs w:val="20"/>
              </w:rPr>
            </w:pPr>
            <w:r w:rsidRPr="003D7743">
              <w:rPr>
                <w:szCs w:val="20"/>
              </w:rPr>
              <w:t xml:space="preserve">. Local NDT training centres are offering ISO 9712 training </w:t>
            </w:r>
          </w:p>
          <w:p w14:paraId="30D8050E" w14:textId="603A82D4" w:rsidR="003D7743" w:rsidRPr="003D7743" w:rsidRDefault="003D7743" w:rsidP="008A3537">
            <w:pPr>
              <w:widowControl w:val="0"/>
              <w:pBdr>
                <w:top w:val="nil"/>
                <w:left w:val="nil"/>
                <w:bottom w:val="nil"/>
                <w:right w:val="nil"/>
                <w:between w:val="nil"/>
              </w:pBdr>
              <w:rPr>
                <w:szCs w:val="20"/>
              </w:rPr>
            </w:pPr>
            <w:r w:rsidRPr="003D7743">
              <w:rPr>
                <w:szCs w:val="20"/>
              </w:rPr>
              <w:t xml:space="preserve">The support in establishing GPs’ NDT infrastructure through the RCA programme has enabled GPs to produce certified personnel in all levels of NDTs’ </w:t>
            </w:r>
            <w:r w:rsidRPr="003D7743">
              <w:rPr>
                <w:i/>
                <w:szCs w:val="20"/>
              </w:rPr>
              <w:t xml:space="preserve">five main methods </w:t>
            </w:r>
            <w:r w:rsidRPr="003D7743">
              <w:rPr>
                <w:szCs w:val="20"/>
              </w:rPr>
              <w:t>(RT, UT, MT, PT, ET) through the national NDT certification scheme.</w:t>
            </w:r>
            <w:r w:rsidRPr="003D7743">
              <w:rPr>
                <w:rStyle w:val="FootnoteReference"/>
                <w:szCs w:val="20"/>
              </w:rPr>
              <w:footnoteReference w:id="3"/>
            </w:r>
            <w:r w:rsidRPr="003D7743">
              <w:rPr>
                <w:szCs w:val="20"/>
              </w:rPr>
              <w:t xml:space="preserve"> </w:t>
            </w:r>
          </w:p>
          <w:p w14:paraId="6A46C45F" w14:textId="77777777" w:rsidR="003D7743" w:rsidRPr="003D7743" w:rsidRDefault="003D7743" w:rsidP="008A3537">
            <w:pPr>
              <w:widowControl w:val="0"/>
              <w:pBdr>
                <w:top w:val="nil"/>
                <w:left w:val="nil"/>
                <w:bottom w:val="nil"/>
                <w:right w:val="nil"/>
                <w:between w:val="nil"/>
              </w:pBdr>
              <w:rPr>
                <w:szCs w:val="20"/>
              </w:rPr>
            </w:pPr>
            <w:r w:rsidRPr="003D7743">
              <w:rPr>
                <w:szCs w:val="20"/>
              </w:rPr>
              <w:t xml:space="preserve">GPs have local NDT training centres and inspection companies offering services to local industry. </w:t>
            </w:r>
          </w:p>
        </w:tc>
      </w:tr>
      <w:tr w:rsidR="003D7743" w:rsidRPr="003D7743" w14:paraId="4A8FB415" w14:textId="77777777" w:rsidTr="008A3537">
        <w:trPr>
          <w:trHeight w:val="251"/>
        </w:trPr>
        <w:tc>
          <w:tcPr>
            <w:tcW w:w="2596"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6A83D64C" w14:textId="77777777" w:rsidR="003D7743" w:rsidRPr="003D7743" w:rsidRDefault="003D7743" w:rsidP="008A3537">
            <w:pPr>
              <w:widowControl w:val="0"/>
              <w:pBdr>
                <w:top w:val="nil"/>
                <w:left w:val="nil"/>
                <w:bottom w:val="nil"/>
                <w:right w:val="nil"/>
                <w:between w:val="nil"/>
              </w:pBdr>
              <w:rPr>
                <w:szCs w:val="20"/>
              </w:rPr>
            </w:pPr>
            <w:r w:rsidRPr="003D7743">
              <w:rPr>
                <w:b/>
                <w:bCs/>
                <w:szCs w:val="20"/>
              </w:rPr>
              <w:t>Adequate</w:t>
            </w:r>
            <w:r w:rsidRPr="003D7743">
              <w:rPr>
                <w:szCs w:val="20"/>
              </w:rPr>
              <w:t xml:space="preserve"> (meeting bottom-line expectations) </w:t>
            </w:r>
          </w:p>
        </w:tc>
        <w:tc>
          <w:tcPr>
            <w:tcW w:w="6894"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30D3AA67" w14:textId="3FB9EA63" w:rsidR="003D7743" w:rsidRPr="003D7743" w:rsidRDefault="003D7743" w:rsidP="008A3537">
            <w:pPr>
              <w:widowControl w:val="0"/>
              <w:pBdr>
                <w:top w:val="nil"/>
                <w:left w:val="nil"/>
                <w:bottom w:val="nil"/>
                <w:right w:val="nil"/>
                <w:between w:val="nil"/>
              </w:pBdr>
              <w:rPr>
                <w:szCs w:val="20"/>
              </w:rPr>
            </w:pPr>
            <w:r w:rsidRPr="003D7743">
              <w:rPr>
                <w:szCs w:val="20"/>
              </w:rPr>
              <w:t xml:space="preserve">GPs have established basic NDT infrastructure at the national level </w:t>
            </w:r>
            <w:proofErr w:type="gramStart"/>
            <w:r w:rsidRPr="003D7743">
              <w:rPr>
                <w:szCs w:val="20"/>
              </w:rPr>
              <w:t>as a result of</w:t>
            </w:r>
            <w:proofErr w:type="gramEnd"/>
            <w:r w:rsidRPr="003D7743">
              <w:rPr>
                <w:szCs w:val="20"/>
              </w:rPr>
              <w:t xml:space="preserve"> the support under the RCA programme of IAEA. </w:t>
            </w:r>
          </w:p>
          <w:p w14:paraId="148A3B52" w14:textId="5A61BCF8" w:rsidR="003D7743" w:rsidRPr="003D7743" w:rsidRDefault="003D7743" w:rsidP="008A3537">
            <w:pPr>
              <w:widowControl w:val="0"/>
              <w:pBdr>
                <w:top w:val="nil"/>
                <w:left w:val="nil"/>
                <w:bottom w:val="nil"/>
                <w:right w:val="nil"/>
                <w:between w:val="nil"/>
              </w:pBdr>
              <w:rPr>
                <w:szCs w:val="20"/>
              </w:rPr>
            </w:pPr>
            <w:r w:rsidRPr="003D7743">
              <w:rPr>
                <w:szCs w:val="20"/>
              </w:rPr>
              <w:t xml:space="preserve">National certification scheme has been established and there are certified personnel produced by the national NDT certification scheme, however, for limited method(s) and not for all 5 main methods. </w:t>
            </w:r>
          </w:p>
          <w:p w14:paraId="5C6E5743" w14:textId="729B4A3C" w:rsidR="003D7743" w:rsidRPr="003D7743" w:rsidRDefault="003D7743" w:rsidP="008A3537">
            <w:pPr>
              <w:widowControl w:val="0"/>
              <w:pBdr>
                <w:top w:val="nil"/>
                <w:left w:val="nil"/>
                <w:bottom w:val="nil"/>
                <w:right w:val="nil"/>
                <w:between w:val="nil"/>
              </w:pBdr>
              <w:rPr>
                <w:szCs w:val="20"/>
              </w:rPr>
            </w:pPr>
            <w:r w:rsidRPr="003D7743">
              <w:rPr>
                <w:szCs w:val="20"/>
              </w:rPr>
              <w:t xml:space="preserve">There are trained personnel at the GP organisation level. </w:t>
            </w:r>
          </w:p>
          <w:p w14:paraId="10168241" w14:textId="77777777" w:rsidR="003D7743" w:rsidRPr="003D7743" w:rsidRDefault="003D7743" w:rsidP="008A3537">
            <w:pPr>
              <w:widowControl w:val="0"/>
              <w:pBdr>
                <w:top w:val="nil"/>
                <w:left w:val="nil"/>
                <w:bottom w:val="nil"/>
                <w:right w:val="nil"/>
                <w:between w:val="nil"/>
              </w:pBdr>
              <w:rPr>
                <w:szCs w:val="20"/>
              </w:rPr>
            </w:pPr>
            <w:r w:rsidRPr="003D7743">
              <w:rPr>
                <w:szCs w:val="20"/>
              </w:rPr>
              <w:t xml:space="preserve">GPs have training centres and inspection companies, owned by foreign entities. </w:t>
            </w:r>
          </w:p>
        </w:tc>
      </w:tr>
      <w:tr w:rsidR="003D7743" w:rsidRPr="003D7743" w14:paraId="2C602362" w14:textId="77777777" w:rsidTr="008A3537">
        <w:trPr>
          <w:trHeight w:val="335"/>
        </w:trPr>
        <w:tc>
          <w:tcPr>
            <w:tcW w:w="2596"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05FC5383" w14:textId="77777777" w:rsidR="003D7743" w:rsidRPr="003D7743" w:rsidRDefault="003D7743" w:rsidP="008A3537">
            <w:pPr>
              <w:widowControl w:val="0"/>
              <w:pBdr>
                <w:top w:val="nil"/>
                <w:left w:val="nil"/>
                <w:bottom w:val="nil"/>
                <w:right w:val="nil"/>
                <w:between w:val="nil"/>
              </w:pBdr>
              <w:rPr>
                <w:b/>
                <w:bCs/>
                <w:szCs w:val="20"/>
              </w:rPr>
            </w:pPr>
            <w:r w:rsidRPr="003D7743">
              <w:rPr>
                <w:b/>
                <w:bCs/>
                <w:szCs w:val="20"/>
              </w:rPr>
              <w:t xml:space="preserve">Inadequate </w:t>
            </w:r>
          </w:p>
        </w:tc>
        <w:tc>
          <w:tcPr>
            <w:tcW w:w="6894"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3C1C7FD0" w14:textId="77777777" w:rsidR="003D7743" w:rsidRPr="003D7743" w:rsidRDefault="003D7743" w:rsidP="008A3537">
            <w:pPr>
              <w:widowControl w:val="0"/>
              <w:pBdr>
                <w:top w:val="nil"/>
                <w:left w:val="nil"/>
                <w:bottom w:val="nil"/>
                <w:right w:val="nil"/>
                <w:between w:val="nil"/>
              </w:pBdr>
              <w:rPr>
                <w:szCs w:val="20"/>
              </w:rPr>
            </w:pPr>
            <w:r w:rsidRPr="003D7743">
              <w:rPr>
                <w:szCs w:val="20"/>
              </w:rPr>
              <w:t xml:space="preserve">The level of NDT infrastructure is below the standard for Adequate  </w:t>
            </w:r>
          </w:p>
        </w:tc>
      </w:tr>
    </w:tbl>
    <w:p w14:paraId="78224045" w14:textId="77777777" w:rsidR="00D17E47" w:rsidRDefault="00D17E47" w:rsidP="00D17E47"/>
    <w:p w14:paraId="3720E595" w14:textId="2927B691" w:rsidR="003D7743" w:rsidRDefault="003D7743" w:rsidP="003D7743">
      <w:pPr>
        <w:pStyle w:val="Caption"/>
      </w:pPr>
      <w:bookmarkStart w:id="40" w:name="_Toc81379295"/>
      <w:r>
        <w:t xml:space="preserve">Table </w:t>
      </w:r>
      <w:r>
        <w:fldChar w:fldCharType="begin"/>
      </w:r>
      <w:r>
        <w:instrText xml:space="preserve"> SEQ Table \* ARABIC </w:instrText>
      </w:r>
      <w:r>
        <w:fldChar w:fldCharType="separate"/>
      </w:r>
      <w:r>
        <w:rPr>
          <w:noProof/>
        </w:rPr>
        <w:t>15</w:t>
      </w:r>
      <w:r>
        <w:fldChar w:fldCharType="end"/>
      </w:r>
      <w:r>
        <w:t>: Rubric for criterion 2: increased scope and scale of NDT demand and use</w:t>
      </w:r>
      <w:bookmarkEnd w:id="40"/>
      <w:r>
        <w:t xml:space="preserve">  </w:t>
      </w:r>
    </w:p>
    <w:tbl>
      <w:tblPr>
        <w:tblW w:w="9490" w:type="dxa"/>
        <w:tblLayout w:type="fixed"/>
        <w:tblLook w:val="0600" w:firstRow="0" w:lastRow="0" w:firstColumn="0" w:lastColumn="0" w:noHBand="1" w:noVBand="1"/>
      </w:tblPr>
      <w:tblGrid>
        <w:gridCol w:w="2596"/>
        <w:gridCol w:w="6894"/>
      </w:tblGrid>
      <w:tr w:rsidR="003D7743" w:rsidRPr="003D7743" w14:paraId="737F543F" w14:textId="77777777" w:rsidTr="008A3537">
        <w:trPr>
          <w:trHeight w:val="534"/>
        </w:trPr>
        <w:tc>
          <w:tcPr>
            <w:tcW w:w="2596"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48D30D98" w14:textId="77777777" w:rsidR="003D7743" w:rsidRPr="003D7743" w:rsidRDefault="003D7743" w:rsidP="008A3537">
            <w:pPr>
              <w:widowControl w:val="0"/>
              <w:rPr>
                <w:b/>
                <w:bCs/>
                <w:szCs w:val="20"/>
              </w:rPr>
            </w:pPr>
            <w:r w:rsidRPr="003D7743">
              <w:rPr>
                <w:b/>
                <w:bCs/>
                <w:szCs w:val="20"/>
              </w:rPr>
              <w:t>Standard (to be applied to each GP)</w:t>
            </w:r>
          </w:p>
        </w:tc>
        <w:tc>
          <w:tcPr>
            <w:tcW w:w="6894"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63BD62AC" w14:textId="77777777" w:rsidR="003D7743" w:rsidRPr="003D7743" w:rsidRDefault="003D7743" w:rsidP="008A3537">
            <w:pPr>
              <w:widowControl w:val="0"/>
              <w:rPr>
                <w:b/>
                <w:bCs/>
                <w:szCs w:val="20"/>
              </w:rPr>
            </w:pPr>
            <w:r w:rsidRPr="003D7743">
              <w:rPr>
                <w:b/>
                <w:bCs/>
                <w:szCs w:val="20"/>
              </w:rPr>
              <w:t xml:space="preserve">Criterion 2: Increased scope and scale of NDT demand and use </w:t>
            </w:r>
          </w:p>
        </w:tc>
      </w:tr>
      <w:tr w:rsidR="003D7743" w:rsidRPr="003D7743" w14:paraId="04B021FB" w14:textId="77777777" w:rsidTr="008A3537">
        <w:trPr>
          <w:trHeight w:val="2235"/>
        </w:trPr>
        <w:tc>
          <w:tcPr>
            <w:tcW w:w="2596"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20E0BD37" w14:textId="0D3352FD" w:rsidR="003D7743" w:rsidRPr="003D7743" w:rsidRDefault="003D7743" w:rsidP="008A3537">
            <w:pPr>
              <w:widowControl w:val="0"/>
              <w:rPr>
                <w:szCs w:val="20"/>
              </w:rPr>
            </w:pPr>
            <w:r w:rsidRPr="003D7743">
              <w:rPr>
                <w:b/>
                <w:bCs/>
                <w:szCs w:val="20"/>
              </w:rPr>
              <w:t>Excellent</w:t>
            </w:r>
            <w:r w:rsidRPr="003D7743">
              <w:rPr>
                <w:szCs w:val="20"/>
              </w:rPr>
              <w:t xml:space="preserve"> (exceeding expectations) </w:t>
            </w:r>
          </w:p>
          <w:p w14:paraId="68C79D74" w14:textId="77777777" w:rsidR="003D7743" w:rsidRPr="003D7743" w:rsidRDefault="003D7743" w:rsidP="008A3537">
            <w:pPr>
              <w:widowControl w:val="0"/>
              <w:rPr>
                <w:szCs w:val="20"/>
              </w:rPr>
            </w:pPr>
            <w:r w:rsidRPr="003D7743">
              <w:rPr>
                <w:szCs w:val="20"/>
              </w:rPr>
              <w:t xml:space="preserve">GPs with excellent status meet the standard for Good, plus: </w:t>
            </w:r>
          </w:p>
        </w:tc>
        <w:tc>
          <w:tcPr>
            <w:tcW w:w="6894"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38E0BF5D" w14:textId="4A7BDF53" w:rsidR="003D7743" w:rsidRPr="003D7743" w:rsidRDefault="003D7743" w:rsidP="008A3537">
            <w:pPr>
              <w:widowControl w:val="0"/>
              <w:rPr>
                <w:szCs w:val="20"/>
              </w:rPr>
            </w:pPr>
            <w:r w:rsidRPr="003D7743">
              <w:rPr>
                <w:szCs w:val="20"/>
              </w:rPr>
              <w:t xml:space="preserve">From the involvement in the RCA programme, GPs have managed to support the utilisation of the technology by industry and disseminate the knowledge developed through R&amp;D by publishing research articles, organising international and national seminars and conferences. </w:t>
            </w:r>
          </w:p>
          <w:p w14:paraId="211A3000" w14:textId="77777777" w:rsidR="003D7743" w:rsidRPr="003D7743" w:rsidRDefault="003D7743" w:rsidP="008A3537">
            <w:pPr>
              <w:widowControl w:val="0"/>
              <w:rPr>
                <w:szCs w:val="20"/>
              </w:rPr>
            </w:pPr>
            <w:r w:rsidRPr="003D7743">
              <w:rPr>
                <w:szCs w:val="20"/>
              </w:rPr>
              <w:t xml:space="preserve">Participation in the RCA programme results in GPs applying NDT technology in the industrial sectors for the QA and QC of industrial components - achieving better controlled manufacturing, lower production costs, ensuring material quality, and/or greater product integrity. </w:t>
            </w:r>
          </w:p>
        </w:tc>
      </w:tr>
      <w:tr w:rsidR="003D7743" w:rsidRPr="003D7743" w14:paraId="07BD1179" w14:textId="77777777" w:rsidTr="008A3537">
        <w:trPr>
          <w:trHeight w:val="1748"/>
        </w:trPr>
        <w:tc>
          <w:tcPr>
            <w:tcW w:w="2596"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4AD733D9" w14:textId="0503739A" w:rsidR="003D7743" w:rsidRPr="003D7743" w:rsidRDefault="003D7743" w:rsidP="008A3537">
            <w:pPr>
              <w:widowControl w:val="0"/>
              <w:rPr>
                <w:szCs w:val="20"/>
              </w:rPr>
            </w:pPr>
            <w:r w:rsidRPr="003D7743">
              <w:rPr>
                <w:b/>
                <w:bCs/>
                <w:szCs w:val="20"/>
              </w:rPr>
              <w:lastRenderedPageBreak/>
              <w:t>Good</w:t>
            </w:r>
            <w:r w:rsidRPr="003D7743">
              <w:rPr>
                <w:szCs w:val="20"/>
              </w:rPr>
              <w:t xml:space="preserve"> (meeting expectations) </w:t>
            </w:r>
          </w:p>
          <w:p w14:paraId="3CECF901" w14:textId="77777777" w:rsidR="003D7743" w:rsidRPr="003D7743" w:rsidRDefault="003D7743" w:rsidP="008A3537">
            <w:pPr>
              <w:widowControl w:val="0"/>
              <w:rPr>
                <w:szCs w:val="20"/>
              </w:rPr>
            </w:pPr>
            <w:r w:rsidRPr="003D7743">
              <w:rPr>
                <w:szCs w:val="20"/>
              </w:rPr>
              <w:t xml:space="preserve">GPs with good status meet the standard for Adequate, plus: </w:t>
            </w:r>
          </w:p>
        </w:tc>
        <w:tc>
          <w:tcPr>
            <w:tcW w:w="6894"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6BAF94B6" w14:textId="70769D8E" w:rsidR="003D7743" w:rsidRPr="003D7743" w:rsidRDefault="003D7743" w:rsidP="008A3537">
            <w:pPr>
              <w:widowControl w:val="0"/>
              <w:rPr>
                <w:szCs w:val="20"/>
              </w:rPr>
            </w:pPr>
            <w:r w:rsidRPr="003D7743">
              <w:rPr>
                <w:szCs w:val="20"/>
              </w:rPr>
              <w:t xml:space="preserve">From the involvement in the RCA programme, GPs have successfully applied the NDT technology to local industry, and established R&amp;D activities. </w:t>
            </w:r>
          </w:p>
          <w:p w14:paraId="49E8EC46" w14:textId="77777777" w:rsidR="003D7743" w:rsidRPr="003D7743" w:rsidRDefault="003D7743" w:rsidP="008A3537">
            <w:pPr>
              <w:widowControl w:val="0"/>
              <w:rPr>
                <w:szCs w:val="20"/>
              </w:rPr>
            </w:pPr>
            <w:r w:rsidRPr="003D7743">
              <w:rPr>
                <w:szCs w:val="20"/>
              </w:rPr>
              <w:t xml:space="preserve">Participation in the RCA programme results in GPs becoming more concerned and </w:t>
            </w:r>
            <w:proofErr w:type="gramStart"/>
            <w:r w:rsidRPr="003D7743">
              <w:rPr>
                <w:szCs w:val="20"/>
              </w:rPr>
              <w:t>interested, and</w:t>
            </w:r>
            <w:proofErr w:type="gramEnd"/>
            <w:r w:rsidRPr="003D7743">
              <w:rPr>
                <w:szCs w:val="20"/>
              </w:rPr>
              <w:t xml:space="preserve"> starting to apply NDT technology in the industrial sectors for the QA and QC of industrial components. </w:t>
            </w:r>
          </w:p>
        </w:tc>
      </w:tr>
      <w:tr w:rsidR="003D7743" w:rsidRPr="003D7743" w14:paraId="24239C06" w14:textId="77777777" w:rsidTr="008A3537">
        <w:trPr>
          <w:trHeight w:val="855"/>
        </w:trPr>
        <w:tc>
          <w:tcPr>
            <w:tcW w:w="2596"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7B5412D7" w14:textId="77777777" w:rsidR="003D7743" w:rsidRPr="003D7743" w:rsidRDefault="003D7743" w:rsidP="008A3537">
            <w:pPr>
              <w:widowControl w:val="0"/>
              <w:rPr>
                <w:szCs w:val="20"/>
              </w:rPr>
            </w:pPr>
            <w:r w:rsidRPr="003D7743">
              <w:rPr>
                <w:b/>
                <w:bCs/>
                <w:szCs w:val="20"/>
              </w:rPr>
              <w:t>Adequate</w:t>
            </w:r>
            <w:r w:rsidRPr="003D7743">
              <w:rPr>
                <w:szCs w:val="20"/>
              </w:rPr>
              <w:t xml:space="preserve"> (meeting bottom-line expectations) </w:t>
            </w:r>
          </w:p>
        </w:tc>
        <w:tc>
          <w:tcPr>
            <w:tcW w:w="6894"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02A3FF29" w14:textId="11873CC9" w:rsidR="003D7743" w:rsidRPr="003D7743" w:rsidRDefault="003D7743" w:rsidP="008A3537">
            <w:pPr>
              <w:widowControl w:val="0"/>
              <w:rPr>
                <w:szCs w:val="20"/>
              </w:rPr>
            </w:pPr>
            <w:r w:rsidRPr="003D7743">
              <w:rPr>
                <w:szCs w:val="20"/>
              </w:rPr>
              <w:t xml:space="preserve">From the involvement in the RCA programme, GPs have successfully managed to train personnel in the introduced technology. </w:t>
            </w:r>
          </w:p>
          <w:p w14:paraId="68807C0B" w14:textId="77777777" w:rsidR="003D7743" w:rsidRPr="003D7743" w:rsidRDefault="003D7743" w:rsidP="008A3537">
            <w:pPr>
              <w:widowControl w:val="0"/>
              <w:rPr>
                <w:szCs w:val="20"/>
              </w:rPr>
            </w:pPr>
            <w:r w:rsidRPr="003D7743">
              <w:rPr>
                <w:szCs w:val="20"/>
              </w:rPr>
              <w:t xml:space="preserve">Participation in the RCA programme of IAEA results in GPs initiating activities to create awareness among industrial organisations about the benefits of NDT technology for QA and QC. </w:t>
            </w:r>
          </w:p>
        </w:tc>
      </w:tr>
      <w:tr w:rsidR="003D7743" w:rsidRPr="003D7743" w14:paraId="2054CF03" w14:textId="77777777" w:rsidTr="008A3537">
        <w:trPr>
          <w:trHeight w:val="344"/>
        </w:trPr>
        <w:tc>
          <w:tcPr>
            <w:tcW w:w="2596"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05255D7D" w14:textId="77777777" w:rsidR="003D7743" w:rsidRPr="003D7743" w:rsidRDefault="003D7743" w:rsidP="008A3537">
            <w:pPr>
              <w:widowControl w:val="0"/>
              <w:rPr>
                <w:b/>
                <w:bCs/>
                <w:szCs w:val="20"/>
              </w:rPr>
            </w:pPr>
            <w:r w:rsidRPr="003D7743">
              <w:rPr>
                <w:b/>
                <w:bCs/>
                <w:szCs w:val="20"/>
              </w:rPr>
              <w:t xml:space="preserve">Inadequate </w:t>
            </w:r>
          </w:p>
        </w:tc>
        <w:tc>
          <w:tcPr>
            <w:tcW w:w="6894"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05802695" w14:textId="77777777" w:rsidR="003D7743" w:rsidRPr="003D7743" w:rsidRDefault="003D7743" w:rsidP="008A3537">
            <w:pPr>
              <w:widowControl w:val="0"/>
              <w:rPr>
                <w:szCs w:val="20"/>
              </w:rPr>
            </w:pPr>
            <w:r w:rsidRPr="003D7743">
              <w:rPr>
                <w:szCs w:val="20"/>
              </w:rPr>
              <w:t xml:space="preserve">Any of the standards for Adequate are not met. </w:t>
            </w:r>
          </w:p>
        </w:tc>
      </w:tr>
    </w:tbl>
    <w:p w14:paraId="1B896D68" w14:textId="77777777" w:rsidR="008D6FAA" w:rsidRDefault="008D6FAA" w:rsidP="00D17E47"/>
    <w:p w14:paraId="2D5C99FE" w14:textId="77777777" w:rsidR="003D7743" w:rsidRDefault="003D7743" w:rsidP="003D7743">
      <w:pPr>
        <w:pStyle w:val="Caption"/>
      </w:pPr>
      <w:bookmarkStart w:id="41" w:name="_Toc81379296"/>
      <w:r>
        <w:t xml:space="preserve">Table </w:t>
      </w:r>
      <w:r>
        <w:fldChar w:fldCharType="begin"/>
      </w:r>
      <w:r>
        <w:instrText xml:space="preserve"> SEQ Table \* ARABIC </w:instrText>
      </w:r>
      <w:r>
        <w:fldChar w:fldCharType="separate"/>
      </w:r>
      <w:r>
        <w:rPr>
          <w:noProof/>
        </w:rPr>
        <w:t>15</w:t>
      </w:r>
      <w:r>
        <w:fldChar w:fldCharType="end"/>
      </w:r>
      <w:r>
        <w:t>: Rubric for criterion 3: improved health and safety</w:t>
      </w:r>
      <w:bookmarkEnd w:id="41"/>
      <w:r>
        <w:t xml:space="preserve"> </w:t>
      </w:r>
    </w:p>
    <w:tbl>
      <w:tblPr>
        <w:tblW w:w="9490" w:type="dxa"/>
        <w:tblLayout w:type="fixed"/>
        <w:tblLook w:val="0600" w:firstRow="0" w:lastRow="0" w:firstColumn="0" w:lastColumn="0" w:noHBand="1" w:noVBand="1"/>
      </w:tblPr>
      <w:tblGrid>
        <w:gridCol w:w="2595"/>
        <w:gridCol w:w="6895"/>
      </w:tblGrid>
      <w:tr w:rsidR="003D7743" w:rsidRPr="003D7743" w14:paraId="2380E9C7" w14:textId="77777777" w:rsidTr="008A3537">
        <w:trPr>
          <w:trHeight w:val="321"/>
        </w:trPr>
        <w:tc>
          <w:tcPr>
            <w:tcW w:w="25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44A2103B" w14:textId="77777777" w:rsidR="003D7743" w:rsidRPr="003D7743" w:rsidRDefault="003D7743" w:rsidP="008A3537">
            <w:pPr>
              <w:widowControl w:val="0"/>
              <w:rPr>
                <w:b/>
                <w:bCs/>
                <w:szCs w:val="20"/>
              </w:rPr>
            </w:pPr>
            <w:r w:rsidRPr="003D7743">
              <w:rPr>
                <w:b/>
                <w:bCs/>
                <w:szCs w:val="20"/>
              </w:rPr>
              <w:t>Standard (to be applied to each GP)</w:t>
            </w:r>
          </w:p>
        </w:tc>
        <w:tc>
          <w:tcPr>
            <w:tcW w:w="68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185582A0" w14:textId="77777777" w:rsidR="003D7743" w:rsidRPr="003D7743" w:rsidRDefault="003D7743" w:rsidP="008A3537">
            <w:pPr>
              <w:widowControl w:val="0"/>
              <w:rPr>
                <w:b/>
                <w:bCs/>
                <w:szCs w:val="20"/>
              </w:rPr>
            </w:pPr>
            <w:r w:rsidRPr="003D7743">
              <w:rPr>
                <w:b/>
                <w:bCs/>
                <w:szCs w:val="20"/>
              </w:rPr>
              <w:t xml:space="preserve">Criterion 3: Improved health and safety </w:t>
            </w:r>
          </w:p>
        </w:tc>
      </w:tr>
      <w:tr w:rsidR="003D7743" w:rsidRPr="003D7743" w14:paraId="1E090ADD" w14:textId="77777777" w:rsidTr="008A3537">
        <w:trPr>
          <w:trHeight w:val="1232"/>
        </w:trPr>
        <w:tc>
          <w:tcPr>
            <w:tcW w:w="25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2CE7159E" w14:textId="0C33A997" w:rsidR="003D7743" w:rsidRPr="003D7743" w:rsidRDefault="003D7743" w:rsidP="008A3537">
            <w:pPr>
              <w:widowControl w:val="0"/>
              <w:rPr>
                <w:szCs w:val="20"/>
              </w:rPr>
            </w:pPr>
            <w:r w:rsidRPr="003D7743">
              <w:rPr>
                <w:b/>
                <w:bCs/>
                <w:szCs w:val="20"/>
              </w:rPr>
              <w:t>Excellent</w:t>
            </w:r>
            <w:r w:rsidRPr="003D7743">
              <w:rPr>
                <w:szCs w:val="20"/>
              </w:rPr>
              <w:t xml:space="preserve"> (exceeding expectations) </w:t>
            </w:r>
          </w:p>
          <w:p w14:paraId="3835277D" w14:textId="77777777" w:rsidR="003D7743" w:rsidRPr="003D7743" w:rsidRDefault="003D7743" w:rsidP="008A3537">
            <w:pPr>
              <w:widowControl w:val="0"/>
              <w:rPr>
                <w:szCs w:val="20"/>
              </w:rPr>
            </w:pPr>
            <w:r w:rsidRPr="003D7743">
              <w:rPr>
                <w:szCs w:val="20"/>
              </w:rPr>
              <w:t xml:space="preserve">GPs with excellent status meet the standard for Good, plus: </w:t>
            </w:r>
          </w:p>
        </w:tc>
        <w:tc>
          <w:tcPr>
            <w:tcW w:w="68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6A38BF1F" w14:textId="77777777" w:rsidR="003D7743" w:rsidRPr="003D7743" w:rsidRDefault="003D7743" w:rsidP="008A3537">
            <w:pPr>
              <w:widowControl w:val="0"/>
              <w:rPr>
                <w:szCs w:val="20"/>
              </w:rPr>
            </w:pPr>
            <w:r w:rsidRPr="003D7743">
              <w:rPr>
                <w:szCs w:val="20"/>
              </w:rPr>
              <w:t xml:space="preserve">As a result of participation in the RCA program of IAEA, GPs have been applying NDT technology in the industrial sectors as set by countries’ industrial laws for the QA and QC of industrial components - resulting </w:t>
            </w:r>
            <w:proofErr w:type="gramStart"/>
            <w:r w:rsidRPr="003D7743">
              <w:rPr>
                <w:szCs w:val="20"/>
              </w:rPr>
              <w:t>in  improved</w:t>
            </w:r>
            <w:proofErr w:type="gramEnd"/>
            <w:r w:rsidRPr="003D7743">
              <w:rPr>
                <w:szCs w:val="20"/>
              </w:rPr>
              <w:t xml:space="preserve"> health and safety outcomes (i.e. fewer deaths and injuries) and/or reduced environmental pollution. </w:t>
            </w:r>
          </w:p>
        </w:tc>
      </w:tr>
      <w:tr w:rsidR="003D7743" w:rsidRPr="003D7743" w14:paraId="529AA32E" w14:textId="77777777" w:rsidTr="008A3537">
        <w:trPr>
          <w:trHeight w:val="663"/>
        </w:trPr>
        <w:tc>
          <w:tcPr>
            <w:tcW w:w="25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02C249D0" w14:textId="65FBB9BC" w:rsidR="003D7743" w:rsidRPr="003D7743" w:rsidRDefault="003D7743" w:rsidP="008A3537">
            <w:pPr>
              <w:widowControl w:val="0"/>
              <w:rPr>
                <w:szCs w:val="20"/>
              </w:rPr>
            </w:pPr>
            <w:r w:rsidRPr="003D7743">
              <w:rPr>
                <w:b/>
                <w:bCs/>
                <w:szCs w:val="20"/>
              </w:rPr>
              <w:t>Good</w:t>
            </w:r>
            <w:r w:rsidRPr="003D7743">
              <w:rPr>
                <w:szCs w:val="20"/>
              </w:rPr>
              <w:t xml:space="preserve"> (meeting expectations) </w:t>
            </w:r>
          </w:p>
          <w:p w14:paraId="72966469" w14:textId="77777777" w:rsidR="003D7743" w:rsidRPr="003D7743" w:rsidRDefault="003D7743" w:rsidP="008A3537">
            <w:pPr>
              <w:widowControl w:val="0"/>
              <w:rPr>
                <w:szCs w:val="20"/>
              </w:rPr>
            </w:pPr>
            <w:r w:rsidRPr="003D7743">
              <w:rPr>
                <w:szCs w:val="20"/>
              </w:rPr>
              <w:t xml:space="preserve">GPs with good status meet the standard for Adequate, plus: </w:t>
            </w:r>
          </w:p>
        </w:tc>
        <w:tc>
          <w:tcPr>
            <w:tcW w:w="68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0E9704AA" w14:textId="77777777" w:rsidR="003D7743" w:rsidRPr="003D7743" w:rsidRDefault="003D7743" w:rsidP="008A3537">
            <w:pPr>
              <w:widowControl w:val="0"/>
              <w:rPr>
                <w:szCs w:val="20"/>
              </w:rPr>
            </w:pPr>
            <w:r w:rsidRPr="003D7743">
              <w:rPr>
                <w:szCs w:val="20"/>
              </w:rPr>
              <w:t xml:space="preserve">Participation in the RCA program of IAEA results in GPs applying NDT technology for safer operation of nuclear and other industrial installations. </w:t>
            </w:r>
          </w:p>
        </w:tc>
      </w:tr>
      <w:tr w:rsidR="003D7743" w:rsidRPr="003D7743" w14:paraId="4B5D670B" w14:textId="77777777" w:rsidTr="003D7743">
        <w:trPr>
          <w:trHeight w:val="12"/>
        </w:trPr>
        <w:tc>
          <w:tcPr>
            <w:tcW w:w="25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1173091C" w14:textId="77777777" w:rsidR="003D7743" w:rsidRPr="003D7743" w:rsidRDefault="003D7743" w:rsidP="008A3537">
            <w:pPr>
              <w:widowControl w:val="0"/>
              <w:rPr>
                <w:szCs w:val="20"/>
              </w:rPr>
            </w:pPr>
            <w:r w:rsidRPr="003D7743">
              <w:rPr>
                <w:b/>
                <w:bCs/>
                <w:szCs w:val="20"/>
              </w:rPr>
              <w:t>Adequate</w:t>
            </w:r>
            <w:r w:rsidRPr="003D7743">
              <w:rPr>
                <w:szCs w:val="20"/>
              </w:rPr>
              <w:t xml:space="preserve"> (meeting bottom-line expectations) </w:t>
            </w:r>
          </w:p>
        </w:tc>
        <w:tc>
          <w:tcPr>
            <w:tcW w:w="68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05313225" w14:textId="77777777" w:rsidR="003D7743" w:rsidRPr="003D7743" w:rsidRDefault="003D7743" w:rsidP="008A3537">
            <w:pPr>
              <w:widowControl w:val="0"/>
              <w:rPr>
                <w:szCs w:val="20"/>
              </w:rPr>
            </w:pPr>
            <w:r w:rsidRPr="003D7743">
              <w:rPr>
                <w:szCs w:val="20"/>
              </w:rPr>
              <w:t xml:space="preserve">Participation in the RCA program of IAEA results in GPs becoming more aware of the benefits of NDT technology for safer operation of nuclear and other industrial installations. </w:t>
            </w:r>
          </w:p>
        </w:tc>
      </w:tr>
      <w:tr w:rsidR="003D7743" w:rsidRPr="003D7743" w14:paraId="74350B1E" w14:textId="77777777" w:rsidTr="008A3537">
        <w:trPr>
          <w:trHeight w:val="310"/>
        </w:trPr>
        <w:tc>
          <w:tcPr>
            <w:tcW w:w="25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5946F446" w14:textId="77777777" w:rsidR="003D7743" w:rsidRPr="003D7743" w:rsidRDefault="003D7743" w:rsidP="008A3537">
            <w:pPr>
              <w:widowControl w:val="0"/>
              <w:rPr>
                <w:b/>
                <w:bCs/>
                <w:szCs w:val="20"/>
              </w:rPr>
            </w:pPr>
            <w:r w:rsidRPr="003D7743">
              <w:rPr>
                <w:b/>
                <w:bCs/>
                <w:szCs w:val="20"/>
              </w:rPr>
              <w:t xml:space="preserve">Inadequate </w:t>
            </w:r>
          </w:p>
        </w:tc>
        <w:tc>
          <w:tcPr>
            <w:tcW w:w="68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1216151F" w14:textId="77777777" w:rsidR="003D7743" w:rsidRPr="003D7743" w:rsidRDefault="003D7743" w:rsidP="008A3537">
            <w:pPr>
              <w:widowControl w:val="0"/>
              <w:rPr>
                <w:szCs w:val="20"/>
              </w:rPr>
            </w:pPr>
            <w:r w:rsidRPr="003D7743">
              <w:rPr>
                <w:szCs w:val="20"/>
              </w:rPr>
              <w:t xml:space="preserve">Standard for Adequate not met </w:t>
            </w:r>
          </w:p>
        </w:tc>
      </w:tr>
    </w:tbl>
    <w:p w14:paraId="0236FB70" w14:textId="02DE8337" w:rsidR="003D7743" w:rsidRDefault="003D7743" w:rsidP="003D7743">
      <w:pPr>
        <w:pStyle w:val="Caption"/>
      </w:pPr>
      <w:r>
        <w:t xml:space="preserve"> </w:t>
      </w:r>
    </w:p>
    <w:p w14:paraId="6D9FE7F5" w14:textId="77777777" w:rsidR="003D7743" w:rsidRDefault="003D7743" w:rsidP="00D17E47"/>
    <w:p w14:paraId="0391049D" w14:textId="77777777" w:rsidR="003D7743" w:rsidRDefault="003D7743" w:rsidP="003D7743">
      <w:pPr>
        <w:pStyle w:val="Caption"/>
      </w:pPr>
      <w:bookmarkStart w:id="42" w:name="_Toc81379297"/>
      <w:r>
        <w:t xml:space="preserve">Table </w:t>
      </w:r>
      <w:r>
        <w:fldChar w:fldCharType="begin"/>
      </w:r>
      <w:r>
        <w:instrText xml:space="preserve"> SEQ Table \* ARABIC </w:instrText>
      </w:r>
      <w:r>
        <w:fldChar w:fldCharType="separate"/>
      </w:r>
      <w:r>
        <w:rPr>
          <w:noProof/>
        </w:rPr>
        <w:t>15</w:t>
      </w:r>
      <w:r>
        <w:fldChar w:fldCharType="end"/>
      </w:r>
      <w:r>
        <w:t>: Rubric for criterion 4: economic value</w:t>
      </w:r>
      <w:bookmarkEnd w:id="42"/>
      <w:r>
        <w:t xml:space="preserve"> </w:t>
      </w:r>
    </w:p>
    <w:tbl>
      <w:tblPr>
        <w:tblW w:w="9490" w:type="dxa"/>
        <w:tblLayout w:type="fixed"/>
        <w:tblLook w:val="0600" w:firstRow="0" w:lastRow="0" w:firstColumn="0" w:lastColumn="0" w:noHBand="1" w:noVBand="1"/>
      </w:tblPr>
      <w:tblGrid>
        <w:gridCol w:w="2595"/>
        <w:gridCol w:w="6895"/>
      </w:tblGrid>
      <w:tr w:rsidR="003D7743" w:rsidRPr="003D7743" w14:paraId="6019649D" w14:textId="77777777" w:rsidTr="008B6C24">
        <w:trPr>
          <w:trHeight w:val="405"/>
        </w:trPr>
        <w:tc>
          <w:tcPr>
            <w:tcW w:w="25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4CC7E65C" w14:textId="7F86520A" w:rsidR="003D7743" w:rsidRPr="003D7743" w:rsidRDefault="003D7743" w:rsidP="008A3537">
            <w:pPr>
              <w:widowControl w:val="0"/>
              <w:rPr>
                <w:b/>
                <w:bCs/>
                <w:szCs w:val="20"/>
              </w:rPr>
            </w:pPr>
            <w:r w:rsidRPr="003D7743">
              <w:rPr>
                <w:b/>
                <w:bCs/>
                <w:szCs w:val="20"/>
              </w:rPr>
              <w:lastRenderedPageBreak/>
              <w:t xml:space="preserve">Standard (apply to GPs collectively) </w:t>
            </w:r>
          </w:p>
        </w:tc>
        <w:tc>
          <w:tcPr>
            <w:tcW w:w="68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2BDD33CF" w14:textId="77777777" w:rsidR="003D7743" w:rsidRPr="003D7743" w:rsidRDefault="003D7743" w:rsidP="008A3537">
            <w:pPr>
              <w:widowControl w:val="0"/>
              <w:rPr>
                <w:b/>
                <w:bCs/>
                <w:szCs w:val="20"/>
              </w:rPr>
            </w:pPr>
            <w:r w:rsidRPr="003D7743">
              <w:rPr>
                <w:b/>
                <w:bCs/>
                <w:szCs w:val="20"/>
              </w:rPr>
              <w:t xml:space="preserve">Criterion 4: Economic value </w:t>
            </w:r>
          </w:p>
        </w:tc>
      </w:tr>
      <w:tr w:rsidR="003D7743" w:rsidRPr="003D7743" w14:paraId="1F58CCB1" w14:textId="77777777" w:rsidTr="008A3537">
        <w:trPr>
          <w:trHeight w:val="1189"/>
        </w:trPr>
        <w:tc>
          <w:tcPr>
            <w:tcW w:w="25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2E5730CE" w14:textId="655CEE0C" w:rsidR="003D7743" w:rsidRPr="003D7743" w:rsidRDefault="003D7743" w:rsidP="008A3537">
            <w:pPr>
              <w:widowControl w:val="0"/>
              <w:rPr>
                <w:szCs w:val="20"/>
              </w:rPr>
            </w:pPr>
            <w:r w:rsidRPr="003D7743">
              <w:rPr>
                <w:b/>
                <w:bCs/>
                <w:szCs w:val="20"/>
              </w:rPr>
              <w:t>Excellent</w:t>
            </w:r>
            <w:r w:rsidRPr="003D7743">
              <w:rPr>
                <w:szCs w:val="20"/>
              </w:rPr>
              <w:t xml:space="preserve"> (exceeding expectations) </w:t>
            </w:r>
          </w:p>
          <w:p w14:paraId="61F815F1" w14:textId="77777777" w:rsidR="003D7743" w:rsidRPr="003D7743" w:rsidRDefault="003D7743" w:rsidP="008A3537">
            <w:pPr>
              <w:widowControl w:val="0"/>
              <w:rPr>
                <w:szCs w:val="20"/>
              </w:rPr>
            </w:pPr>
            <w:r w:rsidRPr="003D7743">
              <w:rPr>
                <w:szCs w:val="20"/>
              </w:rPr>
              <w:t xml:space="preserve">Meets the standard for Good, plus: </w:t>
            </w:r>
          </w:p>
        </w:tc>
        <w:tc>
          <w:tcPr>
            <w:tcW w:w="68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0103CD0B" w14:textId="39252BC9" w:rsidR="003D7743" w:rsidRPr="003D7743" w:rsidRDefault="003D7743" w:rsidP="008A3537">
            <w:pPr>
              <w:widowControl w:val="0"/>
              <w:rPr>
                <w:szCs w:val="20"/>
              </w:rPr>
            </w:pPr>
            <w:r w:rsidRPr="003D7743">
              <w:rPr>
                <w:szCs w:val="20"/>
              </w:rPr>
              <w:t xml:space="preserve">Economic analysis suggests with a high level of certainty that the investment created more value than it consumed. </w:t>
            </w:r>
          </w:p>
          <w:p w14:paraId="09DDDC4B" w14:textId="77777777" w:rsidR="003D7743" w:rsidRPr="003D7743" w:rsidRDefault="003D7743" w:rsidP="008A3537">
            <w:pPr>
              <w:widowControl w:val="0"/>
              <w:rPr>
                <w:szCs w:val="20"/>
              </w:rPr>
            </w:pPr>
            <w:r w:rsidRPr="003D7743">
              <w:rPr>
                <w:szCs w:val="20"/>
              </w:rPr>
              <w:t>Break-even is likely in nearly all scenarios (even under conservative assumptions).</w:t>
            </w:r>
          </w:p>
        </w:tc>
      </w:tr>
      <w:tr w:rsidR="003D7743" w:rsidRPr="003D7743" w14:paraId="1AD6FE70" w14:textId="77777777" w:rsidTr="008A3537">
        <w:trPr>
          <w:trHeight w:val="1140"/>
        </w:trPr>
        <w:tc>
          <w:tcPr>
            <w:tcW w:w="25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2B7226AD" w14:textId="620D874C" w:rsidR="003D7743" w:rsidRPr="003D7743" w:rsidRDefault="003D7743" w:rsidP="008A3537">
            <w:pPr>
              <w:widowControl w:val="0"/>
              <w:rPr>
                <w:szCs w:val="20"/>
              </w:rPr>
            </w:pPr>
            <w:r w:rsidRPr="003D7743">
              <w:rPr>
                <w:b/>
                <w:bCs/>
                <w:szCs w:val="20"/>
              </w:rPr>
              <w:t>Good</w:t>
            </w:r>
            <w:r w:rsidRPr="003D7743">
              <w:rPr>
                <w:szCs w:val="20"/>
              </w:rPr>
              <w:t xml:space="preserve"> (meeting expectations) </w:t>
            </w:r>
          </w:p>
          <w:p w14:paraId="5542860A" w14:textId="77777777" w:rsidR="003D7743" w:rsidRPr="003D7743" w:rsidRDefault="003D7743" w:rsidP="008A3537">
            <w:pPr>
              <w:widowControl w:val="0"/>
              <w:rPr>
                <w:szCs w:val="20"/>
              </w:rPr>
            </w:pPr>
            <w:r w:rsidRPr="003D7743">
              <w:rPr>
                <w:szCs w:val="20"/>
              </w:rPr>
              <w:t xml:space="preserve">Meets the standard for Adequate, plus: </w:t>
            </w:r>
          </w:p>
        </w:tc>
        <w:tc>
          <w:tcPr>
            <w:tcW w:w="68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176B5D7A" w14:textId="3C0C612D" w:rsidR="003D7743" w:rsidRPr="003D7743" w:rsidRDefault="003D7743" w:rsidP="008A3537">
            <w:pPr>
              <w:widowControl w:val="0"/>
              <w:rPr>
                <w:szCs w:val="20"/>
              </w:rPr>
            </w:pPr>
            <w:r w:rsidRPr="003D7743">
              <w:rPr>
                <w:szCs w:val="20"/>
              </w:rPr>
              <w:t xml:space="preserve">Economic analysis suggests more likely than not, the investment created more value than it consumed. </w:t>
            </w:r>
          </w:p>
          <w:p w14:paraId="0CEDD37C" w14:textId="77777777" w:rsidR="003D7743" w:rsidRPr="003D7743" w:rsidRDefault="003D7743" w:rsidP="008A3537">
            <w:pPr>
              <w:widowControl w:val="0"/>
              <w:rPr>
                <w:szCs w:val="20"/>
              </w:rPr>
            </w:pPr>
            <w:r w:rsidRPr="003D7743">
              <w:rPr>
                <w:szCs w:val="20"/>
              </w:rPr>
              <w:t>Break-even is likely in over half the range of scenarios (and under realistic mid-range assumptions)</w:t>
            </w:r>
          </w:p>
        </w:tc>
      </w:tr>
      <w:tr w:rsidR="003D7743" w:rsidRPr="003D7743" w14:paraId="28D01E71" w14:textId="77777777" w:rsidTr="008A3537">
        <w:trPr>
          <w:trHeight w:val="393"/>
        </w:trPr>
        <w:tc>
          <w:tcPr>
            <w:tcW w:w="25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44EBBF9E" w14:textId="77777777" w:rsidR="003D7743" w:rsidRPr="003D7743" w:rsidRDefault="003D7743" w:rsidP="008A3537">
            <w:pPr>
              <w:widowControl w:val="0"/>
              <w:rPr>
                <w:szCs w:val="20"/>
              </w:rPr>
            </w:pPr>
            <w:r w:rsidRPr="003D7743">
              <w:rPr>
                <w:b/>
                <w:bCs/>
                <w:szCs w:val="20"/>
              </w:rPr>
              <w:t>Adequate</w:t>
            </w:r>
            <w:r w:rsidRPr="003D7743">
              <w:rPr>
                <w:szCs w:val="20"/>
              </w:rPr>
              <w:t xml:space="preserve"> (meeting bottom-line expectations) </w:t>
            </w:r>
          </w:p>
        </w:tc>
        <w:tc>
          <w:tcPr>
            <w:tcW w:w="68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0B44F192" w14:textId="3EEBC636" w:rsidR="003D7743" w:rsidRPr="003D7743" w:rsidRDefault="003D7743" w:rsidP="008A3537">
            <w:pPr>
              <w:widowControl w:val="0"/>
              <w:rPr>
                <w:szCs w:val="20"/>
              </w:rPr>
            </w:pPr>
            <w:r w:rsidRPr="003D7743">
              <w:rPr>
                <w:szCs w:val="20"/>
              </w:rPr>
              <w:t xml:space="preserve">Economic analysis suggests that under some scenarios, the investment created more value than it consumed. </w:t>
            </w:r>
          </w:p>
          <w:p w14:paraId="6EF42F86" w14:textId="77777777" w:rsidR="003D7743" w:rsidRPr="003D7743" w:rsidRDefault="003D7743" w:rsidP="008A3537">
            <w:pPr>
              <w:widowControl w:val="0"/>
              <w:rPr>
                <w:szCs w:val="20"/>
              </w:rPr>
            </w:pPr>
            <w:r w:rsidRPr="003D7743">
              <w:rPr>
                <w:szCs w:val="20"/>
              </w:rPr>
              <w:t>Break-even is possible (under plausible assumptions)</w:t>
            </w:r>
          </w:p>
        </w:tc>
      </w:tr>
      <w:tr w:rsidR="003D7743" w:rsidRPr="003D7743" w14:paraId="0763835C" w14:textId="77777777" w:rsidTr="008A3537">
        <w:trPr>
          <w:trHeight w:val="190"/>
        </w:trPr>
        <w:tc>
          <w:tcPr>
            <w:tcW w:w="25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532CAB24" w14:textId="77777777" w:rsidR="003D7743" w:rsidRPr="003D7743" w:rsidRDefault="003D7743" w:rsidP="008A3537">
            <w:pPr>
              <w:widowControl w:val="0"/>
              <w:rPr>
                <w:b/>
                <w:bCs/>
                <w:szCs w:val="20"/>
              </w:rPr>
            </w:pPr>
            <w:r w:rsidRPr="003D7743">
              <w:rPr>
                <w:b/>
                <w:bCs/>
                <w:szCs w:val="20"/>
              </w:rPr>
              <w:t xml:space="preserve">Inadequate </w:t>
            </w:r>
          </w:p>
        </w:tc>
        <w:tc>
          <w:tcPr>
            <w:tcW w:w="6895" w:type="dxa"/>
            <w:tcBorders>
              <w:top w:val="single" w:sz="6" w:space="0" w:color="CCCCCC"/>
              <w:left w:val="single" w:sz="6" w:space="0" w:color="CCCCCC"/>
              <w:bottom w:val="single" w:sz="6" w:space="0" w:color="CCCCCC"/>
              <w:right w:val="single" w:sz="6" w:space="0" w:color="CCCCCC"/>
            </w:tcBorders>
            <w:tcMar>
              <w:top w:w="160" w:type="dxa"/>
              <w:left w:w="160" w:type="dxa"/>
              <w:bottom w:w="160" w:type="dxa"/>
              <w:right w:w="160" w:type="dxa"/>
            </w:tcMar>
          </w:tcPr>
          <w:p w14:paraId="73AE78F7" w14:textId="77777777" w:rsidR="003D7743" w:rsidRPr="003D7743" w:rsidRDefault="003D7743" w:rsidP="008A3537">
            <w:pPr>
              <w:widowControl w:val="0"/>
              <w:rPr>
                <w:szCs w:val="20"/>
              </w:rPr>
            </w:pPr>
            <w:r w:rsidRPr="003D7743">
              <w:rPr>
                <w:szCs w:val="20"/>
              </w:rPr>
              <w:t>Break-even is unlikely (or only possible under optimistic assumptions)</w:t>
            </w:r>
          </w:p>
        </w:tc>
      </w:tr>
    </w:tbl>
    <w:p w14:paraId="550892C6" w14:textId="3CA4A184" w:rsidR="003D7743" w:rsidRDefault="003D7743" w:rsidP="003D7743">
      <w:pPr>
        <w:pStyle w:val="Caption"/>
        <w:sectPr w:rsidR="003D7743" w:rsidSect="003D7743">
          <w:pgSz w:w="11906" w:h="16838" w:code="9"/>
          <w:pgMar w:top="1440" w:right="1843" w:bottom="1440" w:left="1843" w:header="709" w:footer="709" w:gutter="0"/>
          <w:cols w:space="1230"/>
          <w:docGrid w:linePitch="360"/>
        </w:sectPr>
      </w:pPr>
    </w:p>
    <w:p w14:paraId="44F38B93" w14:textId="77777777" w:rsidR="00596BA7" w:rsidRDefault="00596BA7" w:rsidP="00714F6D">
      <w:pPr>
        <w:pStyle w:val="Heading4"/>
      </w:pPr>
      <w:r>
        <w:lastRenderedPageBreak/>
        <w:t xml:space="preserve">Evidence for the assessment </w:t>
      </w:r>
    </w:p>
    <w:p w14:paraId="4E3E517B" w14:textId="77777777" w:rsidR="00910009" w:rsidRDefault="00910009" w:rsidP="00596BA7">
      <w:r>
        <w:t xml:space="preserve">The theory of change, criteria and standards provided important points of reference to identify what evidence is needed for the impact assessment. </w:t>
      </w:r>
      <w:r w:rsidR="00D201B4">
        <w:t xml:space="preserve">For this reason, selection of methods was undertaken after clarifying the theory of change, criteria and standards. This sequence of steps helps to ensure that the evidence is relevant and focuses on the right changes (King &amp; OPM, 2018). </w:t>
      </w:r>
    </w:p>
    <w:p w14:paraId="609B9ECC" w14:textId="19CB706A" w:rsidR="00296006" w:rsidRDefault="00D201B4" w:rsidP="00296006">
      <w:r>
        <w:t>Examination of the rubric above revealed that</w:t>
      </w:r>
      <w:r w:rsidR="00296006">
        <w:t xml:space="preserve"> the social and economic impacts of </w:t>
      </w:r>
      <w:r w:rsidR="004826EA">
        <w:t xml:space="preserve">the </w:t>
      </w:r>
      <w:r w:rsidR="00296006">
        <w:t>RCA are diverse, and</w:t>
      </w:r>
      <w:r>
        <w:t xml:space="preserve"> a mix of quantitative, qualitative and economic evidence was needed for the impact assessment. </w:t>
      </w:r>
      <w:r w:rsidR="00296006">
        <w:t xml:space="preserve">For example, </w:t>
      </w:r>
      <w:r w:rsidR="00F5598A" w:rsidRPr="00F5598A">
        <w:rPr>
          <w:highlight w:val="yellow"/>
        </w:rPr>
        <w:t>[xxxx]</w:t>
      </w:r>
      <w:r w:rsidR="00296006">
        <w:t xml:space="preserve"> </w:t>
      </w:r>
      <w:r w:rsidR="00F5598A">
        <w:t>has</w:t>
      </w:r>
      <w:r w:rsidR="00296006">
        <w:t xml:space="preserve"> a monetary value that is relatively simple to estimate. However, </w:t>
      </w:r>
      <w:r w:rsidR="00F5598A" w:rsidRPr="00F5598A">
        <w:rPr>
          <w:highlight w:val="yellow"/>
        </w:rPr>
        <w:t>[xxxx]</w:t>
      </w:r>
      <w:r w:rsidR="00296006">
        <w:t xml:space="preserve">. Inclusion of additional methods and data sources enabled assessment of wider impacts and value such as </w:t>
      </w:r>
      <w:r w:rsidR="00F5598A" w:rsidRPr="00F5598A">
        <w:rPr>
          <w:highlight w:val="yellow"/>
        </w:rPr>
        <w:t>[xxxx]</w:t>
      </w:r>
      <w:r w:rsidR="00296006">
        <w:t xml:space="preserve">. </w:t>
      </w:r>
    </w:p>
    <w:p w14:paraId="47C8B5AC" w14:textId="65DC27D8" w:rsidR="00596BA7" w:rsidRDefault="00D201B4" w:rsidP="00596BA7">
      <w:r>
        <w:t>Accordingly, the case study used</w:t>
      </w:r>
      <w:r w:rsidR="00596BA7">
        <w:t xml:space="preserve"> a mix of methods, including: </w:t>
      </w:r>
    </w:p>
    <w:p w14:paraId="79EE6717" w14:textId="77777777" w:rsidR="00596BA7" w:rsidRDefault="00596BA7" w:rsidP="00596BA7">
      <w:pPr>
        <w:pStyle w:val="Bullet"/>
        <w:rPr>
          <w:sz w:val="20"/>
          <w:szCs w:val="20"/>
        </w:rPr>
      </w:pPr>
      <w:r>
        <w:rPr>
          <w:sz w:val="20"/>
          <w:szCs w:val="20"/>
        </w:rPr>
        <w:t xml:space="preserve">An online questionnaire deployed to all countries in the RCA </w:t>
      </w:r>
    </w:p>
    <w:p w14:paraId="49F5D4DE" w14:textId="075B95A3" w:rsidR="00596BA7" w:rsidRDefault="00596BA7" w:rsidP="00596BA7">
      <w:pPr>
        <w:pStyle w:val="Bullet"/>
        <w:rPr>
          <w:sz w:val="20"/>
          <w:szCs w:val="20"/>
        </w:rPr>
      </w:pPr>
      <w:r>
        <w:rPr>
          <w:sz w:val="20"/>
          <w:szCs w:val="20"/>
        </w:rPr>
        <w:t xml:space="preserve">Analysis of administrative data on </w:t>
      </w:r>
      <w:r w:rsidR="00F5598A">
        <w:rPr>
          <w:sz w:val="20"/>
          <w:szCs w:val="20"/>
        </w:rPr>
        <w:t>non-destructive testing</w:t>
      </w:r>
      <w:r>
        <w:rPr>
          <w:sz w:val="20"/>
          <w:szCs w:val="20"/>
        </w:rPr>
        <w:t xml:space="preserve"> activity and costs, provided by IAEA </w:t>
      </w:r>
    </w:p>
    <w:p w14:paraId="44773C8B" w14:textId="22BC2D3D" w:rsidR="001D1EFD" w:rsidRDefault="001D1EFD" w:rsidP="00596BA7">
      <w:pPr>
        <w:pStyle w:val="Bullet"/>
        <w:rPr>
          <w:sz w:val="20"/>
          <w:szCs w:val="20"/>
        </w:rPr>
      </w:pPr>
      <w:r>
        <w:rPr>
          <w:sz w:val="20"/>
          <w:szCs w:val="20"/>
        </w:rPr>
        <w:t>G</w:t>
      </w:r>
      <w:r w:rsidRPr="00870497">
        <w:rPr>
          <w:sz w:val="20"/>
          <w:szCs w:val="20"/>
        </w:rPr>
        <w:t xml:space="preserve">athering </w:t>
      </w:r>
      <w:r>
        <w:rPr>
          <w:sz w:val="20"/>
          <w:szCs w:val="20"/>
        </w:rPr>
        <w:t xml:space="preserve">additional </w:t>
      </w:r>
      <w:r w:rsidRPr="00870497">
        <w:rPr>
          <w:sz w:val="20"/>
          <w:szCs w:val="20"/>
        </w:rPr>
        <w:t xml:space="preserve">information from </w:t>
      </w:r>
      <w:r w:rsidR="00F5598A">
        <w:rPr>
          <w:sz w:val="20"/>
          <w:szCs w:val="20"/>
        </w:rPr>
        <w:t xml:space="preserve">non-destructive testing </w:t>
      </w:r>
      <w:r w:rsidRPr="00870497">
        <w:rPr>
          <w:sz w:val="20"/>
          <w:szCs w:val="20"/>
        </w:rPr>
        <w:t>experts at the IAEA and GPs</w:t>
      </w:r>
      <w:r>
        <w:rPr>
          <w:sz w:val="20"/>
          <w:szCs w:val="20"/>
        </w:rPr>
        <w:t xml:space="preserve"> </w:t>
      </w:r>
    </w:p>
    <w:p w14:paraId="76F417B2" w14:textId="781B8B12" w:rsidR="00596BA7" w:rsidRDefault="00596BA7" w:rsidP="00596BA7">
      <w:pPr>
        <w:pStyle w:val="Bullet"/>
        <w:rPr>
          <w:sz w:val="20"/>
          <w:szCs w:val="20"/>
        </w:rPr>
      </w:pPr>
      <w:r>
        <w:rPr>
          <w:sz w:val="20"/>
          <w:szCs w:val="20"/>
        </w:rPr>
        <w:t xml:space="preserve">Narrative case examples, written from details provided by selected countries on a selection of ‘success cases’ of </w:t>
      </w:r>
      <w:r w:rsidR="00F5598A">
        <w:rPr>
          <w:sz w:val="20"/>
          <w:szCs w:val="20"/>
        </w:rPr>
        <w:t>non-destructive testing</w:t>
      </w:r>
    </w:p>
    <w:p w14:paraId="0D3DF9B5" w14:textId="0105F176" w:rsidR="00596BA7" w:rsidRPr="00E53173" w:rsidRDefault="00596BA7" w:rsidP="00596BA7">
      <w:pPr>
        <w:pStyle w:val="Bullet"/>
        <w:rPr>
          <w:sz w:val="20"/>
          <w:szCs w:val="20"/>
        </w:rPr>
      </w:pPr>
      <w:r>
        <w:rPr>
          <w:sz w:val="20"/>
          <w:szCs w:val="20"/>
        </w:rPr>
        <w:t xml:space="preserve">Economic analysis of costs and benefits of </w:t>
      </w:r>
      <w:r w:rsidR="00F5598A">
        <w:rPr>
          <w:sz w:val="20"/>
          <w:szCs w:val="20"/>
        </w:rPr>
        <w:t xml:space="preserve">non-destructive testing projects </w:t>
      </w:r>
      <w:r>
        <w:rPr>
          <w:sz w:val="20"/>
          <w:szCs w:val="20"/>
        </w:rPr>
        <w:t xml:space="preserve">under the RCA. </w:t>
      </w:r>
    </w:p>
    <w:p w14:paraId="52033295" w14:textId="77777777" w:rsidR="00DC2B32" w:rsidRDefault="00072D79" w:rsidP="00714F6D">
      <w:pPr>
        <w:pStyle w:val="Heading4"/>
      </w:pPr>
      <w:r>
        <w:t xml:space="preserve">Online questionnaire </w:t>
      </w:r>
    </w:p>
    <w:p w14:paraId="5FB87065" w14:textId="6731FA9F" w:rsidR="00DC2B32" w:rsidRDefault="00DC2B32" w:rsidP="00DC2B32">
      <w:pPr>
        <w:rPr>
          <w:lang w:val="en-NZ"/>
        </w:rPr>
      </w:pPr>
      <w:r w:rsidRPr="0071069F">
        <w:rPr>
          <w:lang w:val="en-NZ"/>
        </w:rPr>
        <w:t xml:space="preserve">The online questionnaire was developed in </w:t>
      </w:r>
      <w:r w:rsidR="00B842BB" w:rsidRPr="00B842BB">
        <w:rPr>
          <w:highlight w:val="yellow"/>
          <w:lang w:val="en-NZ"/>
        </w:rPr>
        <w:t>[mmyy]</w:t>
      </w:r>
      <w:r w:rsidRPr="0071069F">
        <w:rPr>
          <w:lang w:val="en-NZ"/>
        </w:rPr>
        <w:t xml:space="preserve"> and deployed in </w:t>
      </w:r>
      <w:r w:rsidR="00B842BB" w:rsidRPr="00B842BB">
        <w:rPr>
          <w:highlight w:val="yellow"/>
          <w:lang w:val="en-NZ"/>
        </w:rPr>
        <w:t>[mmyy]</w:t>
      </w:r>
      <w:r w:rsidRPr="0071069F">
        <w:rPr>
          <w:lang w:val="en-NZ"/>
        </w:rPr>
        <w:t xml:space="preserve">. The data collection </w:t>
      </w:r>
      <w:r>
        <w:rPr>
          <w:lang w:val="en-NZ"/>
        </w:rPr>
        <w:t xml:space="preserve">period </w:t>
      </w:r>
      <w:r w:rsidRPr="0071069F">
        <w:rPr>
          <w:lang w:val="en-NZ"/>
        </w:rPr>
        <w:t xml:space="preserve">coincided with the </w:t>
      </w:r>
      <w:r>
        <w:rPr>
          <w:lang w:val="en-NZ"/>
        </w:rPr>
        <w:t xml:space="preserve">onset of the COVID-19 pandemic. The support and cooperation of country representatives and IAEA staff during these unusual circumstances is gratefully acknowledged. </w:t>
      </w:r>
    </w:p>
    <w:p w14:paraId="41BCAC9B" w14:textId="063BD591" w:rsidR="00C46E5D" w:rsidRDefault="00C46E5D" w:rsidP="00DC2B32">
      <w:pPr>
        <w:rPr>
          <w:lang w:val="en-NZ"/>
        </w:rPr>
      </w:pPr>
      <w:r>
        <w:rPr>
          <w:lang w:val="en-NZ"/>
        </w:rPr>
        <w:t>The survey was structured in alignment with the rubric</w:t>
      </w:r>
      <w:r w:rsidR="007E1728">
        <w:rPr>
          <w:lang w:val="en-NZ"/>
        </w:rPr>
        <w:t>s</w:t>
      </w:r>
      <w:r>
        <w:rPr>
          <w:lang w:val="en-NZ"/>
        </w:rPr>
        <w:t xml:space="preserve">, to capture evidence needed in the four impact areas. It included a mix of quantitative (numeric or categorical) and qualitative (free-text) fields. </w:t>
      </w:r>
      <w:r w:rsidR="006522D9">
        <w:rPr>
          <w:lang w:val="en-NZ"/>
        </w:rPr>
        <w:t xml:space="preserve">The survey was administered electronically. Respondents entered data into a secure online form, with automatic data validation. Responses were automatically compiled into a database for analysis. </w:t>
      </w:r>
    </w:p>
    <w:p w14:paraId="7E368EF2" w14:textId="77777777" w:rsidR="00DC2B32" w:rsidRDefault="00DC2B32" w:rsidP="00DC2B32">
      <w:pPr>
        <w:rPr>
          <w:lang w:val="en-NZ"/>
        </w:rPr>
      </w:pPr>
      <w:r>
        <w:rPr>
          <w:lang w:val="en-NZ"/>
        </w:rPr>
        <w:t xml:space="preserve">Communication with countries about the online survey was led by IAEA and included communication prior to deployment (to forewarn senior country representatives of the purpose and timing of the survey, giving them time to nominate a staff member responsible for completing the survey and set aside time for this task) and during deployment (including reminders, follow-up questions where needed to clarify responses, and thanking country representatives for their close and effective cooperation). This communication and coordination from IAEA was critical to the success of the survey. </w:t>
      </w:r>
    </w:p>
    <w:p w14:paraId="1D0B2A9D" w14:textId="77777777" w:rsidR="00DC2B32" w:rsidRDefault="00072D79" w:rsidP="00714F6D">
      <w:pPr>
        <w:pStyle w:val="Heading4"/>
      </w:pPr>
      <w:r>
        <w:t xml:space="preserve">Case examples </w:t>
      </w:r>
    </w:p>
    <w:p w14:paraId="506E78D7" w14:textId="7911F215" w:rsidR="00287C34" w:rsidRDefault="00287C34" w:rsidP="008D6FAA">
      <w:r>
        <w:t xml:space="preserve">Development of the case examples occurred </w:t>
      </w:r>
      <w:r w:rsidR="00895613">
        <w:t>following</w:t>
      </w:r>
      <w:r>
        <w:t xml:space="preserve"> survey data collection. The selection of case examples was agreed with TCAP and TCPC. The senior contact person from each of the selected countries was contacted by IAEA to invite their participation. </w:t>
      </w:r>
    </w:p>
    <w:p w14:paraId="67C3C216" w14:textId="66017C33" w:rsidR="00DF63A3" w:rsidRDefault="00287C34" w:rsidP="008D6FAA">
      <w:r>
        <w:t>Templates and instructions were developed for the countries preparing case examples</w:t>
      </w:r>
      <w:r w:rsidR="00DF63A3">
        <w:t xml:space="preserve"> and were sent to the nominated contact people. After receipt of the case study data, follow up contact was made with the contact people as required to clarify details. Narrative summaries were prepared. </w:t>
      </w:r>
    </w:p>
    <w:bookmarkStart w:id="43" w:name="_Toc81379293" w:displacedByCustomXml="next"/>
    <w:sdt>
      <w:sdtPr>
        <w:rPr>
          <w:rFonts w:asciiTheme="minorHAnsi" w:eastAsiaTheme="minorHAnsi" w:hAnsiTheme="minorHAnsi" w:cstheme="minorBidi"/>
          <w:b w:val="0"/>
          <w:color w:val="auto"/>
          <w:sz w:val="20"/>
          <w:szCs w:val="22"/>
        </w:rPr>
        <w:id w:val="-1184356259"/>
        <w:docPartObj>
          <w:docPartGallery w:val="Bibliographies"/>
          <w:docPartUnique/>
        </w:docPartObj>
      </w:sdtPr>
      <w:sdtEndPr>
        <w:rPr>
          <w:bCs/>
        </w:rPr>
      </w:sdtEndPr>
      <w:sdtContent>
        <w:p w14:paraId="17CDC559" w14:textId="77777777" w:rsidR="008D7601" w:rsidRDefault="008D7601">
          <w:pPr>
            <w:pStyle w:val="Heading1"/>
          </w:pPr>
          <w:r>
            <w:t xml:space="preserve">Works </w:t>
          </w:r>
          <w:r w:rsidR="002C31C1">
            <w:t>cited</w:t>
          </w:r>
          <w:bookmarkEnd w:id="43"/>
        </w:p>
        <w:p w14:paraId="4C18AC44" w14:textId="77777777" w:rsidR="001C2324" w:rsidRDefault="001C2324" w:rsidP="00DE4290">
          <w:pPr>
            <w:rPr>
              <w:lang w:val="en-NZ"/>
            </w:rPr>
          </w:pPr>
          <w:r w:rsidRPr="001C2324">
            <w:rPr>
              <w:lang w:val="en-NZ"/>
            </w:rPr>
            <w:t xml:space="preserve">Davidson, E.J. (2005). </w:t>
          </w:r>
          <w:r w:rsidRPr="001C2324">
            <w:rPr>
              <w:i/>
              <w:iCs/>
              <w:lang w:val="en-NZ"/>
            </w:rPr>
            <w:t>Evaluation Methodology Basics: The nuts and bolts of sound evaluation</w:t>
          </w:r>
          <w:r w:rsidRPr="001C2324">
            <w:rPr>
              <w:lang w:val="en-NZ"/>
            </w:rPr>
            <w:t xml:space="preserve">. Sage. </w:t>
          </w:r>
        </w:p>
        <w:p w14:paraId="69958ABC" w14:textId="77777777" w:rsidR="00434706" w:rsidRDefault="00434706" w:rsidP="00DE4290">
          <w:pPr>
            <w:rPr>
              <w:lang w:val="en-NZ"/>
            </w:rPr>
          </w:pPr>
          <w:r>
            <w:rPr>
              <w:lang w:val="en-NZ"/>
            </w:rPr>
            <w:t xml:space="preserve">Drummond, M.F., Sculpher, M.J., Torrance, G., O’Brien, B.J., &amp; Stoddard, G.L. (2005). </w:t>
          </w:r>
          <w:r>
            <w:rPr>
              <w:i/>
              <w:iCs/>
              <w:lang w:val="en-NZ"/>
            </w:rPr>
            <w:t xml:space="preserve">Methods for the economic evaluation of health care programs. </w:t>
          </w:r>
          <w:r>
            <w:rPr>
              <w:lang w:val="en-NZ"/>
            </w:rPr>
            <w:t xml:space="preserve">Oxford University Press. </w:t>
          </w:r>
        </w:p>
        <w:p w14:paraId="28F84CED" w14:textId="77777777" w:rsidR="005849A6" w:rsidRPr="00434706" w:rsidRDefault="005849A6" w:rsidP="00DE4290">
          <w:pPr>
            <w:rPr>
              <w:lang w:val="en-NZ"/>
            </w:rPr>
          </w:pPr>
          <w:r w:rsidRPr="005849A6">
            <w:rPr>
              <w:lang w:val="en-NZ"/>
            </w:rPr>
            <w:t xml:space="preserve">Funnell, S.C., &amp; Rogers, P.J. (2011). </w:t>
          </w:r>
          <w:r w:rsidRPr="005849A6">
            <w:rPr>
              <w:i/>
              <w:iCs/>
              <w:lang w:val="en-NZ"/>
            </w:rPr>
            <w:t>Purposeful Program Theory: effective use of theories of change and logic models</w:t>
          </w:r>
          <w:r w:rsidRPr="005849A6">
            <w:rPr>
              <w:lang w:val="en-NZ"/>
            </w:rPr>
            <w:t xml:space="preserve">. Jossey-Bass. </w:t>
          </w:r>
        </w:p>
        <w:p w14:paraId="58ABF8E3" w14:textId="77777777" w:rsidR="00DE4290" w:rsidRPr="00DE4290" w:rsidRDefault="00DE4290" w:rsidP="00DE4290">
          <w:pPr>
            <w:rPr>
              <w:lang w:val="en-NZ"/>
            </w:rPr>
          </w:pPr>
          <w:r w:rsidRPr="00DE4290">
            <w:rPr>
              <w:lang w:val="en-NZ"/>
            </w:rPr>
            <w:t>King, J. (2017). </w:t>
          </w:r>
          <w:hyperlink r:id="rId16" w:history="1">
            <w:r w:rsidRPr="00DE4290">
              <w:rPr>
                <w:rStyle w:val="Hyperlink"/>
                <w:lang w:val="en-NZ"/>
              </w:rPr>
              <w:t>Using Economic Methods Evaluatively</w:t>
            </w:r>
          </w:hyperlink>
          <w:r w:rsidRPr="00DE4290">
            <w:rPr>
              <w:lang w:val="en-NZ"/>
            </w:rPr>
            <w:t>. </w:t>
          </w:r>
          <w:r w:rsidRPr="00DE4290">
            <w:rPr>
              <w:i/>
              <w:iCs/>
              <w:lang w:val="en-NZ"/>
            </w:rPr>
            <w:t>American Journal of Evaluation</w:t>
          </w:r>
          <w:r w:rsidRPr="00DE4290">
            <w:rPr>
              <w:lang w:val="en-NZ"/>
            </w:rPr>
            <w:t>, </w:t>
          </w:r>
          <w:r w:rsidRPr="00DE4290">
            <w:rPr>
              <w:i/>
              <w:iCs/>
              <w:lang w:val="en-NZ"/>
            </w:rPr>
            <w:t>38</w:t>
          </w:r>
          <w:r w:rsidRPr="00DE4290">
            <w:rPr>
              <w:lang w:val="en-NZ"/>
            </w:rPr>
            <w:t>(1), 101–113. </w:t>
          </w:r>
        </w:p>
        <w:p w14:paraId="5877FFAB" w14:textId="77777777" w:rsidR="00DE4290" w:rsidRDefault="00DE4290" w:rsidP="00DE4290">
          <w:pPr>
            <w:rPr>
              <w:lang w:val="en-NZ"/>
            </w:rPr>
          </w:pPr>
          <w:r w:rsidRPr="00DE4290">
            <w:rPr>
              <w:lang w:val="en-NZ"/>
            </w:rPr>
            <w:t>King, J. (2019). </w:t>
          </w:r>
          <w:r w:rsidRPr="00DE4290">
            <w:rPr>
              <w:i/>
              <w:iCs/>
              <w:lang w:val="en-NZ"/>
            </w:rPr>
            <w:t>Evaluation and Value for Money: Development of an approach using explicit evaluative reasoning. </w:t>
          </w:r>
          <w:r w:rsidRPr="00DE4290">
            <w:rPr>
              <w:lang w:val="en-NZ"/>
            </w:rPr>
            <w:t>(</w:t>
          </w:r>
          <w:hyperlink r:id="rId17" w:tgtFrame="_blank" w:history="1">
            <w:r w:rsidRPr="00DE4290">
              <w:rPr>
                <w:rStyle w:val="Hyperlink"/>
                <w:lang w:val="en-NZ"/>
              </w:rPr>
              <w:t>Doctoral dissertation</w:t>
            </w:r>
          </w:hyperlink>
          <w:r w:rsidRPr="00DE4290">
            <w:rPr>
              <w:lang w:val="en-NZ"/>
            </w:rPr>
            <w:t>). University of Melbourne. </w:t>
          </w:r>
        </w:p>
        <w:p w14:paraId="0E982FD8" w14:textId="77777777" w:rsidR="00A87A6D" w:rsidRPr="00DE4290" w:rsidRDefault="00A87A6D" w:rsidP="00DE4290">
          <w:pPr>
            <w:rPr>
              <w:lang w:val="en-NZ"/>
            </w:rPr>
          </w:pPr>
          <w:r w:rsidRPr="00A87A6D">
            <w:rPr>
              <w:lang w:val="en-NZ"/>
            </w:rPr>
            <w:t>King, J., McKegg, K., Oakden, J., Wehipeihana, N. (2013). </w:t>
          </w:r>
          <w:hyperlink r:id="rId18" w:history="1">
            <w:r w:rsidRPr="00A87A6D">
              <w:rPr>
                <w:rStyle w:val="Hyperlink"/>
                <w:lang w:val="en-NZ"/>
              </w:rPr>
              <w:t>Rubrics: A method for surfacing values and improving the credibility of evaluation</w:t>
            </w:r>
          </w:hyperlink>
          <w:r w:rsidRPr="00A87A6D">
            <w:rPr>
              <w:lang w:val="en-NZ"/>
            </w:rPr>
            <w:t>. </w:t>
          </w:r>
          <w:r w:rsidRPr="00A87A6D">
            <w:rPr>
              <w:i/>
              <w:iCs/>
              <w:lang w:val="en-NZ"/>
            </w:rPr>
            <w:t>Journal of MultiDisciplinary Evaluation, 9</w:t>
          </w:r>
          <w:r w:rsidRPr="00A87A6D">
            <w:rPr>
              <w:lang w:val="en-NZ"/>
            </w:rPr>
            <w:t>(21), 11-20.</w:t>
          </w:r>
        </w:p>
        <w:p w14:paraId="7F703A72" w14:textId="77777777" w:rsidR="00DE4290" w:rsidRPr="00DE4290" w:rsidRDefault="00DE4290" w:rsidP="00DE4290">
          <w:pPr>
            <w:rPr>
              <w:lang w:val="en-NZ"/>
            </w:rPr>
          </w:pPr>
          <w:r w:rsidRPr="00DE4290">
            <w:rPr>
              <w:lang w:val="en-NZ"/>
            </w:rPr>
            <w:t>King, J. &amp; OPM (2018). </w:t>
          </w:r>
          <w:hyperlink r:id="rId19" w:tgtFrame="_blank" w:history="1">
            <w:r w:rsidRPr="00DE4290">
              <w:rPr>
                <w:rStyle w:val="Hyperlink"/>
                <w:i/>
                <w:iCs/>
                <w:lang w:val="en-NZ"/>
              </w:rPr>
              <w:t>OPM’s approach to assessing value for money</w:t>
            </w:r>
          </w:hyperlink>
          <w:r w:rsidRPr="00DE4290">
            <w:rPr>
              <w:i/>
              <w:iCs/>
              <w:lang w:val="en-NZ"/>
            </w:rPr>
            <w:t> – a guide</w:t>
          </w:r>
          <w:r w:rsidRPr="00DE4290">
            <w:rPr>
              <w:lang w:val="en-NZ"/>
            </w:rPr>
            <w:t>. Oxford Policy Management Ltd.</w:t>
          </w:r>
        </w:p>
        <w:p w14:paraId="0F7F2479" w14:textId="77777777" w:rsidR="00DE4290" w:rsidRDefault="00DE4290" w:rsidP="00AE0D6A">
          <w:pPr>
            <w:rPr>
              <w:lang w:val="en-NZ"/>
            </w:rPr>
          </w:pPr>
          <w:r w:rsidRPr="00DE4290">
            <w:rPr>
              <w:lang w:val="en-NZ"/>
            </w:rPr>
            <w:t>McKegg, K., Oakden, J., Wehipeihana, N., King, J. (2018). </w:t>
          </w:r>
          <w:hyperlink r:id="rId20" w:history="1">
            <w:r w:rsidRPr="00DE4290">
              <w:rPr>
                <w:rStyle w:val="Hyperlink"/>
                <w:i/>
                <w:iCs/>
                <w:lang w:val="en-NZ"/>
              </w:rPr>
              <w:t>Evaluation Building Blocks: A Guide</w:t>
            </w:r>
          </w:hyperlink>
          <w:r w:rsidRPr="00DE4290">
            <w:rPr>
              <w:i/>
              <w:iCs/>
              <w:lang w:val="en-NZ"/>
            </w:rPr>
            <w:t>. </w:t>
          </w:r>
          <w:r w:rsidRPr="00DE4290">
            <w:rPr>
              <w:lang w:val="en-NZ"/>
            </w:rPr>
            <w:t>The Kinnect Group.</w:t>
          </w:r>
        </w:p>
        <w:p w14:paraId="1BA6EF94" w14:textId="77777777" w:rsidR="00823D90" w:rsidRDefault="00823D90" w:rsidP="00AE0D6A">
          <w:pPr>
            <w:rPr>
              <w:lang w:val="en-NZ"/>
            </w:rPr>
          </w:pPr>
          <w:r w:rsidRPr="00823D90">
            <w:rPr>
              <w:lang w:val="en-NZ"/>
            </w:rPr>
            <w:t xml:space="preserve">Rogers, P. (2014). </w:t>
          </w:r>
          <w:r w:rsidRPr="00823D90">
            <w:rPr>
              <w:i/>
              <w:iCs/>
              <w:lang w:val="en-NZ"/>
            </w:rPr>
            <w:t>Theory of Change</w:t>
          </w:r>
          <w:r w:rsidRPr="00823D90">
            <w:rPr>
              <w:lang w:val="en-NZ"/>
            </w:rPr>
            <w:t xml:space="preserve">. Methodological Briefs: Impact Evaluation 2. UNICEF Office of Research. </w:t>
          </w:r>
        </w:p>
        <w:p w14:paraId="6E41CE64" w14:textId="77777777" w:rsidR="00DD154D" w:rsidRPr="00DD154D" w:rsidRDefault="00DD154D" w:rsidP="00DD154D">
          <w:pPr>
            <w:rPr>
              <w:lang w:val="en-NZ"/>
            </w:rPr>
          </w:pPr>
          <w:r>
            <w:rPr>
              <w:lang w:val="en-NZ"/>
            </w:rPr>
            <w:t xml:space="preserve">Schwandt, T., (2015). </w:t>
          </w:r>
          <w:r w:rsidRPr="00DD154D">
            <w:rPr>
              <w:i/>
              <w:iCs/>
              <w:lang w:val="en-NZ"/>
            </w:rPr>
            <w:t xml:space="preserve">Evaluation Foundations Revisited: Cultivating a Life of the Mind for Practice. </w:t>
          </w:r>
          <w:r w:rsidRPr="00DD154D">
            <w:rPr>
              <w:lang w:val="en-NZ"/>
            </w:rPr>
            <w:t>Stanford University Press</w:t>
          </w:r>
          <w:r w:rsidR="0048012A">
            <w:rPr>
              <w:lang w:val="en-NZ"/>
            </w:rPr>
            <w:t>.</w:t>
          </w:r>
          <w:r w:rsidRPr="00DD154D">
            <w:rPr>
              <w:lang w:val="en-NZ"/>
            </w:rPr>
            <w:t xml:space="preserve"> </w:t>
          </w:r>
        </w:p>
        <w:p w14:paraId="6D97B30F" w14:textId="77777777" w:rsidR="00DD154D" w:rsidRDefault="00DD154D" w:rsidP="00AE0D6A">
          <w:pPr>
            <w:rPr>
              <w:lang w:val="en-NZ"/>
            </w:rPr>
          </w:pPr>
        </w:p>
        <w:p w14:paraId="6FBD3378" w14:textId="77777777" w:rsidR="008D7601" w:rsidRPr="00DE4290" w:rsidRDefault="006D798A" w:rsidP="00AE0D6A">
          <w:pPr>
            <w:rPr>
              <w:lang w:val="en-NZ"/>
            </w:rPr>
          </w:pPr>
        </w:p>
      </w:sdtContent>
    </w:sdt>
    <w:p w14:paraId="486C6786" w14:textId="77777777" w:rsidR="008D7601" w:rsidRDefault="008D7601" w:rsidP="008D7601">
      <w:pPr>
        <w:pStyle w:val="Bullet"/>
        <w:numPr>
          <w:ilvl w:val="0"/>
          <w:numId w:val="0"/>
        </w:numPr>
        <w:ind w:left="360" w:hanging="360"/>
      </w:pPr>
    </w:p>
    <w:p w14:paraId="01CC4CEF" w14:textId="260F4245" w:rsidR="00A60BC1" w:rsidRDefault="00895613" w:rsidP="00A60BC1">
      <w:r>
        <w:t>[</w:t>
      </w:r>
      <w:r w:rsidRPr="00895613">
        <w:rPr>
          <w:highlight w:val="yellow"/>
        </w:rPr>
        <w:t>check</w:t>
      </w:r>
      <w:r>
        <w:t>]</w:t>
      </w:r>
    </w:p>
    <w:p w14:paraId="15B02AB8" w14:textId="77777777" w:rsidR="00ED6D87" w:rsidRPr="00A60BC1" w:rsidRDefault="00ED6D87" w:rsidP="00A60BC1"/>
    <w:sectPr w:rsidR="00ED6D87" w:rsidRPr="00A60BC1" w:rsidSect="00795A4F">
      <w:pgSz w:w="11906" w:h="16838" w:code="9"/>
      <w:pgMar w:top="1440" w:right="1843" w:bottom="1440" w:left="1843" w:header="709" w:footer="709" w:gutter="0"/>
      <w:cols w:space="123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EFFAD" w14:textId="77777777" w:rsidR="006D798A" w:rsidRDefault="006D798A" w:rsidP="00892B9F">
      <w:pPr>
        <w:spacing w:after="0" w:line="240" w:lineRule="auto"/>
      </w:pPr>
      <w:r>
        <w:separator/>
      </w:r>
    </w:p>
  </w:endnote>
  <w:endnote w:type="continuationSeparator" w:id="0">
    <w:p w14:paraId="0B841457" w14:textId="77777777" w:rsidR="006D798A" w:rsidRDefault="006D798A" w:rsidP="00892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5944384"/>
      <w:docPartObj>
        <w:docPartGallery w:val="Page Numbers (Bottom of Page)"/>
        <w:docPartUnique/>
      </w:docPartObj>
    </w:sdtPr>
    <w:sdtEndPr>
      <w:rPr>
        <w:rStyle w:val="PageNumber"/>
      </w:rPr>
    </w:sdtEndPr>
    <w:sdtContent>
      <w:p w14:paraId="26851E92" w14:textId="059FAE96" w:rsidR="00837F71" w:rsidRDefault="00837F71" w:rsidP="00775DA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44950666"/>
      <w:docPartObj>
        <w:docPartGallery w:val="Page Numbers (Bottom of Page)"/>
        <w:docPartUnique/>
      </w:docPartObj>
    </w:sdtPr>
    <w:sdtEndPr>
      <w:rPr>
        <w:rStyle w:val="PageNumber"/>
      </w:rPr>
    </w:sdtEndPr>
    <w:sdtContent>
      <w:p w14:paraId="52E679AF" w14:textId="4E0272CB" w:rsidR="00837F71" w:rsidRDefault="00837F71" w:rsidP="00775DA9">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EE52AC" w14:textId="77777777" w:rsidR="00837F71" w:rsidRDefault="00837F71" w:rsidP="00775D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359848"/>
      <w:docPartObj>
        <w:docPartGallery w:val="Page Numbers (Bottom of Page)"/>
        <w:docPartUnique/>
      </w:docPartObj>
    </w:sdtPr>
    <w:sdtEndPr>
      <w:rPr>
        <w:rStyle w:val="PageNumber"/>
      </w:rPr>
    </w:sdtEndPr>
    <w:sdtContent>
      <w:p w14:paraId="3F833EDA" w14:textId="1374B374" w:rsidR="00837F71" w:rsidRDefault="00837F71" w:rsidP="00775DA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91414E" w14:textId="77777777" w:rsidR="00837F71" w:rsidRDefault="00837F71" w:rsidP="00775DA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85931"/>
      <w:docPartObj>
        <w:docPartGallery w:val="Page Numbers (Bottom of Page)"/>
        <w:docPartUnique/>
      </w:docPartObj>
    </w:sdtPr>
    <w:sdtEndPr>
      <w:rPr>
        <w:rStyle w:val="PageNumber"/>
      </w:rPr>
    </w:sdtEndPr>
    <w:sdtContent>
      <w:p w14:paraId="3ACDE7AC" w14:textId="6BDAAB36" w:rsidR="00837F71" w:rsidRDefault="00837F71" w:rsidP="00775DA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51</w:t>
        </w:r>
        <w:r>
          <w:rPr>
            <w:rStyle w:val="PageNumber"/>
          </w:rPr>
          <w:fldChar w:fldCharType="end"/>
        </w:r>
      </w:p>
    </w:sdtContent>
  </w:sdt>
  <w:p w14:paraId="16296995" w14:textId="34A1B5F2" w:rsidR="00837F71" w:rsidRPr="008F1C40" w:rsidRDefault="00837F71" w:rsidP="00775DA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2F346" w14:textId="77777777" w:rsidR="006D798A" w:rsidRDefault="006D798A" w:rsidP="00892B9F">
      <w:pPr>
        <w:spacing w:after="0" w:line="240" w:lineRule="auto"/>
      </w:pPr>
      <w:r>
        <w:separator/>
      </w:r>
    </w:p>
  </w:footnote>
  <w:footnote w:type="continuationSeparator" w:id="0">
    <w:p w14:paraId="287B54E0" w14:textId="77777777" w:rsidR="006D798A" w:rsidRDefault="006D798A" w:rsidP="00892B9F">
      <w:pPr>
        <w:spacing w:after="0" w:line="240" w:lineRule="auto"/>
      </w:pPr>
      <w:r>
        <w:continuationSeparator/>
      </w:r>
    </w:p>
  </w:footnote>
  <w:footnote w:id="1">
    <w:p w14:paraId="3B386B69" w14:textId="185E7577" w:rsidR="00837F71" w:rsidRPr="004E31BE" w:rsidRDefault="00837F71">
      <w:pPr>
        <w:pStyle w:val="FootnoteText"/>
        <w:rPr>
          <w:lang w:val="mi-NZ"/>
        </w:rPr>
      </w:pPr>
      <w:r>
        <w:rPr>
          <w:rStyle w:val="FootnoteReference"/>
        </w:rPr>
        <w:footnoteRef/>
      </w:r>
      <w:r>
        <w:t xml:space="preserve"> </w:t>
      </w:r>
      <w:r>
        <w:rPr>
          <w:lang w:val="mi-NZ"/>
        </w:rPr>
        <w:t xml:space="preserve">The project was commissioned by the IAEA Technical Cooperation Division for Asia-Pacific (TCAP) and TC Division of Programme Support and Coordination (TCPC). Invited experts from the RCA programme from China, Indonesia and Viet Nam provided advice and support. </w:t>
      </w:r>
    </w:p>
  </w:footnote>
  <w:footnote w:id="2">
    <w:p w14:paraId="38FDA75D" w14:textId="7C4CF399" w:rsidR="0075258F" w:rsidRPr="00D55827" w:rsidRDefault="0075258F">
      <w:pPr>
        <w:pStyle w:val="FootnoteText"/>
        <w:rPr>
          <w:lang w:val="mi-NZ"/>
        </w:rPr>
      </w:pPr>
      <w:r>
        <w:rPr>
          <w:rStyle w:val="FootnoteReference"/>
        </w:rPr>
        <w:footnoteRef/>
      </w:r>
      <w:r>
        <w:t xml:space="preserve"> </w:t>
      </w:r>
      <w:r>
        <w:rPr>
          <w:lang w:val="mi-NZ"/>
        </w:rPr>
        <w:t xml:space="preserve">These </w:t>
      </w:r>
      <w:r w:rsidR="00964FCA">
        <w:rPr>
          <w:lang w:val="mi-NZ"/>
        </w:rPr>
        <w:t>results</w:t>
      </w:r>
      <w:r>
        <w:rPr>
          <w:lang w:val="mi-NZ"/>
        </w:rPr>
        <w:t xml:space="preserve"> </w:t>
      </w:r>
      <w:r w:rsidR="006B5514">
        <w:rPr>
          <w:lang w:val="mi-NZ"/>
        </w:rPr>
        <w:t>for</w:t>
      </w:r>
      <w:r>
        <w:rPr>
          <w:lang w:val="mi-NZ"/>
        </w:rPr>
        <w:t xml:space="preserve"> the period 2000-2019 should not be used to make decisions about the future of the RCA or to decide whether the scale of the RCA should be increased or decreased. </w:t>
      </w:r>
    </w:p>
  </w:footnote>
  <w:footnote w:id="3">
    <w:p w14:paraId="7F3A31C0" w14:textId="77777777" w:rsidR="003D7743" w:rsidRPr="00321B59" w:rsidRDefault="003D7743" w:rsidP="003D7743">
      <w:pPr>
        <w:pStyle w:val="FootnoteText"/>
        <w:rPr>
          <w:lang w:val="mi-NZ"/>
        </w:rPr>
      </w:pPr>
      <w:r>
        <w:rPr>
          <w:rStyle w:val="FootnoteReference"/>
        </w:rPr>
        <w:footnoteRef/>
      </w:r>
      <w:r>
        <w:t xml:space="preserve"> </w:t>
      </w:r>
      <w:r>
        <w:rPr>
          <w:lang w:val="mi-NZ"/>
        </w:rPr>
        <w:t xml:space="preserve">Since most national certification schemes started late compared to other certification, acceptance is the main challenge.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2F46"/>
    <w:multiLevelType w:val="hybridMultilevel"/>
    <w:tmpl w:val="6EFE7A88"/>
    <w:lvl w:ilvl="0" w:tplc="D3644098">
      <w:start w:val="1"/>
      <w:numFmt w:val="decimal"/>
      <w:pStyle w:val="List"/>
      <w:lvlText w:val="%1."/>
      <w:lvlJc w:val="left"/>
      <w:pPr>
        <w:ind w:left="357" w:hanging="357"/>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39A7EAD"/>
    <w:multiLevelType w:val="hybridMultilevel"/>
    <w:tmpl w:val="16A63200"/>
    <w:lvl w:ilvl="0" w:tplc="B9EE8A4E">
      <w:start w:val="1"/>
      <w:numFmt w:val="bullet"/>
      <w:lvlText w:val="•"/>
      <w:lvlJc w:val="left"/>
      <w:pPr>
        <w:tabs>
          <w:tab w:val="num" w:pos="720"/>
        </w:tabs>
        <w:ind w:left="720" w:hanging="360"/>
      </w:pPr>
      <w:rPr>
        <w:rFonts w:ascii="Arial" w:hAnsi="Arial" w:hint="default"/>
      </w:rPr>
    </w:lvl>
    <w:lvl w:ilvl="1" w:tplc="5E2AEB5A" w:tentative="1">
      <w:start w:val="1"/>
      <w:numFmt w:val="bullet"/>
      <w:lvlText w:val="•"/>
      <w:lvlJc w:val="left"/>
      <w:pPr>
        <w:tabs>
          <w:tab w:val="num" w:pos="1440"/>
        </w:tabs>
        <w:ind w:left="1440" w:hanging="360"/>
      </w:pPr>
      <w:rPr>
        <w:rFonts w:ascii="Arial" w:hAnsi="Arial" w:hint="default"/>
      </w:rPr>
    </w:lvl>
    <w:lvl w:ilvl="2" w:tplc="6714E21E" w:tentative="1">
      <w:start w:val="1"/>
      <w:numFmt w:val="bullet"/>
      <w:lvlText w:val="•"/>
      <w:lvlJc w:val="left"/>
      <w:pPr>
        <w:tabs>
          <w:tab w:val="num" w:pos="2160"/>
        </w:tabs>
        <w:ind w:left="2160" w:hanging="360"/>
      </w:pPr>
      <w:rPr>
        <w:rFonts w:ascii="Arial" w:hAnsi="Arial" w:hint="default"/>
      </w:rPr>
    </w:lvl>
    <w:lvl w:ilvl="3" w:tplc="324E2F4E" w:tentative="1">
      <w:start w:val="1"/>
      <w:numFmt w:val="bullet"/>
      <w:lvlText w:val="•"/>
      <w:lvlJc w:val="left"/>
      <w:pPr>
        <w:tabs>
          <w:tab w:val="num" w:pos="2880"/>
        </w:tabs>
        <w:ind w:left="2880" w:hanging="360"/>
      </w:pPr>
      <w:rPr>
        <w:rFonts w:ascii="Arial" w:hAnsi="Arial" w:hint="default"/>
      </w:rPr>
    </w:lvl>
    <w:lvl w:ilvl="4" w:tplc="1978923C" w:tentative="1">
      <w:start w:val="1"/>
      <w:numFmt w:val="bullet"/>
      <w:lvlText w:val="•"/>
      <w:lvlJc w:val="left"/>
      <w:pPr>
        <w:tabs>
          <w:tab w:val="num" w:pos="3600"/>
        </w:tabs>
        <w:ind w:left="3600" w:hanging="360"/>
      </w:pPr>
      <w:rPr>
        <w:rFonts w:ascii="Arial" w:hAnsi="Arial" w:hint="default"/>
      </w:rPr>
    </w:lvl>
    <w:lvl w:ilvl="5" w:tplc="ADBA2442" w:tentative="1">
      <w:start w:val="1"/>
      <w:numFmt w:val="bullet"/>
      <w:lvlText w:val="•"/>
      <w:lvlJc w:val="left"/>
      <w:pPr>
        <w:tabs>
          <w:tab w:val="num" w:pos="4320"/>
        </w:tabs>
        <w:ind w:left="4320" w:hanging="360"/>
      </w:pPr>
      <w:rPr>
        <w:rFonts w:ascii="Arial" w:hAnsi="Arial" w:hint="default"/>
      </w:rPr>
    </w:lvl>
    <w:lvl w:ilvl="6" w:tplc="4BA66FEE" w:tentative="1">
      <w:start w:val="1"/>
      <w:numFmt w:val="bullet"/>
      <w:lvlText w:val="•"/>
      <w:lvlJc w:val="left"/>
      <w:pPr>
        <w:tabs>
          <w:tab w:val="num" w:pos="5040"/>
        </w:tabs>
        <w:ind w:left="5040" w:hanging="360"/>
      </w:pPr>
      <w:rPr>
        <w:rFonts w:ascii="Arial" w:hAnsi="Arial" w:hint="default"/>
      </w:rPr>
    </w:lvl>
    <w:lvl w:ilvl="7" w:tplc="6D0280D0" w:tentative="1">
      <w:start w:val="1"/>
      <w:numFmt w:val="bullet"/>
      <w:lvlText w:val="•"/>
      <w:lvlJc w:val="left"/>
      <w:pPr>
        <w:tabs>
          <w:tab w:val="num" w:pos="5760"/>
        </w:tabs>
        <w:ind w:left="5760" w:hanging="360"/>
      </w:pPr>
      <w:rPr>
        <w:rFonts w:ascii="Arial" w:hAnsi="Arial" w:hint="default"/>
      </w:rPr>
    </w:lvl>
    <w:lvl w:ilvl="8" w:tplc="52A2624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D87623"/>
    <w:multiLevelType w:val="hybridMultilevel"/>
    <w:tmpl w:val="ED100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6F69F5"/>
    <w:multiLevelType w:val="hybridMultilevel"/>
    <w:tmpl w:val="854E8CA2"/>
    <w:lvl w:ilvl="0" w:tplc="A05A47FE">
      <w:start w:val="980"/>
      <w:numFmt w:val="decimal"/>
      <w:pStyle w:val="BodyText"/>
      <w:lvlText w:val="%1."/>
      <w:lvlJc w:val="left"/>
      <w:pPr>
        <w:ind w:left="0" w:hanging="595"/>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4B972EEF"/>
    <w:multiLevelType w:val="hybridMultilevel"/>
    <w:tmpl w:val="761A6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9236D3"/>
    <w:multiLevelType w:val="hybridMultilevel"/>
    <w:tmpl w:val="12AA7ED2"/>
    <w:lvl w:ilvl="0" w:tplc="D76CFEDC">
      <w:start w:val="1"/>
      <w:numFmt w:val="bullet"/>
      <w:lvlText w:val="•"/>
      <w:lvlJc w:val="left"/>
      <w:pPr>
        <w:tabs>
          <w:tab w:val="num" w:pos="720"/>
        </w:tabs>
        <w:ind w:left="720" w:hanging="360"/>
      </w:pPr>
      <w:rPr>
        <w:rFonts w:ascii="Arial" w:hAnsi="Arial" w:hint="default"/>
      </w:rPr>
    </w:lvl>
    <w:lvl w:ilvl="1" w:tplc="FE1ACBFC" w:tentative="1">
      <w:start w:val="1"/>
      <w:numFmt w:val="bullet"/>
      <w:lvlText w:val="•"/>
      <w:lvlJc w:val="left"/>
      <w:pPr>
        <w:tabs>
          <w:tab w:val="num" w:pos="1440"/>
        </w:tabs>
        <w:ind w:left="1440" w:hanging="360"/>
      </w:pPr>
      <w:rPr>
        <w:rFonts w:ascii="Arial" w:hAnsi="Arial" w:hint="default"/>
      </w:rPr>
    </w:lvl>
    <w:lvl w:ilvl="2" w:tplc="29FE8000" w:tentative="1">
      <w:start w:val="1"/>
      <w:numFmt w:val="bullet"/>
      <w:lvlText w:val="•"/>
      <w:lvlJc w:val="left"/>
      <w:pPr>
        <w:tabs>
          <w:tab w:val="num" w:pos="2160"/>
        </w:tabs>
        <w:ind w:left="2160" w:hanging="360"/>
      </w:pPr>
      <w:rPr>
        <w:rFonts w:ascii="Arial" w:hAnsi="Arial" w:hint="default"/>
      </w:rPr>
    </w:lvl>
    <w:lvl w:ilvl="3" w:tplc="26CEF3E8" w:tentative="1">
      <w:start w:val="1"/>
      <w:numFmt w:val="bullet"/>
      <w:lvlText w:val="•"/>
      <w:lvlJc w:val="left"/>
      <w:pPr>
        <w:tabs>
          <w:tab w:val="num" w:pos="2880"/>
        </w:tabs>
        <w:ind w:left="2880" w:hanging="360"/>
      </w:pPr>
      <w:rPr>
        <w:rFonts w:ascii="Arial" w:hAnsi="Arial" w:hint="default"/>
      </w:rPr>
    </w:lvl>
    <w:lvl w:ilvl="4" w:tplc="A3022784" w:tentative="1">
      <w:start w:val="1"/>
      <w:numFmt w:val="bullet"/>
      <w:lvlText w:val="•"/>
      <w:lvlJc w:val="left"/>
      <w:pPr>
        <w:tabs>
          <w:tab w:val="num" w:pos="3600"/>
        </w:tabs>
        <w:ind w:left="3600" w:hanging="360"/>
      </w:pPr>
      <w:rPr>
        <w:rFonts w:ascii="Arial" w:hAnsi="Arial" w:hint="default"/>
      </w:rPr>
    </w:lvl>
    <w:lvl w:ilvl="5" w:tplc="7E10BFFC" w:tentative="1">
      <w:start w:val="1"/>
      <w:numFmt w:val="bullet"/>
      <w:lvlText w:val="•"/>
      <w:lvlJc w:val="left"/>
      <w:pPr>
        <w:tabs>
          <w:tab w:val="num" w:pos="4320"/>
        </w:tabs>
        <w:ind w:left="4320" w:hanging="360"/>
      </w:pPr>
      <w:rPr>
        <w:rFonts w:ascii="Arial" w:hAnsi="Arial" w:hint="default"/>
      </w:rPr>
    </w:lvl>
    <w:lvl w:ilvl="6" w:tplc="AE78CC64" w:tentative="1">
      <w:start w:val="1"/>
      <w:numFmt w:val="bullet"/>
      <w:lvlText w:val="•"/>
      <w:lvlJc w:val="left"/>
      <w:pPr>
        <w:tabs>
          <w:tab w:val="num" w:pos="5040"/>
        </w:tabs>
        <w:ind w:left="5040" w:hanging="360"/>
      </w:pPr>
      <w:rPr>
        <w:rFonts w:ascii="Arial" w:hAnsi="Arial" w:hint="default"/>
      </w:rPr>
    </w:lvl>
    <w:lvl w:ilvl="7" w:tplc="91747EE4" w:tentative="1">
      <w:start w:val="1"/>
      <w:numFmt w:val="bullet"/>
      <w:lvlText w:val="•"/>
      <w:lvlJc w:val="left"/>
      <w:pPr>
        <w:tabs>
          <w:tab w:val="num" w:pos="5760"/>
        </w:tabs>
        <w:ind w:left="5760" w:hanging="360"/>
      </w:pPr>
      <w:rPr>
        <w:rFonts w:ascii="Arial" w:hAnsi="Arial" w:hint="default"/>
      </w:rPr>
    </w:lvl>
    <w:lvl w:ilvl="8" w:tplc="570AA9C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C842B36"/>
    <w:multiLevelType w:val="hybridMultilevel"/>
    <w:tmpl w:val="42B0D600"/>
    <w:lvl w:ilvl="0" w:tplc="629440DA">
      <w:start w:val="1"/>
      <w:numFmt w:val="bullet"/>
      <w:pStyle w:val="Bullet"/>
      <w:lvlText w:val=""/>
      <w:lvlJc w:val="left"/>
      <w:pPr>
        <w:ind w:left="360" w:hanging="360"/>
      </w:pPr>
      <w:rPr>
        <w:rFonts w:ascii="Symbol" w:hAnsi="Symbol" w:hint="default"/>
        <w:color w:val="1A4FAB" w:themeColor="text2"/>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5"/>
  </w:num>
  <w:num w:numId="5">
    <w:abstractNumId w:val="1"/>
  </w:num>
  <w:num w:numId="6">
    <w:abstractNumId w:val="4"/>
  </w:num>
  <w:num w:numId="7">
    <w:abstractNumId w:val="2"/>
  </w:num>
  <w:num w:numId="8">
    <w:abstractNumId w:val="6"/>
  </w:num>
  <w:num w:numId="9">
    <w:abstractNumId w:val="6"/>
  </w:num>
  <w:num w:numId="10">
    <w:abstractNumId w:val="6"/>
  </w:num>
  <w:num w:numId="11">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84"/>
    <w:rsid w:val="00001939"/>
    <w:rsid w:val="00003829"/>
    <w:rsid w:val="00003971"/>
    <w:rsid w:val="000047EB"/>
    <w:rsid w:val="000059A8"/>
    <w:rsid w:val="00007857"/>
    <w:rsid w:val="000115AD"/>
    <w:rsid w:val="000147C7"/>
    <w:rsid w:val="00016191"/>
    <w:rsid w:val="00017F5B"/>
    <w:rsid w:val="00021093"/>
    <w:rsid w:val="000224FB"/>
    <w:rsid w:val="000227B1"/>
    <w:rsid w:val="0002522F"/>
    <w:rsid w:val="00025AE8"/>
    <w:rsid w:val="00030711"/>
    <w:rsid w:val="000317AC"/>
    <w:rsid w:val="00032960"/>
    <w:rsid w:val="00037196"/>
    <w:rsid w:val="00040094"/>
    <w:rsid w:val="00040120"/>
    <w:rsid w:val="00047353"/>
    <w:rsid w:val="00050A0A"/>
    <w:rsid w:val="00053B81"/>
    <w:rsid w:val="00053FB9"/>
    <w:rsid w:val="00060061"/>
    <w:rsid w:val="00060E59"/>
    <w:rsid w:val="000644DC"/>
    <w:rsid w:val="00066E03"/>
    <w:rsid w:val="000709FB"/>
    <w:rsid w:val="00070BB2"/>
    <w:rsid w:val="00072D79"/>
    <w:rsid w:val="000742C0"/>
    <w:rsid w:val="00076152"/>
    <w:rsid w:val="00077589"/>
    <w:rsid w:val="00081CFA"/>
    <w:rsid w:val="00082447"/>
    <w:rsid w:val="00083DA1"/>
    <w:rsid w:val="00092DDB"/>
    <w:rsid w:val="00094A81"/>
    <w:rsid w:val="00095E8D"/>
    <w:rsid w:val="00095FAB"/>
    <w:rsid w:val="0009630F"/>
    <w:rsid w:val="0009689D"/>
    <w:rsid w:val="00096F81"/>
    <w:rsid w:val="000978C1"/>
    <w:rsid w:val="000A231C"/>
    <w:rsid w:val="000A26AA"/>
    <w:rsid w:val="000A2748"/>
    <w:rsid w:val="000A29E7"/>
    <w:rsid w:val="000A3459"/>
    <w:rsid w:val="000A5E0A"/>
    <w:rsid w:val="000A6B56"/>
    <w:rsid w:val="000A7E91"/>
    <w:rsid w:val="000B015D"/>
    <w:rsid w:val="000B5759"/>
    <w:rsid w:val="000B69CA"/>
    <w:rsid w:val="000C06AB"/>
    <w:rsid w:val="000C12A3"/>
    <w:rsid w:val="000C20A6"/>
    <w:rsid w:val="000C25BA"/>
    <w:rsid w:val="000C268E"/>
    <w:rsid w:val="000C3A0E"/>
    <w:rsid w:val="000C4A63"/>
    <w:rsid w:val="000C5501"/>
    <w:rsid w:val="000C777C"/>
    <w:rsid w:val="000D0435"/>
    <w:rsid w:val="000D0FCB"/>
    <w:rsid w:val="000D7175"/>
    <w:rsid w:val="000E1B05"/>
    <w:rsid w:val="000E1C47"/>
    <w:rsid w:val="000E1E56"/>
    <w:rsid w:val="000E2227"/>
    <w:rsid w:val="000E42B9"/>
    <w:rsid w:val="000E5B32"/>
    <w:rsid w:val="000E6F20"/>
    <w:rsid w:val="000E7F00"/>
    <w:rsid w:val="000F261A"/>
    <w:rsid w:val="000F2B9E"/>
    <w:rsid w:val="000F459C"/>
    <w:rsid w:val="000F4701"/>
    <w:rsid w:val="000F47AF"/>
    <w:rsid w:val="000F5507"/>
    <w:rsid w:val="000F7F48"/>
    <w:rsid w:val="00100990"/>
    <w:rsid w:val="00107F87"/>
    <w:rsid w:val="00113570"/>
    <w:rsid w:val="00113B9B"/>
    <w:rsid w:val="00113E29"/>
    <w:rsid w:val="00115089"/>
    <w:rsid w:val="00115439"/>
    <w:rsid w:val="00120899"/>
    <w:rsid w:val="00123C30"/>
    <w:rsid w:val="00127E49"/>
    <w:rsid w:val="00130908"/>
    <w:rsid w:val="00130DBC"/>
    <w:rsid w:val="0013164A"/>
    <w:rsid w:val="001373FA"/>
    <w:rsid w:val="0014037B"/>
    <w:rsid w:val="00140C3F"/>
    <w:rsid w:val="00142C4A"/>
    <w:rsid w:val="00144060"/>
    <w:rsid w:val="001442B9"/>
    <w:rsid w:val="001448E1"/>
    <w:rsid w:val="00151D81"/>
    <w:rsid w:val="00152B78"/>
    <w:rsid w:val="00153036"/>
    <w:rsid w:val="00155BA3"/>
    <w:rsid w:val="00155C53"/>
    <w:rsid w:val="0015649D"/>
    <w:rsid w:val="00156731"/>
    <w:rsid w:val="00156972"/>
    <w:rsid w:val="001572BE"/>
    <w:rsid w:val="0015761A"/>
    <w:rsid w:val="00161619"/>
    <w:rsid w:val="00167F79"/>
    <w:rsid w:val="00170ADC"/>
    <w:rsid w:val="00170EB7"/>
    <w:rsid w:val="0017174B"/>
    <w:rsid w:val="0017406D"/>
    <w:rsid w:val="00174218"/>
    <w:rsid w:val="001772E6"/>
    <w:rsid w:val="0018175E"/>
    <w:rsid w:val="00181AD0"/>
    <w:rsid w:val="001857C6"/>
    <w:rsid w:val="00185E1E"/>
    <w:rsid w:val="00186D6E"/>
    <w:rsid w:val="0019047C"/>
    <w:rsid w:val="00193302"/>
    <w:rsid w:val="0019398C"/>
    <w:rsid w:val="00195C96"/>
    <w:rsid w:val="001A0A84"/>
    <w:rsid w:val="001A7303"/>
    <w:rsid w:val="001A7393"/>
    <w:rsid w:val="001B0631"/>
    <w:rsid w:val="001B0B00"/>
    <w:rsid w:val="001B1E13"/>
    <w:rsid w:val="001B2C03"/>
    <w:rsid w:val="001B4F26"/>
    <w:rsid w:val="001C023A"/>
    <w:rsid w:val="001C05E9"/>
    <w:rsid w:val="001C2324"/>
    <w:rsid w:val="001C2C6D"/>
    <w:rsid w:val="001C3153"/>
    <w:rsid w:val="001C76CB"/>
    <w:rsid w:val="001C77B7"/>
    <w:rsid w:val="001D1BBE"/>
    <w:rsid w:val="001D1EFD"/>
    <w:rsid w:val="001D32E1"/>
    <w:rsid w:val="001D4D37"/>
    <w:rsid w:val="001E0688"/>
    <w:rsid w:val="001E2402"/>
    <w:rsid w:val="001E4C39"/>
    <w:rsid w:val="001F2883"/>
    <w:rsid w:val="001F3B8D"/>
    <w:rsid w:val="001F56F4"/>
    <w:rsid w:val="001F5748"/>
    <w:rsid w:val="001F5E6D"/>
    <w:rsid w:val="0020018F"/>
    <w:rsid w:val="00200ED3"/>
    <w:rsid w:val="00201829"/>
    <w:rsid w:val="00203915"/>
    <w:rsid w:val="00205914"/>
    <w:rsid w:val="00206EA3"/>
    <w:rsid w:val="00210C46"/>
    <w:rsid w:val="00216493"/>
    <w:rsid w:val="002265B0"/>
    <w:rsid w:val="0022776D"/>
    <w:rsid w:val="00227DA5"/>
    <w:rsid w:val="0023086B"/>
    <w:rsid w:val="00232555"/>
    <w:rsid w:val="0023266C"/>
    <w:rsid w:val="00232942"/>
    <w:rsid w:val="00233DAD"/>
    <w:rsid w:val="00240BFA"/>
    <w:rsid w:val="002424C1"/>
    <w:rsid w:val="00243C5C"/>
    <w:rsid w:val="002455CC"/>
    <w:rsid w:val="002457A6"/>
    <w:rsid w:val="00250340"/>
    <w:rsid w:val="00250786"/>
    <w:rsid w:val="0025111D"/>
    <w:rsid w:val="00252DD4"/>
    <w:rsid w:val="00253B4C"/>
    <w:rsid w:val="002540EC"/>
    <w:rsid w:val="00256954"/>
    <w:rsid w:val="002571D6"/>
    <w:rsid w:val="00262265"/>
    <w:rsid w:val="00262AD3"/>
    <w:rsid w:val="0026389E"/>
    <w:rsid w:val="0026426D"/>
    <w:rsid w:val="00264D06"/>
    <w:rsid w:val="0026568C"/>
    <w:rsid w:val="00266E00"/>
    <w:rsid w:val="00271A42"/>
    <w:rsid w:val="00275960"/>
    <w:rsid w:val="002825E5"/>
    <w:rsid w:val="002858C3"/>
    <w:rsid w:val="00285FF3"/>
    <w:rsid w:val="00287084"/>
    <w:rsid w:val="00287539"/>
    <w:rsid w:val="00287B72"/>
    <w:rsid w:val="00287C34"/>
    <w:rsid w:val="002909CE"/>
    <w:rsid w:val="0029502B"/>
    <w:rsid w:val="002951F3"/>
    <w:rsid w:val="002954AF"/>
    <w:rsid w:val="0029562A"/>
    <w:rsid w:val="00296006"/>
    <w:rsid w:val="002967C1"/>
    <w:rsid w:val="002A1F46"/>
    <w:rsid w:val="002A2BD1"/>
    <w:rsid w:val="002A31AF"/>
    <w:rsid w:val="002A462E"/>
    <w:rsid w:val="002A777B"/>
    <w:rsid w:val="002B31B0"/>
    <w:rsid w:val="002B3D7B"/>
    <w:rsid w:val="002B51C5"/>
    <w:rsid w:val="002B5292"/>
    <w:rsid w:val="002B5C6C"/>
    <w:rsid w:val="002B5ECD"/>
    <w:rsid w:val="002B63DE"/>
    <w:rsid w:val="002B6F26"/>
    <w:rsid w:val="002C082A"/>
    <w:rsid w:val="002C088B"/>
    <w:rsid w:val="002C0B41"/>
    <w:rsid w:val="002C0F53"/>
    <w:rsid w:val="002C29A2"/>
    <w:rsid w:val="002C2FD0"/>
    <w:rsid w:val="002C31C1"/>
    <w:rsid w:val="002C409C"/>
    <w:rsid w:val="002C7DE1"/>
    <w:rsid w:val="002D058E"/>
    <w:rsid w:val="002D49E4"/>
    <w:rsid w:val="002D5C03"/>
    <w:rsid w:val="002D63C2"/>
    <w:rsid w:val="002E1868"/>
    <w:rsid w:val="002E42CF"/>
    <w:rsid w:val="002E5A68"/>
    <w:rsid w:val="002E761E"/>
    <w:rsid w:val="002F0333"/>
    <w:rsid w:val="002F1179"/>
    <w:rsid w:val="002F2C74"/>
    <w:rsid w:val="002F3B7F"/>
    <w:rsid w:val="002F5008"/>
    <w:rsid w:val="002F5E49"/>
    <w:rsid w:val="002F6711"/>
    <w:rsid w:val="002F7505"/>
    <w:rsid w:val="003024DB"/>
    <w:rsid w:val="00302DD7"/>
    <w:rsid w:val="00305D8E"/>
    <w:rsid w:val="00306E7C"/>
    <w:rsid w:val="0031108E"/>
    <w:rsid w:val="00311A77"/>
    <w:rsid w:val="00311C76"/>
    <w:rsid w:val="00312DEC"/>
    <w:rsid w:val="00316699"/>
    <w:rsid w:val="00317365"/>
    <w:rsid w:val="00317DBE"/>
    <w:rsid w:val="003224B9"/>
    <w:rsid w:val="0032403E"/>
    <w:rsid w:val="0033152B"/>
    <w:rsid w:val="00332651"/>
    <w:rsid w:val="003349EF"/>
    <w:rsid w:val="00334C03"/>
    <w:rsid w:val="003379D9"/>
    <w:rsid w:val="00340859"/>
    <w:rsid w:val="003409EB"/>
    <w:rsid w:val="00340E53"/>
    <w:rsid w:val="003410FD"/>
    <w:rsid w:val="0034572A"/>
    <w:rsid w:val="003471B3"/>
    <w:rsid w:val="00350669"/>
    <w:rsid w:val="00353CE0"/>
    <w:rsid w:val="003546B9"/>
    <w:rsid w:val="00362A00"/>
    <w:rsid w:val="00362C74"/>
    <w:rsid w:val="00363DBD"/>
    <w:rsid w:val="00364434"/>
    <w:rsid w:val="0036568B"/>
    <w:rsid w:val="00365ADB"/>
    <w:rsid w:val="00365E59"/>
    <w:rsid w:val="003700D1"/>
    <w:rsid w:val="00370554"/>
    <w:rsid w:val="00371DA5"/>
    <w:rsid w:val="003733B3"/>
    <w:rsid w:val="00373F1C"/>
    <w:rsid w:val="003740AE"/>
    <w:rsid w:val="0037598D"/>
    <w:rsid w:val="00375EBB"/>
    <w:rsid w:val="00382154"/>
    <w:rsid w:val="003855D7"/>
    <w:rsid w:val="003923B9"/>
    <w:rsid w:val="00393016"/>
    <w:rsid w:val="003944AF"/>
    <w:rsid w:val="003947D1"/>
    <w:rsid w:val="00394C76"/>
    <w:rsid w:val="003954E9"/>
    <w:rsid w:val="00396BDF"/>
    <w:rsid w:val="003A54A8"/>
    <w:rsid w:val="003A5C0D"/>
    <w:rsid w:val="003A7ECB"/>
    <w:rsid w:val="003B176B"/>
    <w:rsid w:val="003B3F2E"/>
    <w:rsid w:val="003B417C"/>
    <w:rsid w:val="003B4E7E"/>
    <w:rsid w:val="003B615D"/>
    <w:rsid w:val="003B6387"/>
    <w:rsid w:val="003B75C3"/>
    <w:rsid w:val="003B79BD"/>
    <w:rsid w:val="003C1715"/>
    <w:rsid w:val="003C59B2"/>
    <w:rsid w:val="003C795D"/>
    <w:rsid w:val="003D1FBB"/>
    <w:rsid w:val="003D2D79"/>
    <w:rsid w:val="003D307B"/>
    <w:rsid w:val="003D441E"/>
    <w:rsid w:val="003D4EF4"/>
    <w:rsid w:val="003D6256"/>
    <w:rsid w:val="003D6ED5"/>
    <w:rsid w:val="003D7743"/>
    <w:rsid w:val="003E14A7"/>
    <w:rsid w:val="003E484E"/>
    <w:rsid w:val="003E56E4"/>
    <w:rsid w:val="003F3AA5"/>
    <w:rsid w:val="003F49ED"/>
    <w:rsid w:val="003F69FF"/>
    <w:rsid w:val="003F6A6E"/>
    <w:rsid w:val="003F77E1"/>
    <w:rsid w:val="00401B01"/>
    <w:rsid w:val="004065CE"/>
    <w:rsid w:val="00406B98"/>
    <w:rsid w:val="00407526"/>
    <w:rsid w:val="00410A29"/>
    <w:rsid w:val="00410A7C"/>
    <w:rsid w:val="00412983"/>
    <w:rsid w:val="0041403A"/>
    <w:rsid w:val="00414873"/>
    <w:rsid w:val="00415512"/>
    <w:rsid w:val="00417500"/>
    <w:rsid w:val="00417CBD"/>
    <w:rsid w:val="00421B1A"/>
    <w:rsid w:val="0042294E"/>
    <w:rsid w:val="00422C45"/>
    <w:rsid w:val="004232D1"/>
    <w:rsid w:val="00423546"/>
    <w:rsid w:val="00423771"/>
    <w:rsid w:val="00423F0A"/>
    <w:rsid w:val="004245C5"/>
    <w:rsid w:val="00424CD7"/>
    <w:rsid w:val="004254B0"/>
    <w:rsid w:val="00425D5A"/>
    <w:rsid w:val="00425F22"/>
    <w:rsid w:val="004261C4"/>
    <w:rsid w:val="004275F8"/>
    <w:rsid w:val="0043316A"/>
    <w:rsid w:val="004333B9"/>
    <w:rsid w:val="0043373F"/>
    <w:rsid w:val="00434706"/>
    <w:rsid w:val="004358AC"/>
    <w:rsid w:val="0043760E"/>
    <w:rsid w:val="00437D49"/>
    <w:rsid w:val="004427E0"/>
    <w:rsid w:val="00443D7A"/>
    <w:rsid w:val="004449E9"/>
    <w:rsid w:val="004453DF"/>
    <w:rsid w:val="0045066E"/>
    <w:rsid w:val="00451A8A"/>
    <w:rsid w:val="0045244B"/>
    <w:rsid w:val="0045250F"/>
    <w:rsid w:val="00452902"/>
    <w:rsid w:val="0045397F"/>
    <w:rsid w:val="004551FF"/>
    <w:rsid w:val="00456A00"/>
    <w:rsid w:val="00457DA8"/>
    <w:rsid w:val="00460C43"/>
    <w:rsid w:val="004628FA"/>
    <w:rsid w:val="004638A3"/>
    <w:rsid w:val="00465277"/>
    <w:rsid w:val="00467344"/>
    <w:rsid w:val="004677E8"/>
    <w:rsid w:val="0047146D"/>
    <w:rsid w:val="00471CBA"/>
    <w:rsid w:val="004721F0"/>
    <w:rsid w:val="00472817"/>
    <w:rsid w:val="00476E1B"/>
    <w:rsid w:val="004773CE"/>
    <w:rsid w:val="00477941"/>
    <w:rsid w:val="0048012A"/>
    <w:rsid w:val="004826EA"/>
    <w:rsid w:val="004842F5"/>
    <w:rsid w:val="0048711E"/>
    <w:rsid w:val="004874EF"/>
    <w:rsid w:val="00495DCD"/>
    <w:rsid w:val="00496958"/>
    <w:rsid w:val="00496C15"/>
    <w:rsid w:val="004A319E"/>
    <w:rsid w:val="004A32F3"/>
    <w:rsid w:val="004A6710"/>
    <w:rsid w:val="004B209D"/>
    <w:rsid w:val="004B3313"/>
    <w:rsid w:val="004B40E8"/>
    <w:rsid w:val="004B6C78"/>
    <w:rsid w:val="004B7068"/>
    <w:rsid w:val="004B7962"/>
    <w:rsid w:val="004C3455"/>
    <w:rsid w:val="004C360E"/>
    <w:rsid w:val="004C5298"/>
    <w:rsid w:val="004D3D7A"/>
    <w:rsid w:val="004D47CA"/>
    <w:rsid w:val="004D61B7"/>
    <w:rsid w:val="004E13DA"/>
    <w:rsid w:val="004E19C7"/>
    <w:rsid w:val="004E264B"/>
    <w:rsid w:val="004E31BE"/>
    <w:rsid w:val="004E53FF"/>
    <w:rsid w:val="004E6592"/>
    <w:rsid w:val="004E665C"/>
    <w:rsid w:val="004F0E3B"/>
    <w:rsid w:val="004F1841"/>
    <w:rsid w:val="004F19DB"/>
    <w:rsid w:val="004F33CE"/>
    <w:rsid w:val="004F36E7"/>
    <w:rsid w:val="004F4417"/>
    <w:rsid w:val="004F5983"/>
    <w:rsid w:val="004F61B2"/>
    <w:rsid w:val="005012FA"/>
    <w:rsid w:val="00501F35"/>
    <w:rsid w:val="0050491B"/>
    <w:rsid w:val="0050505E"/>
    <w:rsid w:val="00506C8C"/>
    <w:rsid w:val="00510F87"/>
    <w:rsid w:val="00511E13"/>
    <w:rsid w:val="0051284B"/>
    <w:rsid w:val="005139FA"/>
    <w:rsid w:val="00515572"/>
    <w:rsid w:val="0051601C"/>
    <w:rsid w:val="00517EF7"/>
    <w:rsid w:val="00520940"/>
    <w:rsid w:val="00525907"/>
    <w:rsid w:val="005274EF"/>
    <w:rsid w:val="0053249D"/>
    <w:rsid w:val="00533A78"/>
    <w:rsid w:val="005349CF"/>
    <w:rsid w:val="00535F80"/>
    <w:rsid w:val="00537DAF"/>
    <w:rsid w:val="00537FAC"/>
    <w:rsid w:val="00541C11"/>
    <w:rsid w:val="00542533"/>
    <w:rsid w:val="00544DB6"/>
    <w:rsid w:val="00546930"/>
    <w:rsid w:val="00550897"/>
    <w:rsid w:val="00551D76"/>
    <w:rsid w:val="0055342A"/>
    <w:rsid w:val="0055407A"/>
    <w:rsid w:val="005555AC"/>
    <w:rsid w:val="00556F45"/>
    <w:rsid w:val="00557E08"/>
    <w:rsid w:val="00561E17"/>
    <w:rsid w:val="00564339"/>
    <w:rsid w:val="005655F7"/>
    <w:rsid w:val="00566EC6"/>
    <w:rsid w:val="005678AC"/>
    <w:rsid w:val="00571712"/>
    <w:rsid w:val="00574A68"/>
    <w:rsid w:val="00574C1E"/>
    <w:rsid w:val="00575D20"/>
    <w:rsid w:val="005809FC"/>
    <w:rsid w:val="00582DE0"/>
    <w:rsid w:val="00583099"/>
    <w:rsid w:val="005836DC"/>
    <w:rsid w:val="005845E3"/>
    <w:rsid w:val="005849A6"/>
    <w:rsid w:val="00584FD5"/>
    <w:rsid w:val="00585D5B"/>
    <w:rsid w:val="00587D17"/>
    <w:rsid w:val="00590B18"/>
    <w:rsid w:val="00591F3F"/>
    <w:rsid w:val="00596BA7"/>
    <w:rsid w:val="0059736D"/>
    <w:rsid w:val="005975D0"/>
    <w:rsid w:val="00597A33"/>
    <w:rsid w:val="005A230C"/>
    <w:rsid w:val="005A41B6"/>
    <w:rsid w:val="005A5469"/>
    <w:rsid w:val="005A6FF3"/>
    <w:rsid w:val="005A7685"/>
    <w:rsid w:val="005B15FA"/>
    <w:rsid w:val="005B160D"/>
    <w:rsid w:val="005B306B"/>
    <w:rsid w:val="005B3780"/>
    <w:rsid w:val="005B4907"/>
    <w:rsid w:val="005B61B1"/>
    <w:rsid w:val="005B6BEA"/>
    <w:rsid w:val="005B6BEE"/>
    <w:rsid w:val="005B7327"/>
    <w:rsid w:val="005C1AF7"/>
    <w:rsid w:val="005C2CF4"/>
    <w:rsid w:val="005C5F2F"/>
    <w:rsid w:val="005C625C"/>
    <w:rsid w:val="005C69C5"/>
    <w:rsid w:val="005D50C9"/>
    <w:rsid w:val="005E2A10"/>
    <w:rsid w:val="005E2CA3"/>
    <w:rsid w:val="005E5253"/>
    <w:rsid w:val="005E5B2A"/>
    <w:rsid w:val="005E62AA"/>
    <w:rsid w:val="005E6864"/>
    <w:rsid w:val="005F21DF"/>
    <w:rsid w:val="005F4D8A"/>
    <w:rsid w:val="005F60DA"/>
    <w:rsid w:val="00600AE7"/>
    <w:rsid w:val="00601209"/>
    <w:rsid w:val="00601280"/>
    <w:rsid w:val="00601555"/>
    <w:rsid w:val="00601689"/>
    <w:rsid w:val="00601C0F"/>
    <w:rsid w:val="0060220A"/>
    <w:rsid w:val="00602CCB"/>
    <w:rsid w:val="00603AD5"/>
    <w:rsid w:val="00605694"/>
    <w:rsid w:val="00612D20"/>
    <w:rsid w:val="00613363"/>
    <w:rsid w:val="0061415B"/>
    <w:rsid w:val="006159B6"/>
    <w:rsid w:val="00616F85"/>
    <w:rsid w:val="0062127B"/>
    <w:rsid w:val="00623C5C"/>
    <w:rsid w:val="00624C88"/>
    <w:rsid w:val="00625C78"/>
    <w:rsid w:val="006260EF"/>
    <w:rsid w:val="00635819"/>
    <w:rsid w:val="00635CE6"/>
    <w:rsid w:val="0063671A"/>
    <w:rsid w:val="006404F5"/>
    <w:rsid w:val="0064102D"/>
    <w:rsid w:val="00641C9E"/>
    <w:rsid w:val="00642840"/>
    <w:rsid w:val="00643A7C"/>
    <w:rsid w:val="00644D14"/>
    <w:rsid w:val="00645DD1"/>
    <w:rsid w:val="00652213"/>
    <w:rsid w:val="006522D9"/>
    <w:rsid w:val="0065297B"/>
    <w:rsid w:val="00652B56"/>
    <w:rsid w:val="00654039"/>
    <w:rsid w:val="0065612C"/>
    <w:rsid w:val="00656414"/>
    <w:rsid w:val="006609EC"/>
    <w:rsid w:val="00660AAC"/>
    <w:rsid w:val="00663285"/>
    <w:rsid w:val="006636F1"/>
    <w:rsid w:val="006750D0"/>
    <w:rsid w:val="0067696A"/>
    <w:rsid w:val="0067759E"/>
    <w:rsid w:val="0067761E"/>
    <w:rsid w:val="0068047E"/>
    <w:rsid w:val="00682FB4"/>
    <w:rsid w:val="006834B8"/>
    <w:rsid w:val="00683882"/>
    <w:rsid w:val="00684D9A"/>
    <w:rsid w:val="00687508"/>
    <w:rsid w:val="00687EE5"/>
    <w:rsid w:val="006900A0"/>
    <w:rsid w:val="00690B7B"/>
    <w:rsid w:val="00690C2E"/>
    <w:rsid w:val="0069195F"/>
    <w:rsid w:val="00694796"/>
    <w:rsid w:val="006952ED"/>
    <w:rsid w:val="0069661D"/>
    <w:rsid w:val="006A08D1"/>
    <w:rsid w:val="006A1BFA"/>
    <w:rsid w:val="006A1CD9"/>
    <w:rsid w:val="006A31EA"/>
    <w:rsid w:val="006A558E"/>
    <w:rsid w:val="006A62E9"/>
    <w:rsid w:val="006A6A67"/>
    <w:rsid w:val="006A7989"/>
    <w:rsid w:val="006A7D95"/>
    <w:rsid w:val="006B0B93"/>
    <w:rsid w:val="006B1570"/>
    <w:rsid w:val="006B34A5"/>
    <w:rsid w:val="006B37E0"/>
    <w:rsid w:val="006B4447"/>
    <w:rsid w:val="006B53BA"/>
    <w:rsid w:val="006B5514"/>
    <w:rsid w:val="006B5E9F"/>
    <w:rsid w:val="006B610A"/>
    <w:rsid w:val="006B72E3"/>
    <w:rsid w:val="006B7685"/>
    <w:rsid w:val="006C05EF"/>
    <w:rsid w:val="006C3DA8"/>
    <w:rsid w:val="006C626C"/>
    <w:rsid w:val="006C6F9C"/>
    <w:rsid w:val="006D3355"/>
    <w:rsid w:val="006D5C32"/>
    <w:rsid w:val="006D7853"/>
    <w:rsid w:val="006D798A"/>
    <w:rsid w:val="006E16CE"/>
    <w:rsid w:val="006E3EE6"/>
    <w:rsid w:val="006E474A"/>
    <w:rsid w:val="006E67DE"/>
    <w:rsid w:val="006F4E69"/>
    <w:rsid w:val="006F5DFD"/>
    <w:rsid w:val="006F654F"/>
    <w:rsid w:val="00701C56"/>
    <w:rsid w:val="0070455A"/>
    <w:rsid w:val="00704C34"/>
    <w:rsid w:val="0070521B"/>
    <w:rsid w:val="00706760"/>
    <w:rsid w:val="007101A1"/>
    <w:rsid w:val="0071069F"/>
    <w:rsid w:val="007116FA"/>
    <w:rsid w:val="00711BBE"/>
    <w:rsid w:val="00713836"/>
    <w:rsid w:val="00714BE0"/>
    <w:rsid w:val="00714F6D"/>
    <w:rsid w:val="0071757A"/>
    <w:rsid w:val="0071795D"/>
    <w:rsid w:val="00721FB4"/>
    <w:rsid w:val="00723188"/>
    <w:rsid w:val="00724226"/>
    <w:rsid w:val="0073066D"/>
    <w:rsid w:val="00732CAE"/>
    <w:rsid w:val="007335A3"/>
    <w:rsid w:val="00735FC8"/>
    <w:rsid w:val="00740B0C"/>
    <w:rsid w:val="00741434"/>
    <w:rsid w:val="00743B82"/>
    <w:rsid w:val="00744C63"/>
    <w:rsid w:val="007457AA"/>
    <w:rsid w:val="00746449"/>
    <w:rsid w:val="00751926"/>
    <w:rsid w:val="00751E41"/>
    <w:rsid w:val="0075258F"/>
    <w:rsid w:val="00753C15"/>
    <w:rsid w:val="00755553"/>
    <w:rsid w:val="00755BBC"/>
    <w:rsid w:val="007565DE"/>
    <w:rsid w:val="00760412"/>
    <w:rsid w:val="007611FC"/>
    <w:rsid w:val="0076418C"/>
    <w:rsid w:val="00765CF8"/>
    <w:rsid w:val="00767AEA"/>
    <w:rsid w:val="00774C76"/>
    <w:rsid w:val="007755B7"/>
    <w:rsid w:val="00775DA9"/>
    <w:rsid w:val="00775DAA"/>
    <w:rsid w:val="007765A0"/>
    <w:rsid w:val="00776DC9"/>
    <w:rsid w:val="00781DE4"/>
    <w:rsid w:val="007825FA"/>
    <w:rsid w:val="00782DBE"/>
    <w:rsid w:val="00782DD3"/>
    <w:rsid w:val="0078539E"/>
    <w:rsid w:val="007921C4"/>
    <w:rsid w:val="00792A0F"/>
    <w:rsid w:val="007933A6"/>
    <w:rsid w:val="00795A3A"/>
    <w:rsid w:val="00795A4F"/>
    <w:rsid w:val="00795D17"/>
    <w:rsid w:val="007974F5"/>
    <w:rsid w:val="007A01E5"/>
    <w:rsid w:val="007A04D3"/>
    <w:rsid w:val="007A2A07"/>
    <w:rsid w:val="007A46C3"/>
    <w:rsid w:val="007A5BFB"/>
    <w:rsid w:val="007A72DB"/>
    <w:rsid w:val="007B13AD"/>
    <w:rsid w:val="007B43F4"/>
    <w:rsid w:val="007B44D9"/>
    <w:rsid w:val="007B46B3"/>
    <w:rsid w:val="007B5E8C"/>
    <w:rsid w:val="007C02BF"/>
    <w:rsid w:val="007C374A"/>
    <w:rsid w:val="007C3BC2"/>
    <w:rsid w:val="007C709E"/>
    <w:rsid w:val="007D1295"/>
    <w:rsid w:val="007D2490"/>
    <w:rsid w:val="007D3547"/>
    <w:rsid w:val="007D613C"/>
    <w:rsid w:val="007D72CD"/>
    <w:rsid w:val="007E1728"/>
    <w:rsid w:val="007E178A"/>
    <w:rsid w:val="007E2EA7"/>
    <w:rsid w:val="007E34D3"/>
    <w:rsid w:val="007E4955"/>
    <w:rsid w:val="007E53B2"/>
    <w:rsid w:val="007F2501"/>
    <w:rsid w:val="007F2ACC"/>
    <w:rsid w:val="007F32C7"/>
    <w:rsid w:val="007F5E09"/>
    <w:rsid w:val="007F60B5"/>
    <w:rsid w:val="007F71ED"/>
    <w:rsid w:val="007F747A"/>
    <w:rsid w:val="008002BF"/>
    <w:rsid w:val="008016B3"/>
    <w:rsid w:val="00801A80"/>
    <w:rsid w:val="00803121"/>
    <w:rsid w:val="00807493"/>
    <w:rsid w:val="008127B2"/>
    <w:rsid w:val="0081291E"/>
    <w:rsid w:val="008139A8"/>
    <w:rsid w:val="0082013D"/>
    <w:rsid w:val="00820FD9"/>
    <w:rsid w:val="00822A94"/>
    <w:rsid w:val="00823D90"/>
    <w:rsid w:val="008265C9"/>
    <w:rsid w:val="0082759D"/>
    <w:rsid w:val="00830343"/>
    <w:rsid w:val="00831011"/>
    <w:rsid w:val="00833586"/>
    <w:rsid w:val="00835427"/>
    <w:rsid w:val="00835B0D"/>
    <w:rsid w:val="00835D35"/>
    <w:rsid w:val="0083711F"/>
    <w:rsid w:val="00837CCE"/>
    <w:rsid w:val="00837F71"/>
    <w:rsid w:val="008404A8"/>
    <w:rsid w:val="00843752"/>
    <w:rsid w:val="008438DC"/>
    <w:rsid w:val="00843A5A"/>
    <w:rsid w:val="00844CB1"/>
    <w:rsid w:val="00845084"/>
    <w:rsid w:val="00847F1C"/>
    <w:rsid w:val="00850A7D"/>
    <w:rsid w:val="008519DC"/>
    <w:rsid w:val="00851D5A"/>
    <w:rsid w:val="0085234C"/>
    <w:rsid w:val="0085607C"/>
    <w:rsid w:val="00857B85"/>
    <w:rsid w:val="008639E2"/>
    <w:rsid w:val="00863AE7"/>
    <w:rsid w:val="00863ECE"/>
    <w:rsid w:val="00866386"/>
    <w:rsid w:val="00866E10"/>
    <w:rsid w:val="00870497"/>
    <w:rsid w:val="008713E4"/>
    <w:rsid w:val="00871544"/>
    <w:rsid w:val="008760CF"/>
    <w:rsid w:val="00885C6E"/>
    <w:rsid w:val="008860F5"/>
    <w:rsid w:val="008864CB"/>
    <w:rsid w:val="00886F40"/>
    <w:rsid w:val="0089014D"/>
    <w:rsid w:val="00892B9F"/>
    <w:rsid w:val="00893807"/>
    <w:rsid w:val="00895613"/>
    <w:rsid w:val="00895919"/>
    <w:rsid w:val="008A03E1"/>
    <w:rsid w:val="008A12DE"/>
    <w:rsid w:val="008A15FB"/>
    <w:rsid w:val="008A281A"/>
    <w:rsid w:val="008A2C68"/>
    <w:rsid w:val="008A4857"/>
    <w:rsid w:val="008B1412"/>
    <w:rsid w:val="008B1572"/>
    <w:rsid w:val="008B235F"/>
    <w:rsid w:val="008B287F"/>
    <w:rsid w:val="008B30CE"/>
    <w:rsid w:val="008B6C24"/>
    <w:rsid w:val="008C04F5"/>
    <w:rsid w:val="008C246B"/>
    <w:rsid w:val="008C2CC7"/>
    <w:rsid w:val="008C3DDE"/>
    <w:rsid w:val="008C5812"/>
    <w:rsid w:val="008C5A3A"/>
    <w:rsid w:val="008C71D7"/>
    <w:rsid w:val="008D2694"/>
    <w:rsid w:val="008D331D"/>
    <w:rsid w:val="008D33BB"/>
    <w:rsid w:val="008D5A88"/>
    <w:rsid w:val="008D5ABA"/>
    <w:rsid w:val="008D6FAA"/>
    <w:rsid w:val="008D7601"/>
    <w:rsid w:val="008E1870"/>
    <w:rsid w:val="008E288B"/>
    <w:rsid w:val="008E4F45"/>
    <w:rsid w:val="008E5096"/>
    <w:rsid w:val="008E5664"/>
    <w:rsid w:val="008F077D"/>
    <w:rsid w:val="008F0AE1"/>
    <w:rsid w:val="008F1C40"/>
    <w:rsid w:val="008F29D9"/>
    <w:rsid w:val="008F56F3"/>
    <w:rsid w:val="008F5CF0"/>
    <w:rsid w:val="008F63A4"/>
    <w:rsid w:val="008F6B19"/>
    <w:rsid w:val="00900238"/>
    <w:rsid w:val="009016F2"/>
    <w:rsid w:val="0090225F"/>
    <w:rsid w:val="00903C1B"/>
    <w:rsid w:val="009065FB"/>
    <w:rsid w:val="00906A06"/>
    <w:rsid w:val="00907BCB"/>
    <w:rsid w:val="00910009"/>
    <w:rsid w:val="009111C3"/>
    <w:rsid w:val="00911F35"/>
    <w:rsid w:val="009148E3"/>
    <w:rsid w:val="00916429"/>
    <w:rsid w:val="009244F6"/>
    <w:rsid w:val="00924C22"/>
    <w:rsid w:val="009273F7"/>
    <w:rsid w:val="00930A30"/>
    <w:rsid w:val="0093197B"/>
    <w:rsid w:val="00931F2B"/>
    <w:rsid w:val="00933222"/>
    <w:rsid w:val="0093443F"/>
    <w:rsid w:val="0093540F"/>
    <w:rsid w:val="00936469"/>
    <w:rsid w:val="00937E64"/>
    <w:rsid w:val="00940496"/>
    <w:rsid w:val="00940E5A"/>
    <w:rsid w:val="009445DA"/>
    <w:rsid w:val="00944ACF"/>
    <w:rsid w:val="00946798"/>
    <w:rsid w:val="0094774E"/>
    <w:rsid w:val="00950312"/>
    <w:rsid w:val="0095060C"/>
    <w:rsid w:val="00952E9E"/>
    <w:rsid w:val="00954810"/>
    <w:rsid w:val="00954DC6"/>
    <w:rsid w:val="009559D4"/>
    <w:rsid w:val="00957793"/>
    <w:rsid w:val="00957873"/>
    <w:rsid w:val="009603F8"/>
    <w:rsid w:val="00960EC2"/>
    <w:rsid w:val="00961267"/>
    <w:rsid w:val="00961E55"/>
    <w:rsid w:val="00964FCA"/>
    <w:rsid w:val="0097398A"/>
    <w:rsid w:val="00974F26"/>
    <w:rsid w:val="00982092"/>
    <w:rsid w:val="00983E27"/>
    <w:rsid w:val="009845BE"/>
    <w:rsid w:val="00984EE3"/>
    <w:rsid w:val="00985FA3"/>
    <w:rsid w:val="0099001F"/>
    <w:rsid w:val="00992393"/>
    <w:rsid w:val="00993585"/>
    <w:rsid w:val="00993AC4"/>
    <w:rsid w:val="009A00F7"/>
    <w:rsid w:val="009A05C5"/>
    <w:rsid w:val="009A400A"/>
    <w:rsid w:val="009A44D9"/>
    <w:rsid w:val="009A4D9D"/>
    <w:rsid w:val="009A5632"/>
    <w:rsid w:val="009A5648"/>
    <w:rsid w:val="009A5D8F"/>
    <w:rsid w:val="009A6C0F"/>
    <w:rsid w:val="009B7454"/>
    <w:rsid w:val="009C1DD0"/>
    <w:rsid w:val="009C25DF"/>
    <w:rsid w:val="009C33EB"/>
    <w:rsid w:val="009C59FF"/>
    <w:rsid w:val="009C5D49"/>
    <w:rsid w:val="009C5E0E"/>
    <w:rsid w:val="009C72C7"/>
    <w:rsid w:val="009C7D37"/>
    <w:rsid w:val="009D2D08"/>
    <w:rsid w:val="009D546E"/>
    <w:rsid w:val="009D58A5"/>
    <w:rsid w:val="009D69C5"/>
    <w:rsid w:val="009D7F57"/>
    <w:rsid w:val="009E5E38"/>
    <w:rsid w:val="009E7E0F"/>
    <w:rsid w:val="009F0169"/>
    <w:rsid w:val="009F1A81"/>
    <w:rsid w:val="009F520C"/>
    <w:rsid w:val="009F5306"/>
    <w:rsid w:val="009F73A7"/>
    <w:rsid w:val="009F749D"/>
    <w:rsid w:val="009F7A1E"/>
    <w:rsid w:val="00A0346D"/>
    <w:rsid w:val="00A0399A"/>
    <w:rsid w:val="00A04664"/>
    <w:rsid w:val="00A05374"/>
    <w:rsid w:val="00A10C42"/>
    <w:rsid w:val="00A137C1"/>
    <w:rsid w:val="00A167FD"/>
    <w:rsid w:val="00A203AE"/>
    <w:rsid w:val="00A21FD8"/>
    <w:rsid w:val="00A226EE"/>
    <w:rsid w:val="00A24E43"/>
    <w:rsid w:val="00A25C63"/>
    <w:rsid w:val="00A27599"/>
    <w:rsid w:val="00A3003B"/>
    <w:rsid w:val="00A33749"/>
    <w:rsid w:val="00A34F56"/>
    <w:rsid w:val="00A36B5D"/>
    <w:rsid w:val="00A37023"/>
    <w:rsid w:val="00A37988"/>
    <w:rsid w:val="00A40741"/>
    <w:rsid w:val="00A43A05"/>
    <w:rsid w:val="00A464B9"/>
    <w:rsid w:val="00A46F7A"/>
    <w:rsid w:val="00A47F7C"/>
    <w:rsid w:val="00A60550"/>
    <w:rsid w:val="00A605E0"/>
    <w:rsid w:val="00A60BC1"/>
    <w:rsid w:val="00A6170E"/>
    <w:rsid w:val="00A6260E"/>
    <w:rsid w:val="00A63D12"/>
    <w:rsid w:val="00A64238"/>
    <w:rsid w:val="00A65EF0"/>
    <w:rsid w:val="00A661AE"/>
    <w:rsid w:val="00A74293"/>
    <w:rsid w:val="00A75ABA"/>
    <w:rsid w:val="00A75D13"/>
    <w:rsid w:val="00A772B2"/>
    <w:rsid w:val="00A8018F"/>
    <w:rsid w:val="00A811F4"/>
    <w:rsid w:val="00A81780"/>
    <w:rsid w:val="00A81914"/>
    <w:rsid w:val="00A81CBC"/>
    <w:rsid w:val="00A82B39"/>
    <w:rsid w:val="00A83A3A"/>
    <w:rsid w:val="00A8407F"/>
    <w:rsid w:val="00A84240"/>
    <w:rsid w:val="00A86FDA"/>
    <w:rsid w:val="00A87A6D"/>
    <w:rsid w:val="00A90A61"/>
    <w:rsid w:val="00A92570"/>
    <w:rsid w:val="00A929C8"/>
    <w:rsid w:val="00A9672A"/>
    <w:rsid w:val="00AA0CCB"/>
    <w:rsid w:val="00AA1240"/>
    <w:rsid w:val="00AA524A"/>
    <w:rsid w:val="00AA5826"/>
    <w:rsid w:val="00AA6890"/>
    <w:rsid w:val="00AA6A56"/>
    <w:rsid w:val="00AA6D58"/>
    <w:rsid w:val="00AB027B"/>
    <w:rsid w:val="00AB18E7"/>
    <w:rsid w:val="00AB3394"/>
    <w:rsid w:val="00AB3A08"/>
    <w:rsid w:val="00AB52B6"/>
    <w:rsid w:val="00AB5930"/>
    <w:rsid w:val="00AB677B"/>
    <w:rsid w:val="00AB69C4"/>
    <w:rsid w:val="00AB73FC"/>
    <w:rsid w:val="00AB780A"/>
    <w:rsid w:val="00AC00EF"/>
    <w:rsid w:val="00AC1F34"/>
    <w:rsid w:val="00AC22FC"/>
    <w:rsid w:val="00AC3A56"/>
    <w:rsid w:val="00AC4955"/>
    <w:rsid w:val="00AC4B7E"/>
    <w:rsid w:val="00AC5F5E"/>
    <w:rsid w:val="00AC6DE2"/>
    <w:rsid w:val="00AC799B"/>
    <w:rsid w:val="00AD07AF"/>
    <w:rsid w:val="00AD0E31"/>
    <w:rsid w:val="00AD192D"/>
    <w:rsid w:val="00AD3915"/>
    <w:rsid w:val="00AD477A"/>
    <w:rsid w:val="00AE0D36"/>
    <w:rsid w:val="00AE0D6A"/>
    <w:rsid w:val="00AE0F0B"/>
    <w:rsid w:val="00AE1BA1"/>
    <w:rsid w:val="00AE2EBC"/>
    <w:rsid w:val="00AE6A73"/>
    <w:rsid w:val="00AE7E8D"/>
    <w:rsid w:val="00AF0291"/>
    <w:rsid w:val="00AF2B98"/>
    <w:rsid w:val="00AF406B"/>
    <w:rsid w:val="00AF4D36"/>
    <w:rsid w:val="00AF6268"/>
    <w:rsid w:val="00AF6EBA"/>
    <w:rsid w:val="00B05BEC"/>
    <w:rsid w:val="00B06BF1"/>
    <w:rsid w:val="00B07992"/>
    <w:rsid w:val="00B10FAD"/>
    <w:rsid w:val="00B11B56"/>
    <w:rsid w:val="00B12A4E"/>
    <w:rsid w:val="00B14C6D"/>
    <w:rsid w:val="00B1782F"/>
    <w:rsid w:val="00B20C17"/>
    <w:rsid w:val="00B20C57"/>
    <w:rsid w:val="00B21009"/>
    <w:rsid w:val="00B21426"/>
    <w:rsid w:val="00B2151C"/>
    <w:rsid w:val="00B21E6A"/>
    <w:rsid w:val="00B22E3B"/>
    <w:rsid w:val="00B23B68"/>
    <w:rsid w:val="00B24A73"/>
    <w:rsid w:val="00B26836"/>
    <w:rsid w:val="00B27825"/>
    <w:rsid w:val="00B303B0"/>
    <w:rsid w:val="00B31374"/>
    <w:rsid w:val="00B327AA"/>
    <w:rsid w:val="00B331C2"/>
    <w:rsid w:val="00B33E1F"/>
    <w:rsid w:val="00B346DB"/>
    <w:rsid w:val="00B351FB"/>
    <w:rsid w:val="00B35F8C"/>
    <w:rsid w:val="00B3690F"/>
    <w:rsid w:val="00B422B8"/>
    <w:rsid w:val="00B42747"/>
    <w:rsid w:val="00B4303A"/>
    <w:rsid w:val="00B4434B"/>
    <w:rsid w:val="00B44DF5"/>
    <w:rsid w:val="00B4597B"/>
    <w:rsid w:val="00B45A16"/>
    <w:rsid w:val="00B47BE3"/>
    <w:rsid w:val="00B51303"/>
    <w:rsid w:val="00B54CED"/>
    <w:rsid w:val="00B5758E"/>
    <w:rsid w:val="00B60F0D"/>
    <w:rsid w:val="00B60F1E"/>
    <w:rsid w:val="00B6173E"/>
    <w:rsid w:val="00B61D35"/>
    <w:rsid w:val="00B6241E"/>
    <w:rsid w:val="00B62609"/>
    <w:rsid w:val="00B62AF4"/>
    <w:rsid w:val="00B63B84"/>
    <w:rsid w:val="00B63CC6"/>
    <w:rsid w:val="00B71764"/>
    <w:rsid w:val="00B72300"/>
    <w:rsid w:val="00B72969"/>
    <w:rsid w:val="00B75314"/>
    <w:rsid w:val="00B77504"/>
    <w:rsid w:val="00B80DBC"/>
    <w:rsid w:val="00B82E58"/>
    <w:rsid w:val="00B842BB"/>
    <w:rsid w:val="00B853B1"/>
    <w:rsid w:val="00B858A4"/>
    <w:rsid w:val="00B861BF"/>
    <w:rsid w:val="00B9116D"/>
    <w:rsid w:val="00B93E0E"/>
    <w:rsid w:val="00B956B1"/>
    <w:rsid w:val="00B95DF5"/>
    <w:rsid w:val="00B9617D"/>
    <w:rsid w:val="00BA2264"/>
    <w:rsid w:val="00BA22F4"/>
    <w:rsid w:val="00BA36BA"/>
    <w:rsid w:val="00BA6805"/>
    <w:rsid w:val="00BA79E2"/>
    <w:rsid w:val="00BB019B"/>
    <w:rsid w:val="00BB1214"/>
    <w:rsid w:val="00BB20A7"/>
    <w:rsid w:val="00BB3239"/>
    <w:rsid w:val="00BB3AD5"/>
    <w:rsid w:val="00BB6041"/>
    <w:rsid w:val="00BC335F"/>
    <w:rsid w:val="00BC4D77"/>
    <w:rsid w:val="00BC4F51"/>
    <w:rsid w:val="00BC5078"/>
    <w:rsid w:val="00BC59AF"/>
    <w:rsid w:val="00BC5AEC"/>
    <w:rsid w:val="00BC6708"/>
    <w:rsid w:val="00BC6DE3"/>
    <w:rsid w:val="00BD0282"/>
    <w:rsid w:val="00BD05F9"/>
    <w:rsid w:val="00BD12B6"/>
    <w:rsid w:val="00BD1F5B"/>
    <w:rsid w:val="00BD217F"/>
    <w:rsid w:val="00BD796B"/>
    <w:rsid w:val="00BE115E"/>
    <w:rsid w:val="00BE2649"/>
    <w:rsid w:val="00BF24C0"/>
    <w:rsid w:val="00BF5223"/>
    <w:rsid w:val="00C030E9"/>
    <w:rsid w:val="00C03A75"/>
    <w:rsid w:val="00C03C6C"/>
    <w:rsid w:val="00C03F9F"/>
    <w:rsid w:val="00C04823"/>
    <w:rsid w:val="00C05891"/>
    <w:rsid w:val="00C0735A"/>
    <w:rsid w:val="00C073B9"/>
    <w:rsid w:val="00C075B2"/>
    <w:rsid w:val="00C25F8F"/>
    <w:rsid w:val="00C26A97"/>
    <w:rsid w:val="00C27203"/>
    <w:rsid w:val="00C3089B"/>
    <w:rsid w:val="00C37C55"/>
    <w:rsid w:val="00C400DA"/>
    <w:rsid w:val="00C413A5"/>
    <w:rsid w:val="00C429D6"/>
    <w:rsid w:val="00C434B9"/>
    <w:rsid w:val="00C449EB"/>
    <w:rsid w:val="00C45EC0"/>
    <w:rsid w:val="00C46E5D"/>
    <w:rsid w:val="00C50539"/>
    <w:rsid w:val="00C5188F"/>
    <w:rsid w:val="00C52C8F"/>
    <w:rsid w:val="00C53A35"/>
    <w:rsid w:val="00C541D6"/>
    <w:rsid w:val="00C57F2B"/>
    <w:rsid w:val="00C60868"/>
    <w:rsid w:val="00C614D0"/>
    <w:rsid w:val="00C61662"/>
    <w:rsid w:val="00C619B1"/>
    <w:rsid w:val="00C62CEE"/>
    <w:rsid w:val="00C64C65"/>
    <w:rsid w:val="00C650AA"/>
    <w:rsid w:val="00C66F78"/>
    <w:rsid w:val="00C7267E"/>
    <w:rsid w:val="00C73BAF"/>
    <w:rsid w:val="00C73EEA"/>
    <w:rsid w:val="00C80BE2"/>
    <w:rsid w:val="00C81364"/>
    <w:rsid w:val="00C82687"/>
    <w:rsid w:val="00C86201"/>
    <w:rsid w:val="00C86A99"/>
    <w:rsid w:val="00C86FA5"/>
    <w:rsid w:val="00C876A2"/>
    <w:rsid w:val="00C92161"/>
    <w:rsid w:val="00C926EF"/>
    <w:rsid w:val="00C9582C"/>
    <w:rsid w:val="00C95B45"/>
    <w:rsid w:val="00C9637A"/>
    <w:rsid w:val="00C96472"/>
    <w:rsid w:val="00C97E09"/>
    <w:rsid w:val="00CA21C7"/>
    <w:rsid w:val="00CA3475"/>
    <w:rsid w:val="00CA43F4"/>
    <w:rsid w:val="00CA5600"/>
    <w:rsid w:val="00CB076E"/>
    <w:rsid w:val="00CB134B"/>
    <w:rsid w:val="00CB251E"/>
    <w:rsid w:val="00CB4F41"/>
    <w:rsid w:val="00CB6C54"/>
    <w:rsid w:val="00CC02A2"/>
    <w:rsid w:val="00CC08BC"/>
    <w:rsid w:val="00CC1038"/>
    <w:rsid w:val="00CC1242"/>
    <w:rsid w:val="00CC2521"/>
    <w:rsid w:val="00CC401C"/>
    <w:rsid w:val="00CC49F3"/>
    <w:rsid w:val="00CC5AA0"/>
    <w:rsid w:val="00CC67C3"/>
    <w:rsid w:val="00CC75C5"/>
    <w:rsid w:val="00CD08C8"/>
    <w:rsid w:val="00CD210D"/>
    <w:rsid w:val="00CD4B67"/>
    <w:rsid w:val="00CD5ACC"/>
    <w:rsid w:val="00CD6CED"/>
    <w:rsid w:val="00CE0C45"/>
    <w:rsid w:val="00CE394E"/>
    <w:rsid w:val="00CE3ACD"/>
    <w:rsid w:val="00CE52BC"/>
    <w:rsid w:val="00CE67DD"/>
    <w:rsid w:val="00CE6FB2"/>
    <w:rsid w:val="00CE74EB"/>
    <w:rsid w:val="00CF278E"/>
    <w:rsid w:val="00D03A21"/>
    <w:rsid w:val="00D048DA"/>
    <w:rsid w:val="00D06F0E"/>
    <w:rsid w:val="00D07974"/>
    <w:rsid w:val="00D10830"/>
    <w:rsid w:val="00D11272"/>
    <w:rsid w:val="00D1154A"/>
    <w:rsid w:val="00D11944"/>
    <w:rsid w:val="00D15260"/>
    <w:rsid w:val="00D1747C"/>
    <w:rsid w:val="00D17BDD"/>
    <w:rsid w:val="00D17E47"/>
    <w:rsid w:val="00D201B4"/>
    <w:rsid w:val="00D21E52"/>
    <w:rsid w:val="00D23CC7"/>
    <w:rsid w:val="00D24694"/>
    <w:rsid w:val="00D24A91"/>
    <w:rsid w:val="00D25447"/>
    <w:rsid w:val="00D25AD3"/>
    <w:rsid w:val="00D2725A"/>
    <w:rsid w:val="00D272C2"/>
    <w:rsid w:val="00D27305"/>
    <w:rsid w:val="00D276F4"/>
    <w:rsid w:val="00D30748"/>
    <w:rsid w:val="00D323E4"/>
    <w:rsid w:val="00D33234"/>
    <w:rsid w:val="00D33365"/>
    <w:rsid w:val="00D33590"/>
    <w:rsid w:val="00D33781"/>
    <w:rsid w:val="00D34975"/>
    <w:rsid w:val="00D36D38"/>
    <w:rsid w:val="00D3712D"/>
    <w:rsid w:val="00D37C3E"/>
    <w:rsid w:val="00D4041B"/>
    <w:rsid w:val="00D40C02"/>
    <w:rsid w:val="00D414E3"/>
    <w:rsid w:val="00D41FC5"/>
    <w:rsid w:val="00D45887"/>
    <w:rsid w:val="00D468DD"/>
    <w:rsid w:val="00D52114"/>
    <w:rsid w:val="00D55827"/>
    <w:rsid w:val="00D56015"/>
    <w:rsid w:val="00D56169"/>
    <w:rsid w:val="00D629BA"/>
    <w:rsid w:val="00D65CBA"/>
    <w:rsid w:val="00D66111"/>
    <w:rsid w:val="00D729FA"/>
    <w:rsid w:val="00D7348A"/>
    <w:rsid w:val="00D76E3B"/>
    <w:rsid w:val="00D8013F"/>
    <w:rsid w:val="00D8113C"/>
    <w:rsid w:val="00D81E89"/>
    <w:rsid w:val="00D8297C"/>
    <w:rsid w:val="00D83AC5"/>
    <w:rsid w:val="00D86384"/>
    <w:rsid w:val="00D92405"/>
    <w:rsid w:val="00D94CDC"/>
    <w:rsid w:val="00D9539E"/>
    <w:rsid w:val="00D97C7E"/>
    <w:rsid w:val="00DA1C3B"/>
    <w:rsid w:val="00DA369A"/>
    <w:rsid w:val="00DA4A79"/>
    <w:rsid w:val="00DA4D66"/>
    <w:rsid w:val="00DA5873"/>
    <w:rsid w:val="00DA7C47"/>
    <w:rsid w:val="00DB18E8"/>
    <w:rsid w:val="00DB4803"/>
    <w:rsid w:val="00DB62A2"/>
    <w:rsid w:val="00DB62E4"/>
    <w:rsid w:val="00DC156A"/>
    <w:rsid w:val="00DC1885"/>
    <w:rsid w:val="00DC19CD"/>
    <w:rsid w:val="00DC2B32"/>
    <w:rsid w:val="00DC6BFC"/>
    <w:rsid w:val="00DC75BE"/>
    <w:rsid w:val="00DD1491"/>
    <w:rsid w:val="00DD154D"/>
    <w:rsid w:val="00DD24B9"/>
    <w:rsid w:val="00DD45B3"/>
    <w:rsid w:val="00DD4DB5"/>
    <w:rsid w:val="00DD53B2"/>
    <w:rsid w:val="00DD5B39"/>
    <w:rsid w:val="00DD6296"/>
    <w:rsid w:val="00DD6558"/>
    <w:rsid w:val="00DD6D10"/>
    <w:rsid w:val="00DD6F35"/>
    <w:rsid w:val="00DE2B83"/>
    <w:rsid w:val="00DE32C9"/>
    <w:rsid w:val="00DE4290"/>
    <w:rsid w:val="00DE728F"/>
    <w:rsid w:val="00DE7C74"/>
    <w:rsid w:val="00DF0856"/>
    <w:rsid w:val="00DF4C82"/>
    <w:rsid w:val="00DF4E1B"/>
    <w:rsid w:val="00DF63A3"/>
    <w:rsid w:val="00DF7EC5"/>
    <w:rsid w:val="00E00446"/>
    <w:rsid w:val="00E00ADA"/>
    <w:rsid w:val="00E01971"/>
    <w:rsid w:val="00E02361"/>
    <w:rsid w:val="00E04590"/>
    <w:rsid w:val="00E05C3A"/>
    <w:rsid w:val="00E06A4C"/>
    <w:rsid w:val="00E070CA"/>
    <w:rsid w:val="00E13BDF"/>
    <w:rsid w:val="00E14E37"/>
    <w:rsid w:val="00E14FB3"/>
    <w:rsid w:val="00E15F3D"/>
    <w:rsid w:val="00E176E8"/>
    <w:rsid w:val="00E17A17"/>
    <w:rsid w:val="00E23C64"/>
    <w:rsid w:val="00E2450E"/>
    <w:rsid w:val="00E24847"/>
    <w:rsid w:val="00E24972"/>
    <w:rsid w:val="00E265E7"/>
    <w:rsid w:val="00E27F1D"/>
    <w:rsid w:val="00E317C2"/>
    <w:rsid w:val="00E33D5B"/>
    <w:rsid w:val="00E342CA"/>
    <w:rsid w:val="00E4197E"/>
    <w:rsid w:val="00E4380A"/>
    <w:rsid w:val="00E4401C"/>
    <w:rsid w:val="00E44C15"/>
    <w:rsid w:val="00E45D80"/>
    <w:rsid w:val="00E50C29"/>
    <w:rsid w:val="00E50D44"/>
    <w:rsid w:val="00E51660"/>
    <w:rsid w:val="00E53173"/>
    <w:rsid w:val="00E5347B"/>
    <w:rsid w:val="00E53794"/>
    <w:rsid w:val="00E61998"/>
    <w:rsid w:val="00E62C6D"/>
    <w:rsid w:val="00E64A38"/>
    <w:rsid w:val="00E6529C"/>
    <w:rsid w:val="00E6580B"/>
    <w:rsid w:val="00E7163B"/>
    <w:rsid w:val="00E8051B"/>
    <w:rsid w:val="00E845CE"/>
    <w:rsid w:val="00E874ED"/>
    <w:rsid w:val="00E879F4"/>
    <w:rsid w:val="00E90769"/>
    <w:rsid w:val="00E90AB2"/>
    <w:rsid w:val="00E90FEE"/>
    <w:rsid w:val="00E91ECF"/>
    <w:rsid w:val="00E960D1"/>
    <w:rsid w:val="00E97ED2"/>
    <w:rsid w:val="00EA5F66"/>
    <w:rsid w:val="00EA6944"/>
    <w:rsid w:val="00EA7F04"/>
    <w:rsid w:val="00EB0505"/>
    <w:rsid w:val="00EB14FF"/>
    <w:rsid w:val="00EB1791"/>
    <w:rsid w:val="00EB55E6"/>
    <w:rsid w:val="00EB5DBF"/>
    <w:rsid w:val="00EB6B28"/>
    <w:rsid w:val="00EB77CD"/>
    <w:rsid w:val="00EC16B6"/>
    <w:rsid w:val="00EC1903"/>
    <w:rsid w:val="00EC194D"/>
    <w:rsid w:val="00EC1CD7"/>
    <w:rsid w:val="00EC3D82"/>
    <w:rsid w:val="00EC45A1"/>
    <w:rsid w:val="00EC5702"/>
    <w:rsid w:val="00EC5D04"/>
    <w:rsid w:val="00EC6780"/>
    <w:rsid w:val="00EC6AB5"/>
    <w:rsid w:val="00EC7727"/>
    <w:rsid w:val="00ED23F2"/>
    <w:rsid w:val="00ED30C5"/>
    <w:rsid w:val="00ED5F97"/>
    <w:rsid w:val="00ED6247"/>
    <w:rsid w:val="00ED6D87"/>
    <w:rsid w:val="00ED7D94"/>
    <w:rsid w:val="00EE0E7D"/>
    <w:rsid w:val="00EE10E7"/>
    <w:rsid w:val="00EE3A6A"/>
    <w:rsid w:val="00EE3CC7"/>
    <w:rsid w:val="00EE54D1"/>
    <w:rsid w:val="00EE6C48"/>
    <w:rsid w:val="00EE795B"/>
    <w:rsid w:val="00EF610E"/>
    <w:rsid w:val="00EF6653"/>
    <w:rsid w:val="00EF7BC6"/>
    <w:rsid w:val="00F007EE"/>
    <w:rsid w:val="00F00D43"/>
    <w:rsid w:val="00F01165"/>
    <w:rsid w:val="00F012E3"/>
    <w:rsid w:val="00F02A58"/>
    <w:rsid w:val="00F03EBE"/>
    <w:rsid w:val="00F055F5"/>
    <w:rsid w:val="00F06316"/>
    <w:rsid w:val="00F0722F"/>
    <w:rsid w:val="00F07F45"/>
    <w:rsid w:val="00F10024"/>
    <w:rsid w:val="00F10CB6"/>
    <w:rsid w:val="00F10D0D"/>
    <w:rsid w:val="00F10F8E"/>
    <w:rsid w:val="00F11002"/>
    <w:rsid w:val="00F12578"/>
    <w:rsid w:val="00F14873"/>
    <w:rsid w:val="00F14F5E"/>
    <w:rsid w:val="00F1562A"/>
    <w:rsid w:val="00F233CA"/>
    <w:rsid w:val="00F2442C"/>
    <w:rsid w:val="00F259F2"/>
    <w:rsid w:val="00F25CC3"/>
    <w:rsid w:val="00F26142"/>
    <w:rsid w:val="00F363DA"/>
    <w:rsid w:val="00F370D3"/>
    <w:rsid w:val="00F44B56"/>
    <w:rsid w:val="00F4512C"/>
    <w:rsid w:val="00F45CCF"/>
    <w:rsid w:val="00F4739D"/>
    <w:rsid w:val="00F53DCA"/>
    <w:rsid w:val="00F547BA"/>
    <w:rsid w:val="00F5598A"/>
    <w:rsid w:val="00F55D2D"/>
    <w:rsid w:val="00F57395"/>
    <w:rsid w:val="00F57472"/>
    <w:rsid w:val="00F62577"/>
    <w:rsid w:val="00F6300D"/>
    <w:rsid w:val="00F641B2"/>
    <w:rsid w:val="00F66C5A"/>
    <w:rsid w:val="00F72B14"/>
    <w:rsid w:val="00F74703"/>
    <w:rsid w:val="00F75FA8"/>
    <w:rsid w:val="00F765D4"/>
    <w:rsid w:val="00F771F7"/>
    <w:rsid w:val="00F7770C"/>
    <w:rsid w:val="00F77F53"/>
    <w:rsid w:val="00F807FB"/>
    <w:rsid w:val="00F80AEE"/>
    <w:rsid w:val="00F81F7F"/>
    <w:rsid w:val="00F82013"/>
    <w:rsid w:val="00F82C33"/>
    <w:rsid w:val="00F86048"/>
    <w:rsid w:val="00F9177D"/>
    <w:rsid w:val="00F931EF"/>
    <w:rsid w:val="00F93F63"/>
    <w:rsid w:val="00F9428D"/>
    <w:rsid w:val="00F94630"/>
    <w:rsid w:val="00F946F2"/>
    <w:rsid w:val="00F97C57"/>
    <w:rsid w:val="00FA0E03"/>
    <w:rsid w:val="00FA1DAD"/>
    <w:rsid w:val="00FA2D77"/>
    <w:rsid w:val="00FA31FC"/>
    <w:rsid w:val="00FA45CA"/>
    <w:rsid w:val="00FA4DC4"/>
    <w:rsid w:val="00FA66D8"/>
    <w:rsid w:val="00FA6AB4"/>
    <w:rsid w:val="00FA733D"/>
    <w:rsid w:val="00FB0AFD"/>
    <w:rsid w:val="00FB15A3"/>
    <w:rsid w:val="00FB1C80"/>
    <w:rsid w:val="00FB2725"/>
    <w:rsid w:val="00FB7D44"/>
    <w:rsid w:val="00FC2EB5"/>
    <w:rsid w:val="00FC31B2"/>
    <w:rsid w:val="00FC3337"/>
    <w:rsid w:val="00FC45EF"/>
    <w:rsid w:val="00FC496C"/>
    <w:rsid w:val="00FC6B8A"/>
    <w:rsid w:val="00FC71DE"/>
    <w:rsid w:val="00FC76B1"/>
    <w:rsid w:val="00FD0F55"/>
    <w:rsid w:val="00FD2CDD"/>
    <w:rsid w:val="00FD391C"/>
    <w:rsid w:val="00FD3F79"/>
    <w:rsid w:val="00FD45F3"/>
    <w:rsid w:val="00FD4D41"/>
    <w:rsid w:val="00FD7A13"/>
    <w:rsid w:val="00FD7D06"/>
    <w:rsid w:val="00FD7F61"/>
    <w:rsid w:val="00FE0C9F"/>
    <w:rsid w:val="00FE1221"/>
    <w:rsid w:val="00FE1E15"/>
    <w:rsid w:val="00FE21F9"/>
    <w:rsid w:val="00FE4EB7"/>
    <w:rsid w:val="00FE61D7"/>
    <w:rsid w:val="00FE646E"/>
    <w:rsid w:val="00FE70DC"/>
    <w:rsid w:val="00FE7484"/>
    <w:rsid w:val="00FF072C"/>
    <w:rsid w:val="00FF195A"/>
    <w:rsid w:val="00FF48D5"/>
    <w:rsid w:val="00FF5784"/>
    <w:rsid w:val="00FF7758"/>
    <w:rsid w:val="35D07F0F"/>
    <w:rsid w:val="3C1B2DF1"/>
    <w:rsid w:val="709A8848"/>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EF7B9AA"/>
  <w15:docId w15:val="{28933645-7DF7-3141-8F9E-39A2951ED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0"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4E3"/>
    <w:rPr>
      <w:sz w:val="20"/>
      <w:lang w:val="en-GB"/>
    </w:rPr>
  </w:style>
  <w:style w:type="paragraph" w:styleId="Heading1">
    <w:name w:val="heading 1"/>
    <w:basedOn w:val="Normal"/>
    <w:next w:val="Normal"/>
    <w:link w:val="Heading1Char"/>
    <w:uiPriority w:val="9"/>
    <w:qFormat/>
    <w:rsid w:val="00170EB7"/>
    <w:pPr>
      <w:keepNext/>
      <w:keepLines/>
      <w:pageBreakBefore/>
      <w:pBdr>
        <w:bottom w:val="single" w:sz="12" w:space="1" w:color="1A4FAB" w:themeColor="text2"/>
      </w:pBdr>
      <w:spacing w:before="240"/>
      <w:outlineLvl w:val="0"/>
    </w:pPr>
    <w:rPr>
      <w:rFonts w:asciiTheme="majorHAnsi" w:eastAsiaTheme="majorEastAsia" w:hAnsiTheme="majorHAnsi" w:cstheme="majorBidi"/>
      <w:b/>
      <w:color w:val="1A4FAB" w:themeColor="text2"/>
      <w:sz w:val="44"/>
      <w:szCs w:val="32"/>
    </w:rPr>
  </w:style>
  <w:style w:type="paragraph" w:styleId="Heading2">
    <w:name w:val="heading 2"/>
    <w:basedOn w:val="Normal"/>
    <w:next w:val="Normal"/>
    <w:link w:val="Heading2Char"/>
    <w:uiPriority w:val="9"/>
    <w:qFormat/>
    <w:rsid w:val="00AE0D6A"/>
    <w:pPr>
      <w:keepNext/>
      <w:keepLines/>
      <w:spacing w:before="400"/>
      <w:outlineLvl w:val="1"/>
    </w:pPr>
    <w:rPr>
      <w:rFonts w:asciiTheme="majorHAnsi" w:eastAsiaTheme="majorEastAsia" w:hAnsiTheme="majorHAnsi" w:cstheme="majorBidi"/>
      <w:b/>
      <w:color w:val="1A4FAB" w:themeColor="text2"/>
      <w:sz w:val="28"/>
      <w:szCs w:val="26"/>
    </w:rPr>
  </w:style>
  <w:style w:type="paragraph" w:styleId="Heading3">
    <w:name w:val="heading 3"/>
    <w:basedOn w:val="Normal"/>
    <w:next w:val="Normal"/>
    <w:link w:val="Heading3Char"/>
    <w:uiPriority w:val="9"/>
    <w:qFormat/>
    <w:rsid w:val="009445DA"/>
    <w:pPr>
      <w:keepNext/>
      <w:keepLines/>
      <w:spacing w:before="360"/>
      <w:outlineLvl w:val="2"/>
    </w:pPr>
    <w:rPr>
      <w:rFonts w:asciiTheme="majorHAnsi" w:eastAsiaTheme="majorEastAsia" w:hAnsiTheme="majorHAnsi" w:cstheme="majorBidi"/>
      <w:b/>
      <w:color w:val="1A4FAB" w:themeColor="text2"/>
      <w:sz w:val="24"/>
      <w:szCs w:val="24"/>
    </w:rPr>
  </w:style>
  <w:style w:type="paragraph" w:styleId="Heading4">
    <w:name w:val="heading 4"/>
    <w:basedOn w:val="Normal"/>
    <w:next w:val="Normal"/>
    <w:link w:val="Heading4Char"/>
    <w:uiPriority w:val="9"/>
    <w:qFormat/>
    <w:rsid w:val="009445DA"/>
    <w:pPr>
      <w:outlineLvl w:val="3"/>
    </w:pPr>
    <w:rPr>
      <w:b/>
      <w:i/>
      <w:color w:val="1A4FAB" w:themeColor="text2"/>
    </w:rPr>
  </w:style>
  <w:style w:type="paragraph" w:styleId="Heading5">
    <w:name w:val="heading 5"/>
    <w:basedOn w:val="Normal"/>
    <w:next w:val="BodyText"/>
    <w:link w:val="Heading5Char"/>
    <w:uiPriority w:val="9"/>
    <w:unhideWhenUsed/>
    <w:qFormat/>
    <w:rsid w:val="00F77F53"/>
    <w:pPr>
      <w:keepNext/>
      <w:keepLines/>
      <w:spacing w:before="200" w:after="0" w:line="240" w:lineRule="auto"/>
      <w:outlineLvl w:val="4"/>
    </w:pPr>
    <w:rPr>
      <w:rFonts w:asciiTheme="majorHAnsi" w:eastAsiaTheme="majorEastAsia" w:hAnsiTheme="majorHAnsi" w:cstheme="majorBidi"/>
      <w:i/>
      <w:iCs/>
      <w:color w:val="5B8EE6" w:themeColor="accent1"/>
      <w:sz w:val="24"/>
      <w:szCs w:val="24"/>
      <w:lang w:val="en-US"/>
    </w:rPr>
  </w:style>
  <w:style w:type="paragraph" w:styleId="Heading6">
    <w:name w:val="heading 6"/>
    <w:basedOn w:val="Normal"/>
    <w:next w:val="BodyText"/>
    <w:link w:val="Heading6Char"/>
    <w:uiPriority w:val="9"/>
    <w:unhideWhenUsed/>
    <w:qFormat/>
    <w:rsid w:val="00F77F53"/>
    <w:pPr>
      <w:keepNext/>
      <w:keepLines/>
      <w:spacing w:before="200" w:after="0" w:line="240" w:lineRule="auto"/>
      <w:outlineLvl w:val="5"/>
    </w:pPr>
    <w:rPr>
      <w:rFonts w:asciiTheme="majorHAnsi" w:eastAsiaTheme="majorEastAsia" w:hAnsiTheme="majorHAnsi" w:cstheme="majorBidi"/>
      <w:color w:val="5B8EE6" w:themeColor="accent1"/>
      <w:sz w:val="24"/>
      <w:szCs w:val="24"/>
      <w:lang w:val="en-US"/>
    </w:rPr>
  </w:style>
  <w:style w:type="paragraph" w:styleId="Heading7">
    <w:name w:val="heading 7"/>
    <w:basedOn w:val="Normal"/>
    <w:next w:val="BodyText"/>
    <w:link w:val="Heading7Char"/>
    <w:uiPriority w:val="9"/>
    <w:unhideWhenUsed/>
    <w:qFormat/>
    <w:rsid w:val="00F77F53"/>
    <w:pPr>
      <w:keepNext/>
      <w:keepLines/>
      <w:spacing w:before="200" w:after="0" w:line="240" w:lineRule="auto"/>
      <w:outlineLvl w:val="6"/>
    </w:pPr>
    <w:rPr>
      <w:rFonts w:asciiTheme="majorHAnsi" w:eastAsiaTheme="majorEastAsia" w:hAnsiTheme="majorHAnsi" w:cstheme="majorBidi"/>
      <w:color w:val="5B8EE6" w:themeColor="accent1"/>
      <w:sz w:val="24"/>
      <w:szCs w:val="24"/>
      <w:lang w:val="en-US"/>
    </w:rPr>
  </w:style>
  <w:style w:type="paragraph" w:styleId="Heading8">
    <w:name w:val="heading 8"/>
    <w:basedOn w:val="Normal"/>
    <w:next w:val="BodyText"/>
    <w:link w:val="Heading8Char"/>
    <w:uiPriority w:val="9"/>
    <w:unhideWhenUsed/>
    <w:qFormat/>
    <w:rsid w:val="00F77F53"/>
    <w:pPr>
      <w:keepNext/>
      <w:keepLines/>
      <w:spacing w:before="200" w:after="0" w:line="240" w:lineRule="auto"/>
      <w:outlineLvl w:val="7"/>
    </w:pPr>
    <w:rPr>
      <w:rFonts w:asciiTheme="majorHAnsi" w:eastAsiaTheme="majorEastAsia" w:hAnsiTheme="majorHAnsi" w:cstheme="majorBidi"/>
      <w:color w:val="5B8EE6" w:themeColor="accent1"/>
      <w:sz w:val="24"/>
      <w:szCs w:val="24"/>
      <w:lang w:val="en-US"/>
    </w:rPr>
  </w:style>
  <w:style w:type="paragraph" w:styleId="Heading9">
    <w:name w:val="heading 9"/>
    <w:basedOn w:val="Normal"/>
    <w:next w:val="BodyText"/>
    <w:link w:val="Heading9Char"/>
    <w:uiPriority w:val="9"/>
    <w:unhideWhenUsed/>
    <w:qFormat/>
    <w:rsid w:val="00F77F53"/>
    <w:pPr>
      <w:keepNext/>
      <w:keepLines/>
      <w:spacing w:before="200" w:after="0" w:line="240" w:lineRule="auto"/>
      <w:outlineLvl w:val="8"/>
    </w:pPr>
    <w:rPr>
      <w:rFonts w:asciiTheme="majorHAnsi" w:eastAsiaTheme="majorEastAsia" w:hAnsiTheme="majorHAnsi" w:cstheme="majorBidi"/>
      <w:color w:val="5B8EE6"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EB7"/>
    <w:rPr>
      <w:rFonts w:asciiTheme="majorHAnsi" w:eastAsiaTheme="majorEastAsia" w:hAnsiTheme="majorHAnsi" w:cstheme="majorBidi"/>
      <w:b/>
      <w:color w:val="1A4FAB" w:themeColor="text2"/>
      <w:sz w:val="44"/>
      <w:szCs w:val="32"/>
    </w:rPr>
  </w:style>
  <w:style w:type="character" w:customStyle="1" w:styleId="Heading2Char">
    <w:name w:val="Heading 2 Char"/>
    <w:basedOn w:val="DefaultParagraphFont"/>
    <w:link w:val="Heading2"/>
    <w:uiPriority w:val="9"/>
    <w:rsid w:val="00AE0D6A"/>
    <w:rPr>
      <w:rFonts w:asciiTheme="majorHAnsi" w:eastAsiaTheme="majorEastAsia" w:hAnsiTheme="majorHAnsi" w:cstheme="majorBidi"/>
      <w:b/>
      <w:color w:val="1A4FAB" w:themeColor="text2"/>
      <w:sz w:val="28"/>
      <w:szCs w:val="26"/>
    </w:rPr>
  </w:style>
  <w:style w:type="character" w:customStyle="1" w:styleId="Heading3Char">
    <w:name w:val="Heading 3 Char"/>
    <w:basedOn w:val="DefaultParagraphFont"/>
    <w:link w:val="Heading3"/>
    <w:uiPriority w:val="9"/>
    <w:rsid w:val="009445DA"/>
    <w:rPr>
      <w:rFonts w:asciiTheme="majorHAnsi" w:eastAsiaTheme="majorEastAsia" w:hAnsiTheme="majorHAnsi" w:cstheme="majorBidi"/>
      <w:b/>
      <w:color w:val="1A4FAB" w:themeColor="text2"/>
      <w:sz w:val="24"/>
      <w:szCs w:val="24"/>
    </w:rPr>
  </w:style>
  <w:style w:type="character" w:customStyle="1" w:styleId="Heading4Char">
    <w:name w:val="Heading 4 Char"/>
    <w:basedOn w:val="DefaultParagraphFont"/>
    <w:link w:val="Heading4"/>
    <w:uiPriority w:val="9"/>
    <w:rsid w:val="009445DA"/>
    <w:rPr>
      <w:b/>
      <w:i/>
      <w:color w:val="1A4FAB" w:themeColor="text2"/>
      <w:sz w:val="20"/>
    </w:rPr>
  </w:style>
  <w:style w:type="paragraph" w:styleId="ListParagraph">
    <w:name w:val="List Paragraph"/>
    <w:basedOn w:val="Normal"/>
    <w:link w:val="ListParagraphChar"/>
    <w:uiPriority w:val="34"/>
    <w:qFormat/>
    <w:rsid w:val="00D414E3"/>
    <w:pPr>
      <w:tabs>
        <w:tab w:val="num" w:pos="567"/>
      </w:tabs>
      <w:ind w:left="567" w:hanging="283"/>
      <w:contextualSpacing/>
    </w:pPr>
    <w:rPr>
      <w:sz w:val="22"/>
    </w:rPr>
  </w:style>
  <w:style w:type="paragraph" w:styleId="BodyText">
    <w:name w:val="Body Text"/>
    <w:basedOn w:val="ListParagraph"/>
    <w:link w:val="BodyTextChar"/>
    <w:qFormat/>
    <w:rsid w:val="00170EB7"/>
    <w:pPr>
      <w:numPr>
        <w:numId w:val="1"/>
      </w:numPr>
      <w:contextualSpacing w:val="0"/>
    </w:pPr>
  </w:style>
  <w:style w:type="character" w:customStyle="1" w:styleId="BodyTextChar">
    <w:name w:val="Body Text Char"/>
    <w:basedOn w:val="DefaultParagraphFont"/>
    <w:link w:val="BodyText"/>
    <w:rsid w:val="00170EB7"/>
    <w:rPr>
      <w:lang w:val="en-GB"/>
    </w:rPr>
  </w:style>
  <w:style w:type="paragraph" w:styleId="TOCHeading">
    <w:name w:val="TOC Heading"/>
    <w:basedOn w:val="Normal"/>
    <w:next w:val="Normal"/>
    <w:uiPriority w:val="39"/>
    <w:unhideWhenUsed/>
    <w:qFormat/>
    <w:rsid w:val="00170EB7"/>
    <w:pPr>
      <w:pBdr>
        <w:bottom w:val="single" w:sz="8" w:space="1" w:color="BDD1F5" w:themeColor="accent1" w:themeTint="66"/>
      </w:pBdr>
    </w:pPr>
    <w:rPr>
      <w:b/>
      <w:color w:val="1A4FAB" w:themeColor="text2"/>
      <w:sz w:val="28"/>
      <w:szCs w:val="48"/>
    </w:rPr>
  </w:style>
  <w:style w:type="paragraph" w:styleId="TOC1">
    <w:name w:val="toc 1"/>
    <w:basedOn w:val="Normal"/>
    <w:next w:val="Normal"/>
    <w:autoRedefine/>
    <w:uiPriority w:val="39"/>
    <w:unhideWhenUsed/>
    <w:rsid w:val="00170EB7"/>
    <w:pPr>
      <w:tabs>
        <w:tab w:val="right" w:leader="dot" w:pos="8220"/>
      </w:tabs>
      <w:spacing w:after="100"/>
    </w:pPr>
    <w:rPr>
      <w:b/>
      <w:noProof/>
      <w:sz w:val="22"/>
    </w:rPr>
  </w:style>
  <w:style w:type="paragraph" w:styleId="TOC2">
    <w:name w:val="toc 2"/>
    <w:basedOn w:val="Normal"/>
    <w:next w:val="Normal"/>
    <w:autoRedefine/>
    <w:uiPriority w:val="39"/>
    <w:unhideWhenUsed/>
    <w:rsid w:val="00170EB7"/>
    <w:pPr>
      <w:tabs>
        <w:tab w:val="right" w:leader="dot" w:pos="8220"/>
      </w:tabs>
      <w:spacing w:after="100"/>
    </w:pPr>
    <w:rPr>
      <w:noProof/>
      <w:sz w:val="18"/>
    </w:rPr>
  </w:style>
  <w:style w:type="paragraph" w:styleId="TOC3">
    <w:name w:val="toc 3"/>
    <w:basedOn w:val="Normal"/>
    <w:next w:val="Normal"/>
    <w:autoRedefine/>
    <w:uiPriority w:val="39"/>
    <w:unhideWhenUsed/>
    <w:rsid w:val="00170EB7"/>
    <w:pPr>
      <w:tabs>
        <w:tab w:val="right" w:leader="dot" w:pos="8220"/>
      </w:tabs>
      <w:spacing w:after="100"/>
      <w:ind w:left="198"/>
    </w:pPr>
    <w:rPr>
      <w:noProof/>
      <w:sz w:val="16"/>
    </w:rPr>
  </w:style>
  <w:style w:type="paragraph" w:styleId="TOC4">
    <w:name w:val="toc 4"/>
    <w:basedOn w:val="Normal"/>
    <w:next w:val="Normal"/>
    <w:autoRedefine/>
    <w:uiPriority w:val="39"/>
    <w:unhideWhenUsed/>
    <w:rsid w:val="00170EB7"/>
    <w:pPr>
      <w:tabs>
        <w:tab w:val="right" w:leader="dot" w:pos="7926"/>
      </w:tabs>
      <w:spacing w:after="100"/>
      <w:ind w:left="397"/>
    </w:pPr>
  </w:style>
  <w:style w:type="table" w:styleId="TableGrid">
    <w:name w:val="Table Grid"/>
    <w:basedOn w:val="TableNormal"/>
    <w:uiPriority w:val="39"/>
    <w:rsid w:val="00170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31">
    <w:name w:val="List Table 3 - Accent 31"/>
    <w:basedOn w:val="TableNormal"/>
    <w:uiPriority w:val="48"/>
    <w:rsid w:val="00170EB7"/>
    <w:pPr>
      <w:spacing w:after="0" w:line="240" w:lineRule="auto"/>
    </w:pPr>
    <w:tblPr>
      <w:tblStyleRowBandSize w:val="1"/>
      <w:tblStyleColBandSize w:val="1"/>
      <w:tblBorders>
        <w:top w:val="single" w:sz="4" w:space="0" w:color="29A7DB" w:themeColor="accent3"/>
        <w:left w:val="single" w:sz="4" w:space="0" w:color="29A7DB" w:themeColor="accent3"/>
        <w:bottom w:val="single" w:sz="4" w:space="0" w:color="29A7DB" w:themeColor="accent3"/>
        <w:right w:val="single" w:sz="4" w:space="0" w:color="29A7DB" w:themeColor="accent3"/>
      </w:tblBorders>
    </w:tblPr>
    <w:tblStylePr w:type="firstRow">
      <w:rPr>
        <w:b/>
        <w:bCs/>
        <w:color w:val="FFFFFF" w:themeColor="background1"/>
      </w:rPr>
      <w:tblPr/>
      <w:tcPr>
        <w:shd w:val="clear" w:color="auto" w:fill="29A7DB" w:themeFill="accent3"/>
      </w:tcPr>
    </w:tblStylePr>
    <w:tblStylePr w:type="lastRow">
      <w:rPr>
        <w:b/>
        <w:bCs/>
      </w:rPr>
      <w:tblPr/>
      <w:tcPr>
        <w:tcBorders>
          <w:top w:val="double" w:sz="4" w:space="0" w:color="29A7D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A7DB" w:themeColor="accent3"/>
          <w:right w:val="single" w:sz="4" w:space="0" w:color="29A7DB" w:themeColor="accent3"/>
        </w:tcBorders>
      </w:tcPr>
    </w:tblStylePr>
    <w:tblStylePr w:type="band1Horz">
      <w:tblPr/>
      <w:tcPr>
        <w:tcBorders>
          <w:top w:val="single" w:sz="4" w:space="0" w:color="29A7DB" w:themeColor="accent3"/>
          <w:bottom w:val="single" w:sz="4" w:space="0" w:color="29A7D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A7DB" w:themeColor="accent3"/>
          <w:left w:val="nil"/>
        </w:tcBorders>
      </w:tcPr>
    </w:tblStylePr>
    <w:tblStylePr w:type="swCell">
      <w:tblPr/>
      <w:tcPr>
        <w:tcBorders>
          <w:top w:val="double" w:sz="4" w:space="0" w:color="29A7DB" w:themeColor="accent3"/>
          <w:right w:val="nil"/>
        </w:tcBorders>
      </w:tcPr>
    </w:tblStylePr>
  </w:style>
  <w:style w:type="table" w:customStyle="1" w:styleId="ListTable4-Accent11">
    <w:name w:val="List Table 4 - Accent 11"/>
    <w:basedOn w:val="TableNormal"/>
    <w:uiPriority w:val="49"/>
    <w:rsid w:val="00170EB7"/>
    <w:pPr>
      <w:spacing w:after="0" w:line="240" w:lineRule="auto"/>
    </w:pPr>
    <w:tblPr>
      <w:tblStyleRowBandSize w:val="1"/>
      <w:tblStyleColBandSize w:val="1"/>
      <w:tblBorders>
        <w:top w:val="single" w:sz="4" w:space="0" w:color="9CBAF0" w:themeColor="accent1" w:themeTint="99"/>
        <w:left w:val="single" w:sz="4" w:space="0" w:color="9CBAF0" w:themeColor="accent1" w:themeTint="99"/>
        <w:bottom w:val="single" w:sz="4" w:space="0" w:color="9CBAF0" w:themeColor="accent1" w:themeTint="99"/>
        <w:right w:val="single" w:sz="4" w:space="0" w:color="9CBAF0" w:themeColor="accent1" w:themeTint="99"/>
        <w:insideH w:val="single" w:sz="4" w:space="0" w:color="9CBAF0" w:themeColor="accent1" w:themeTint="99"/>
      </w:tblBorders>
    </w:tblPr>
    <w:tblStylePr w:type="firstRow">
      <w:rPr>
        <w:b/>
        <w:bCs/>
        <w:color w:val="FFFFFF" w:themeColor="background1"/>
      </w:rPr>
      <w:tblPr/>
      <w:tcPr>
        <w:tcBorders>
          <w:top w:val="single" w:sz="4" w:space="0" w:color="5B8EE6" w:themeColor="accent1"/>
          <w:left w:val="single" w:sz="4" w:space="0" w:color="5B8EE6" w:themeColor="accent1"/>
          <w:bottom w:val="single" w:sz="4" w:space="0" w:color="5B8EE6" w:themeColor="accent1"/>
          <w:right w:val="single" w:sz="4" w:space="0" w:color="5B8EE6" w:themeColor="accent1"/>
          <w:insideH w:val="nil"/>
        </w:tcBorders>
        <w:shd w:val="clear" w:color="auto" w:fill="5B8EE6" w:themeFill="accent1"/>
      </w:tcPr>
    </w:tblStylePr>
    <w:tblStylePr w:type="lastRow">
      <w:rPr>
        <w:b/>
        <w:bCs/>
      </w:rPr>
      <w:tblPr/>
      <w:tcPr>
        <w:tcBorders>
          <w:top w:val="double" w:sz="4" w:space="0" w:color="9CBAF0" w:themeColor="accent1" w:themeTint="99"/>
        </w:tcBorders>
      </w:tcPr>
    </w:tblStylePr>
    <w:tblStylePr w:type="firstCol">
      <w:rPr>
        <w:b/>
        <w:bCs/>
      </w:rPr>
    </w:tblStylePr>
    <w:tblStylePr w:type="lastCol">
      <w:rPr>
        <w:b/>
        <w:bCs/>
      </w:rPr>
    </w:tblStylePr>
    <w:tblStylePr w:type="band1Vert">
      <w:tblPr/>
      <w:tcPr>
        <w:shd w:val="clear" w:color="auto" w:fill="DEE8FA" w:themeFill="accent1" w:themeFillTint="33"/>
      </w:tcPr>
    </w:tblStylePr>
    <w:tblStylePr w:type="band1Horz">
      <w:tblPr/>
      <w:tcPr>
        <w:shd w:val="clear" w:color="auto" w:fill="DEE8FA" w:themeFill="accent1" w:themeFillTint="33"/>
      </w:tcPr>
    </w:tblStylePr>
  </w:style>
  <w:style w:type="table" w:customStyle="1" w:styleId="ListTable4-Accent61">
    <w:name w:val="List Table 4 - Accent 61"/>
    <w:basedOn w:val="TableNormal"/>
    <w:uiPriority w:val="49"/>
    <w:rsid w:val="00170EB7"/>
    <w:pPr>
      <w:spacing w:after="0" w:line="240" w:lineRule="auto"/>
    </w:pPr>
    <w:tblPr>
      <w:tblStyleRowBandSize w:val="1"/>
      <w:tblStyleColBandSize w:val="1"/>
      <w:tblBorders>
        <w:top w:val="single" w:sz="4" w:space="0" w:color="5B8EE6" w:themeColor="accent6" w:themeTint="99"/>
        <w:left w:val="single" w:sz="4" w:space="0" w:color="5B8EE6" w:themeColor="accent6" w:themeTint="99"/>
        <w:bottom w:val="single" w:sz="4" w:space="0" w:color="5B8EE6" w:themeColor="accent6" w:themeTint="99"/>
        <w:right w:val="single" w:sz="4" w:space="0" w:color="5B8EE6" w:themeColor="accent6" w:themeTint="99"/>
        <w:insideH w:val="single" w:sz="4" w:space="0" w:color="5B8EE6" w:themeColor="accent6" w:themeTint="99"/>
      </w:tblBorders>
    </w:tblPr>
    <w:tblStylePr w:type="firstRow">
      <w:rPr>
        <w:b/>
        <w:bCs/>
        <w:color w:val="FFFFFF" w:themeColor="background1"/>
      </w:rPr>
      <w:tblPr/>
      <w:tcPr>
        <w:tcBorders>
          <w:top w:val="single" w:sz="4" w:space="0" w:color="1A4FAB" w:themeColor="accent6"/>
          <w:left w:val="single" w:sz="4" w:space="0" w:color="1A4FAB" w:themeColor="accent6"/>
          <w:bottom w:val="single" w:sz="4" w:space="0" w:color="1A4FAB" w:themeColor="accent6"/>
          <w:right w:val="single" w:sz="4" w:space="0" w:color="1A4FAB" w:themeColor="accent6"/>
          <w:insideH w:val="nil"/>
        </w:tcBorders>
        <w:shd w:val="clear" w:color="auto" w:fill="1A4FAB" w:themeFill="accent6"/>
      </w:tcPr>
    </w:tblStylePr>
    <w:tblStylePr w:type="lastRow">
      <w:rPr>
        <w:b/>
        <w:bCs/>
      </w:rPr>
      <w:tblPr/>
      <w:tcPr>
        <w:tcBorders>
          <w:top w:val="double" w:sz="4" w:space="0" w:color="5B8EE6" w:themeColor="accent6" w:themeTint="99"/>
        </w:tcBorders>
      </w:tcPr>
    </w:tblStylePr>
    <w:tblStylePr w:type="firstCol">
      <w:rPr>
        <w:b/>
        <w:bCs/>
      </w:rPr>
    </w:tblStylePr>
    <w:tblStylePr w:type="lastCol">
      <w:rPr>
        <w:b/>
        <w:bCs/>
      </w:rPr>
    </w:tblStylePr>
    <w:tblStylePr w:type="band1Vert">
      <w:tblPr/>
      <w:tcPr>
        <w:shd w:val="clear" w:color="auto" w:fill="C8D9F6" w:themeFill="accent6" w:themeFillTint="33"/>
      </w:tcPr>
    </w:tblStylePr>
    <w:tblStylePr w:type="band1Horz">
      <w:tblPr/>
      <w:tcPr>
        <w:shd w:val="clear" w:color="auto" w:fill="C8D9F6" w:themeFill="accent6" w:themeFillTint="33"/>
      </w:tcPr>
    </w:tblStylePr>
  </w:style>
  <w:style w:type="table" w:customStyle="1" w:styleId="GridTable4-Accent61">
    <w:name w:val="Grid Table 4 - Accent 61"/>
    <w:basedOn w:val="TableNormal"/>
    <w:uiPriority w:val="49"/>
    <w:rsid w:val="00170EB7"/>
    <w:pPr>
      <w:spacing w:after="0" w:line="240" w:lineRule="auto"/>
    </w:pPr>
    <w:tblPr>
      <w:tblStyleRowBandSize w:val="1"/>
      <w:tblStyleColBandSize w:val="1"/>
      <w:tblBorders>
        <w:top w:val="single" w:sz="4" w:space="0" w:color="5B8EE6" w:themeColor="accent6" w:themeTint="99"/>
        <w:left w:val="single" w:sz="4" w:space="0" w:color="5B8EE6" w:themeColor="accent6" w:themeTint="99"/>
        <w:bottom w:val="single" w:sz="4" w:space="0" w:color="5B8EE6" w:themeColor="accent6" w:themeTint="99"/>
        <w:right w:val="single" w:sz="4" w:space="0" w:color="5B8EE6" w:themeColor="accent6" w:themeTint="99"/>
        <w:insideH w:val="single" w:sz="4" w:space="0" w:color="5B8EE6" w:themeColor="accent6" w:themeTint="99"/>
        <w:insideV w:val="single" w:sz="4" w:space="0" w:color="5B8EE6" w:themeColor="accent6" w:themeTint="99"/>
      </w:tblBorders>
    </w:tblPr>
    <w:tblStylePr w:type="firstRow">
      <w:rPr>
        <w:b/>
        <w:bCs/>
        <w:color w:val="FFFFFF" w:themeColor="background1"/>
      </w:rPr>
      <w:tblPr/>
      <w:tcPr>
        <w:tcBorders>
          <w:top w:val="single" w:sz="4" w:space="0" w:color="1A4FAB" w:themeColor="accent6"/>
          <w:left w:val="single" w:sz="4" w:space="0" w:color="1A4FAB" w:themeColor="accent6"/>
          <w:bottom w:val="single" w:sz="4" w:space="0" w:color="1A4FAB" w:themeColor="accent6"/>
          <w:right w:val="single" w:sz="4" w:space="0" w:color="1A4FAB" w:themeColor="accent6"/>
          <w:insideH w:val="nil"/>
          <w:insideV w:val="nil"/>
        </w:tcBorders>
        <w:shd w:val="clear" w:color="auto" w:fill="1A4FAB" w:themeFill="accent6"/>
      </w:tcPr>
    </w:tblStylePr>
    <w:tblStylePr w:type="lastRow">
      <w:rPr>
        <w:b/>
        <w:bCs/>
      </w:rPr>
      <w:tblPr/>
      <w:tcPr>
        <w:tcBorders>
          <w:top w:val="double" w:sz="4" w:space="0" w:color="1A4FAB" w:themeColor="accent6"/>
        </w:tcBorders>
      </w:tcPr>
    </w:tblStylePr>
    <w:tblStylePr w:type="firstCol">
      <w:rPr>
        <w:b/>
        <w:bCs/>
      </w:rPr>
    </w:tblStylePr>
    <w:tblStylePr w:type="lastCol">
      <w:rPr>
        <w:b/>
        <w:bCs/>
      </w:rPr>
    </w:tblStylePr>
    <w:tblStylePr w:type="band1Vert">
      <w:tblPr/>
      <w:tcPr>
        <w:shd w:val="clear" w:color="auto" w:fill="C8D9F6" w:themeFill="accent6" w:themeFillTint="33"/>
      </w:tcPr>
    </w:tblStylePr>
    <w:tblStylePr w:type="band1Horz">
      <w:tblPr/>
      <w:tcPr>
        <w:shd w:val="clear" w:color="auto" w:fill="C8D9F6" w:themeFill="accent6" w:themeFillTint="33"/>
      </w:tcPr>
    </w:tblStylePr>
  </w:style>
  <w:style w:type="paragraph" w:styleId="Caption">
    <w:name w:val="caption"/>
    <w:basedOn w:val="Normal"/>
    <w:next w:val="Normal"/>
    <w:link w:val="CaptionChar"/>
    <w:uiPriority w:val="35"/>
    <w:unhideWhenUsed/>
    <w:qFormat/>
    <w:rsid w:val="00170EB7"/>
    <w:pPr>
      <w:spacing w:after="60" w:line="240" w:lineRule="auto"/>
    </w:pPr>
    <w:rPr>
      <w:i/>
      <w:iCs/>
      <w:color w:val="7F7F7F" w:themeColor="text1" w:themeTint="80"/>
      <w:sz w:val="16"/>
      <w:szCs w:val="18"/>
    </w:rPr>
  </w:style>
  <w:style w:type="paragraph" w:styleId="FootnoteText">
    <w:name w:val="footnote text"/>
    <w:basedOn w:val="Normal"/>
    <w:link w:val="FootnoteTextChar"/>
    <w:uiPriority w:val="99"/>
    <w:unhideWhenUsed/>
    <w:qFormat/>
    <w:rsid w:val="00170EB7"/>
    <w:pPr>
      <w:spacing w:after="0" w:line="240" w:lineRule="auto"/>
    </w:pPr>
    <w:rPr>
      <w:color w:val="7F7F7F" w:themeColor="text1" w:themeTint="80"/>
      <w:sz w:val="16"/>
      <w:szCs w:val="20"/>
    </w:rPr>
  </w:style>
  <w:style w:type="character" w:customStyle="1" w:styleId="FootnoteTextChar">
    <w:name w:val="Footnote Text Char"/>
    <w:basedOn w:val="DefaultParagraphFont"/>
    <w:link w:val="FootnoteText"/>
    <w:uiPriority w:val="99"/>
    <w:rsid w:val="00170EB7"/>
    <w:rPr>
      <w:color w:val="7F7F7F" w:themeColor="text1" w:themeTint="80"/>
      <w:sz w:val="16"/>
      <w:szCs w:val="20"/>
    </w:rPr>
  </w:style>
  <w:style w:type="character" w:styleId="FootnoteReference">
    <w:name w:val="footnote reference"/>
    <w:aliases w:val="ftref,Ref,de nota al pie,16 Point,Superscript 6 Point,ftref Char Char Char Char1,Footnote Reference_LVL6 Char Char Char Char,Char Char Char Char Car Char Char Char Char Char,ftref Char Char Char Char Char, BVI fnr"/>
    <w:basedOn w:val="DefaultParagraphFont"/>
    <w:uiPriority w:val="99"/>
    <w:unhideWhenUsed/>
    <w:rsid w:val="00170EB7"/>
    <w:rPr>
      <w:vertAlign w:val="superscript"/>
    </w:rPr>
  </w:style>
  <w:style w:type="character" w:styleId="Hyperlink">
    <w:name w:val="Hyperlink"/>
    <w:basedOn w:val="DefaultParagraphFont"/>
    <w:uiPriority w:val="99"/>
    <w:unhideWhenUsed/>
    <w:rsid w:val="00170EB7"/>
    <w:rPr>
      <w:color w:val="1A4FAB" w:themeColor="hyperlink"/>
      <w:u w:val="single"/>
    </w:rPr>
  </w:style>
  <w:style w:type="table" w:customStyle="1" w:styleId="GridTable5Dark-Accent11">
    <w:name w:val="Grid Table 5 Dark - Accent 11"/>
    <w:basedOn w:val="TableNormal"/>
    <w:uiPriority w:val="50"/>
    <w:rsid w:val="00170E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8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8EE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8EE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8EE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8EE6" w:themeFill="accent1"/>
      </w:tcPr>
    </w:tblStylePr>
    <w:tblStylePr w:type="band1Vert">
      <w:tblPr/>
      <w:tcPr>
        <w:shd w:val="clear" w:color="auto" w:fill="BDD1F5" w:themeFill="accent1" w:themeFillTint="66"/>
      </w:tcPr>
    </w:tblStylePr>
    <w:tblStylePr w:type="band1Horz">
      <w:tblPr/>
      <w:tcPr>
        <w:shd w:val="clear" w:color="auto" w:fill="BDD1F5" w:themeFill="accent1" w:themeFillTint="66"/>
      </w:tcPr>
    </w:tblStylePr>
  </w:style>
  <w:style w:type="table" w:customStyle="1" w:styleId="GridTable4-Accent31">
    <w:name w:val="Grid Table 4 - Accent 31"/>
    <w:basedOn w:val="TableNormal"/>
    <w:uiPriority w:val="49"/>
    <w:rsid w:val="00170EB7"/>
    <w:pPr>
      <w:spacing w:after="0" w:line="240" w:lineRule="auto"/>
    </w:pPr>
    <w:tblPr>
      <w:tblStyleRowBandSize w:val="1"/>
      <w:tblStyleColBandSize w:val="1"/>
      <w:tblBorders>
        <w:top w:val="single" w:sz="4" w:space="0" w:color="7ECAE9" w:themeColor="accent3" w:themeTint="99"/>
        <w:left w:val="single" w:sz="4" w:space="0" w:color="7ECAE9" w:themeColor="accent3" w:themeTint="99"/>
        <w:bottom w:val="single" w:sz="4" w:space="0" w:color="7ECAE9" w:themeColor="accent3" w:themeTint="99"/>
        <w:right w:val="single" w:sz="4" w:space="0" w:color="7ECAE9" w:themeColor="accent3" w:themeTint="99"/>
        <w:insideH w:val="single" w:sz="4" w:space="0" w:color="7ECAE9" w:themeColor="accent3" w:themeTint="99"/>
        <w:insideV w:val="single" w:sz="4" w:space="0" w:color="7ECAE9" w:themeColor="accent3" w:themeTint="99"/>
      </w:tblBorders>
    </w:tblPr>
    <w:tblStylePr w:type="firstRow">
      <w:rPr>
        <w:b/>
        <w:bCs/>
        <w:color w:val="FFFFFF" w:themeColor="background1"/>
      </w:rPr>
      <w:tblPr/>
      <w:tcPr>
        <w:tcBorders>
          <w:top w:val="single" w:sz="4" w:space="0" w:color="29A7DB" w:themeColor="accent3"/>
          <w:left w:val="single" w:sz="4" w:space="0" w:color="29A7DB" w:themeColor="accent3"/>
          <w:bottom w:val="single" w:sz="4" w:space="0" w:color="29A7DB" w:themeColor="accent3"/>
          <w:right w:val="single" w:sz="4" w:space="0" w:color="29A7DB" w:themeColor="accent3"/>
          <w:insideH w:val="nil"/>
          <w:insideV w:val="nil"/>
        </w:tcBorders>
        <w:shd w:val="clear" w:color="auto" w:fill="29A7DB" w:themeFill="accent3"/>
      </w:tcPr>
    </w:tblStylePr>
    <w:tblStylePr w:type="lastRow">
      <w:rPr>
        <w:b/>
        <w:bCs/>
      </w:rPr>
      <w:tblPr/>
      <w:tcPr>
        <w:tcBorders>
          <w:top w:val="double" w:sz="4" w:space="0" w:color="29A7DB" w:themeColor="accent3"/>
        </w:tcBorders>
      </w:tcPr>
    </w:tblStylePr>
    <w:tblStylePr w:type="firstCol">
      <w:rPr>
        <w:b/>
        <w:bCs/>
      </w:rPr>
    </w:tblStylePr>
    <w:tblStylePr w:type="lastCol">
      <w:rPr>
        <w:b/>
        <w:bCs/>
      </w:rPr>
    </w:tblStylePr>
    <w:tblStylePr w:type="band1Vert">
      <w:tblPr/>
      <w:tcPr>
        <w:shd w:val="clear" w:color="auto" w:fill="D4EDF7" w:themeFill="accent3" w:themeFillTint="33"/>
      </w:tcPr>
    </w:tblStylePr>
    <w:tblStylePr w:type="band1Horz">
      <w:tblPr/>
      <w:tcPr>
        <w:shd w:val="clear" w:color="auto" w:fill="D4EDF7" w:themeFill="accent3" w:themeFillTint="33"/>
      </w:tcPr>
    </w:tblStylePr>
  </w:style>
  <w:style w:type="paragraph" w:styleId="Header">
    <w:name w:val="header"/>
    <w:basedOn w:val="Normal"/>
    <w:link w:val="HeaderChar"/>
    <w:uiPriority w:val="99"/>
    <w:unhideWhenUsed/>
    <w:rsid w:val="00170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0EB7"/>
    <w:rPr>
      <w:sz w:val="20"/>
    </w:rPr>
  </w:style>
  <w:style w:type="paragraph" w:styleId="Footer">
    <w:name w:val="footer"/>
    <w:basedOn w:val="Normal"/>
    <w:link w:val="FooterChar"/>
    <w:uiPriority w:val="99"/>
    <w:unhideWhenUsed/>
    <w:rsid w:val="00170EB7"/>
    <w:pPr>
      <w:tabs>
        <w:tab w:val="center" w:pos="4513"/>
        <w:tab w:val="right" w:pos="9026"/>
      </w:tabs>
      <w:spacing w:after="0" w:line="240" w:lineRule="auto"/>
      <w:jc w:val="center"/>
    </w:pPr>
    <w:rPr>
      <w:sz w:val="16"/>
    </w:rPr>
  </w:style>
  <w:style w:type="character" w:customStyle="1" w:styleId="FooterChar">
    <w:name w:val="Footer Char"/>
    <w:basedOn w:val="DefaultParagraphFont"/>
    <w:link w:val="Footer"/>
    <w:uiPriority w:val="99"/>
    <w:rsid w:val="00170EB7"/>
    <w:rPr>
      <w:sz w:val="16"/>
    </w:rPr>
  </w:style>
  <w:style w:type="paragraph" w:styleId="TableofFigures">
    <w:name w:val="table of figures"/>
    <w:basedOn w:val="Normal"/>
    <w:next w:val="Normal"/>
    <w:uiPriority w:val="99"/>
    <w:unhideWhenUsed/>
    <w:rsid w:val="00170EB7"/>
    <w:pPr>
      <w:spacing w:after="0"/>
    </w:pPr>
  </w:style>
  <w:style w:type="paragraph" w:customStyle="1" w:styleId="Bullet">
    <w:name w:val="Bullet"/>
    <w:basedOn w:val="ListParagraph"/>
    <w:link w:val="BulletChar"/>
    <w:uiPriority w:val="1"/>
    <w:qFormat/>
    <w:rsid w:val="00170EB7"/>
    <w:pPr>
      <w:numPr>
        <w:numId w:val="2"/>
      </w:numPr>
    </w:pPr>
  </w:style>
  <w:style w:type="paragraph" w:styleId="List">
    <w:name w:val="List"/>
    <w:basedOn w:val="ListParagraph"/>
    <w:uiPriority w:val="1"/>
    <w:qFormat/>
    <w:rsid w:val="00170EB7"/>
    <w:pPr>
      <w:numPr>
        <w:numId w:val="3"/>
      </w:numPr>
    </w:pPr>
  </w:style>
  <w:style w:type="character" w:customStyle="1" w:styleId="ListParagraphChar">
    <w:name w:val="List Paragraph Char"/>
    <w:basedOn w:val="DefaultParagraphFont"/>
    <w:link w:val="ListParagraph"/>
    <w:uiPriority w:val="34"/>
    <w:rsid w:val="00D414E3"/>
    <w:rPr>
      <w:lang w:val="en-GB"/>
    </w:rPr>
  </w:style>
  <w:style w:type="character" w:customStyle="1" w:styleId="BulletChar">
    <w:name w:val="Bullet Char"/>
    <w:basedOn w:val="ListParagraphChar"/>
    <w:link w:val="Bullet"/>
    <w:uiPriority w:val="1"/>
    <w:rsid w:val="00170EB7"/>
    <w:rPr>
      <w:lang w:val="en-GB"/>
    </w:rPr>
  </w:style>
  <w:style w:type="table" w:customStyle="1" w:styleId="GridTable4-Accent11">
    <w:name w:val="Grid Table 4 - Accent 11"/>
    <w:basedOn w:val="TableNormal"/>
    <w:uiPriority w:val="49"/>
    <w:rsid w:val="00170EB7"/>
    <w:pPr>
      <w:spacing w:after="0" w:line="240" w:lineRule="auto"/>
    </w:pPr>
    <w:tblPr>
      <w:tblStyleRowBandSize w:val="1"/>
      <w:tblStyleColBandSize w:val="1"/>
      <w:tblBorders>
        <w:top w:val="single" w:sz="4" w:space="0" w:color="9CBAF0" w:themeColor="accent1" w:themeTint="99"/>
        <w:left w:val="single" w:sz="4" w:space="0" w:color="9CBAF0" w:themeColor="accent1" w:themeTint="99"/>
        <w:bottom w:val="single" w:sz="4" w:space="0" w:color="9CBAF0" w:themeColor="accent1" w:themeTint="99"/>
        <w:right w:val="single" w:sz="4" w:space="0" w:color="9CBAF0" w:themeColor="accent1" w:themeTint="99"/>
        <w:insideH w:val="single" w:sz="4" w:space="0" w:color="9CBAF0" w:themeColor="accent1" w:themeTint="99"/>
        <w:insideV w:val="single" w:sz="4" w:space="0" w:color="9CBAF0" w:themeColor="accent1" w:themeTint="99"/>
      </w:tblBorders>
    </w:tblPr>
    <w:tblStylePr w:type="firstRow">
      <w:rPr>
        <w:b/>
        <w:bCs/>
        <w:color w:val="FFFFFF" w:themeColor="background1"/>
      </w:rPr>
      <w:tblPr/>
      <w:tcPr>
        <w:tcBorders>
          <w:top w:val="single" w:sz="4" w:space="0" w:color="5B8EE6" w:themeColor="accent1"/>
          <w:left w:val="single" w:sz="4" w:space="0" w:color="5B8EE6" w:themeColor="accent1"/>
          <w:bottom w:val="single" w:sz="4" w:space="0" w:color="5B8EE6" w:themeColor="accent1"/>
          <w:right w:val="single" w:sz="4" w:space="0" w:color="5B8EE6" w:themeColor="accent1"/>
          <w:insideH w:val="nil"/>
          <w:insideV w:val="nil"/>
        </w:tcBorders>
        <w:shd w:val="clear" w:color="auto" w:fill="5B8EE6" w:themeFill="accent1"/>
      </w:tcPr>
    </w:tblStylePr>
    <w:tblStylePr w:type="lastRow">
      <w:rPr>
        <w:b/>
        <w:bCs/>
      </w:rPr>
      <w:tblPr/>
      <w:tcPr>
        <w:tcBorders>
          <w:top w:val="double" w:sz="4" w:space="0" w:color="5B8EE6" w:themeColor="accent1"/>
        </w:tcBorders>
      </w:tcPr>
    </w:tblStylePr>
    <w:tblStylePr w:type="firstCol">
      <w:rPr>
        <w:b/>
        <w:bCs/>
      </w:rPr>
    </w:tblStylePr>
    <w:tblStylePr w:type="lastCol">
      <w:rPr>
        <w:b/>
        <w:bCs/>
      </w:rPr>
    </w:tblStylePr>
    <w:tblStylePr w:type="band1Vert">
      <w:tblPr/>
      <w:tcPr>
        <w:shd w:val="clear" w:color="auto" w:fill="DEE8FA" w:themeFill="accent1" w:themeFillTint="33"/>
      </w:tcPr>
    </w:tblStylePr>
    <w:tblStylePr w:type="band1Horz">
      <w:tblPr/>
      <w:tcPr>
        <w:shd w:val="clear" w:color="auto" w:fill="DEE8FA" w:themeFill="accent1" w:themeFillTint="33"/>
      </w:tcPr>
    </w:tblStylePr>
  </w:style>
  <w:style w:type="table" w:customStyle="1" w:styleId="GridTable41">
    <w:name w:val="Grid Table 41"/>
    <w:basedOn w:val="TableNormal"/>
    <w:uiPriority w:val="49"/>
    <w:rsid w:val="00170EB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170EB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0EB7"/>
    <w:rPr>
      <w:rFonts w:eastAsiaTheme="minorEastAsia"/>
      <w:lang w:val="en-US"/>
    </w:rPr>
  </w:style>
  <w:style w:type="paragraph" w:styleId="Quote">
    <w:name w:val="Quote"/>
    <w:basedOn w:val="Normal"/>
    <w:next w:val="Normal"/>
    <w:link w:val="QuoteChar"/>
    <w:uiPriority w:val="99"/>
    <w:unhideWhenUsed/>
    <w:rsid w:val="00170EB7"/>
    <w:pPr>
      <w:spacing w:after="80"/>
    </w:pPr>
    <w:rPr>
      <w:b/>
      <w:i/>
      <w:color w:val="5B8EE6" w:themeColor="accent1"/>
      <w:sz w:val="22"/>
    </w:rPr>
  </w:style>
  <w:style w:type="character" w:customStyle="1" w:styleId="QuoteChar">
    <w:name w:val="Quote Char"/>
    <w:basedOn w:val="DefaultParagraphFont"/>
    <w:link w:val="Quote"/>
    <w:uiPriority w:val="99"/>
    <w:rsid w:val="00170EB7"/>
    <w:rPr>
      <w:b/>
      <w:i/>
      <w:color w:val="5B8EE6" w:themeColor="accent1"/>
    </w:rPr>
  </w:style>
  <w:style w:type="paragraph" w:customStyle="1" w:styleId="QuoteHeading">
    <w:name w:val="QuoteHeading"/>
    <w:basedOn w:val="QuoteSmallBlue"/>
    <w:next w:val="QuoteLarge"/>
    <w:rsid w:val="00170EB7"/>
    <w:rPr>
      <w:b/>
      <w:sz w:val="26"/>
    </w:rPr>
  </w:style>
  <w:style w:type="character" w:styleId="PlaceholderText">
    <w:name w:val="Placeholder Text"/>
    <w:basedOn w:val="DefaultParagraphFont"/>
    <w:uiPriority w:val="99"/>
    <w:semiHidden/>
    <w:rsid w:val="00170EB7"/>
    <w:rPr>
      <w:color w:val="808080"/>
    </w:rPr>
  </w:style>
  <w:style w:type="paragraph" w:styleId="BalloonText">
    <w:name w:val="Balloon Text"/>
    <w:basedOn w:val="Normal"/>
    <w:link w:val="BalloonTextChar"/>
    <w:uiPriority w:val="99"/>
    <w:semiHidden/>
    <w:unhideWhenUsed/>
    <w:rsid w:val="00170E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EB7"/>
    <w:rPr>
      <w:rFonts w:ascii="Segoe UI" w:hAnsi="Segoe UI" w:cs="Segoe UI"/>
      <w:sz w:val="18"/>
      <w:szCs w:val="18"/>
    </w:rPr>
  </w:style>
  <w:style w:type="paragraph" w:customStyle="1" w:styleId="QuoteSmallBlue">
    <w:name w:val="QuoteSmallBlue"/>
    <w:basedOn w:val="Normal"/>
    <w:qFormat/>
    <w:rsid w:val="009445DA"/>
    <w:pPr>
      <w:spacing w:after="0"/>
      <w:ind w:left="720"/>
    </w:pPr>
    <w:rPr>
      <w:i/>
      <w:color w:val="1A4FAB" w:themeColor="text2"/>
    </w:rPr>
  </w:style>
  <w:style w:type="paragraph" w:customStyle="1" w:styleId="QuoteSmallWhite">
    <w:name w:val="QuoteSmallWhite"/>
    <w:basedOn w:val="QuoteSmallBlue"/>
    <w:qFormat/>
    <w:rsid w:val="00170EB7"/>
    <w:rPr>
      <w:b/>
      <w:color w:val="FFFFFF" w:themeColor="background1"/>
    </w:rPr>
  </w:style>
  <w:style w:type="paragraph" w:customStyle="1" w:styleId="QuoteLarge">
    <w:name w:val="QuoteLarge"/>
    <w:basedOn w:val="Normal"/>
    <w:next w:val="QuoteSmallBlue"/>
    <w:qFormat/>
    <w:rsid w:val="00170EB7"/>
    <w:pPr>
      <w:spacing w:after="80"/>
    </w:pPr>
    <w:rPr>
      <w:b/>
      <w:i/>
      <w:color w:val="1F60D0" w:themeColor="accent1" w:themeShade="BF"/>
      <w:sz w:val="24"/>
    </w:rPr>
  </w:style>
  <w:style w:type="character" w:styleId="CommentReference">
    <w:name w:val="annotation reference"/>
    <w:basedOn w:val="DefaultParagraphFont"/>
    <w:uiPriority w:val="99"/>
    <w:semiHidden/>
    <w:unhideWhenUsed/>
    <w:rsid w:val="00FC496C"/>
    <w:rPr>
      <w:sz w:val="16"/>
      <w:szCs w:val="16"/>
    </w:rPr>
  </w:style>
  <w:style w:type="paragraph" w:styleId="CommentText">
    <w:name w:val="annotation text"/>
    <w:basedOn w:val="Normal"/>
    <w:link w:val="CommentTextChar"/>
    <w:uiPriority w:val="99"/>
    <w:semiHidden/>
    <w:unhideWhenUsed/>
    <w:rsid w:val="00FC496C"/>
    <w:pPr>
      <w:spacing w:line="240" w:lineRule="auto"/>
    </w:pPr>
    <w:rPr>
      <w:szCs w:val="20"/>
    </w:rPr>
  </w:style>
  <w:style w:type="character" w:customStyle="1" w:styleId="CommentTextChar">
    <w:name w:val="Comment Text Char"/>
    <w:basedOn w:val="DefaultParagraphFont"/>
    <w:link w:val="CommentText"/>
    <w:uiPriority w:val="99"/>
    <w:semiHidden/>
    <w:rsid w:val="00FC496C"/>
    <w:rPr>
      <w:sz w:val="20"/>
      <w:szCs w:val="20"/>
    </w:rPr>
  </w:style>
  <w:style w:type="paragraph" w:styleId="CommentSubject">
    <w:name w:val="annotation subject"/>
    <w:basedOn w:val="CommentText"/>
    <w:next w:val="CommentText"/>
    <w:link w:val="CommentSubjectChar"/>
    <w:uiPriority w:val="99"/>
    <w:semiHidden/>
    <w:unhideWhenUsed/>
    <w:rsid w:val="00FC496C"/>
    <w:rPr>
      <w:b/>
      <w:bCs/>
    </w:rPr>
  </w:style>
  <w:style w:type="character" w:customStyle="1" w:styleId="CommentSubjectChar">
    <w:name w:val="Comment Subject Char"/>
    <w:basedOn w:val="CommentTextChar"/>
    <w:link w:val="CommentSubject"/>
    <w:uiPriority w:val="99"/>
    <w:semiHidden/>
    <w:rsid w:val="00FC496C"/>
    <w:rPr>
      <w:b/>
      <w:bCs/>
      <w:sz w:val="20"/>
      <w:szCs w:val="20"/>
    </w:rPr>
  </w:style>
  <w:style w:type="paragraph" w:styleId="Bibliography">
    <w:name w:val="Bibliography"/>
    <w:basedOn w:val="Normal"/>
    <w:next w:val="Normal"/>
    <w:unhideWhenUsed/>
    <w:qFormat/>
    <w:rsid w:val="008D7601"/>
  </w:style>
  <w:style w:type="character" w:styleId="UnresolvedMention">
    <w:name w:val="Unresolved Mention"/>
    <w:basedOn w:val="DefaultParagraphFont"/>
    <w:uiPriority w:val="99"/>
    <w:semiHidden/>
    <w:unhideWhenUsed/>
    <w:rsid w:val="005F21DF"/>
    <w:rPr>
      <w:color w:val="605E5C"/>
      <w:shd w:val="clear" w:color="auto" w:fill="E1DFDD"/>
    </w:rPr>
  </w:style>
  <w:style w:type="paragraph" w:styleId="NormalWeb">
    <w:name w:val="Normal (Web)"/>
    <w:basedOn w:val="Normal"/>
    <w:uiPriority w:val="99"/>
    <w:semiHidden/>
    <w:unhideWhenUsed/>
    <w:rsid w:val="00DD154D"/>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066E03"/>
    <w:rPr>
      <w:color w:val="29A7DB" w:themeColor="followedHyperlink"/>
      <w:u w:val="single"/>
    </w:rPr>
  </w:style>
  <w:style w:type="character" w:customStyle="1" w:styleId="Heading5Char">
    <w:name w:val="Heading 5 Char"/>
    <w:basedOn w:val="DefaultParagraphFont"/>
    <w:link w:val="Heading5"/>
    <w:uiPriority w:val="9"/>
    <w:rsid w:val="00F77F53"/>
    <w:rPr>
      <w:rFonts w:asciiTheme="majorHAnsi" w:eastAsiaTheme="majorEastAsia" w:hAnsiTheme="majorHAnsi" w:cstheme="majorBidi"/>
      <w:i/>
      <w:iCs/>
      <w:color w:val="5B8EE6" w:themeColor="accent1"/>
      <w:sz w:val="24"/>
      <w:szCs w:val="24"/>
      <w:lang w:val="en-US"/>
    </w:rPr>
  </w:style>
  <w:style w:type="character" w:customStyle="1" w:styleId="Heading6Char">
    <w:name w:val="Heading 6 Char"/>
    <w:basedOn w:val="DefaultParagraphFont"/>
    <w:link w:val="Heading6"/>
    <w:uiPriority w:val="9"/>
    <w:rsid w:val="00F77F53"/>
    <w:rPr>
      <w:rFonts w:asciiTheme="majorHAnsi" w:eastAsiaTheme="majorEastAsia" w:hAnsiTheme="majorHAnsi" w:cstheme="majorBidi"/>
      <w:color w:val="5B8EE6" w:themeColor="accent1"/>
      <w:sz w:val="24"/>
      <w:szCs w:val="24"/>
      <w:lang w:val="en-US"/>
    </w:rPr>
  </w:style>
  <w:style w:type="character" w:customStyle="1" w:styleId="Heading7Char">
    <w:name w:val="Heading 7 Char"/>
    <w:basedOn w:val="DefaultParagraphFont"/>
    <w:link w:val="Heading7"/>
    <w:uiPriority w:val="9"/>
    <w:rsid w:val="00F77F53"/>
    <w:rPr>
      <w:rFonts w:asciiTheme="majorHAnsi" w:eastAsiaTheme="majorEastAsia" w:hAnsiTheme="majorHAnsi" w:cstheme="majorBidi"/>
      <w:color w:val="5B8EE6" w:themeColor="accent1"/>
      <w:sz w:val="24"/>
      <w:szCs w:val="24"/>
      <w:lang w:val="en-US"/>
    </w:rPr>
  </w:style>
  <w:style w:type="character" w:customStyle="1" w:styleId="Heading8Char">
    <w:name w:val="Heading 8 Char"/>
    <w:basedOn w:val="DefaultParagraphFont"/>
    <w:link w:val="Heading8"/>
    <w:uiPriority w:val="9"/>
    <w:rsid w:val="00F77F53"/>
    <w:rPr>
      <w:rFonts w:asciiTheme="majorHAnsi" w:eastAsiaTheme="majorEastAsia" w:hAnsiTheme="majorHAnsi" w:cstheme="majorBidi"/>
      <w:color w:val="5B8EE6" w:themeColor="accent1"/>
      <w:sz w:val="24"/>
      <w:szCs w:val="24"/>
      <w:lang w:val="en-US"/>
    </w:rPr>
  </w:style>
  <w:style w:type="character" w:customStyle="1" w:styleId="Heading9Char">
    <w:name w:val="Heading 9 Char"/>
    <w:basedOn w:val="DefaultParagraphFont"/>
    <w:link w:val="Heading9"/>
    <w:uiPriority w:val="9"/>
    <w:rsid w:val="00F77F53"/>
    <w:rPr>
      <w:rFonts w:asciiTheme="majorHAnsi" w:eastAsiaTheme="majorEastAsia" w:hAnsiTheme="majorHAnsi" w:cstheme="majorBidi"/>
      <w:color w:val="5B8EE6" w:themeColor="accent1"/>
      <w:sz w:val="24"/>
      <w:szCs w:val="24"/>
      <w:lang w:val="en-US"/>
    </w:rPr>
  </w:style>
  <w:style w:type="paragraph" w:customStyle="1" w:styleId="FirstParagraph">
    <w:name w:val="First Paragraph"/>
    <w:basedOn w:val="BodyText"/>
    <w:next w:val="BodyText"/>
    <w:qFormat/>
    <w:rsid w:val="00F77F53"/>
    <w:pPr>
      <w:numPr>
        <w:numId w:val="0"/>
      </w:numPr>
      <w:spacing w:before="180" w:after="180" w:line="240" w:lineRule="auto"/>
    </w:pPr>
    <w:rPr>
      <w:rFonts w:ascii="Calibri" w:hAnsi="Calibri"/>
      <w:sz w:val="24"/>
      <w:szCs w:val="24"/>
      <w:lang w:val="en-US"/>
    </w:rPr>
  </w:style>
  <w:style w:type="paragraph" w:customStyle="1" w:styleId="Compact">
    <w:name w:val="Compact"/>
    <w:basedOn w:val="BodyText"/>
    <w:qFormat/>
    <w:rsid w:val="00F77F53"/>
    <w:pPr>
      <w:numPr>
        <w:numId w:val="0"/>
      </w:numPr>
      <w:spacing w:before="36" w:after="36" w:line="240" w:lineRule="auto"/>
    </w:pPr>
    <w:rPr>
      <w:rFonts w:ascii="Calibri" w:hAnsi="Calibri"/>
      <w:sz w:val="20"/>
      <w:szCs w:val="24"/>
      <w:lang w:val="en-US"/>
    </w:rPr>
  </w:style>
  <w:style w:type="paragraph" w:styleId="Title">
    <w:name w:val="Title"/>
    <w:basedOn w:val="Normal"/>
    <w:next w:val="BodyText"/>
    <w:link w:val="TitleChar"/>
    <w:qFormat/>
    <w:rsid w:val="00F77F53"/>
    <w:pPr>
      <w:keepNext/>
      <w:keepLines/>
      <w:spacing w:before="480" w:after="240" w:line="240" w:lineRule="auto"/>
      <w:jc w:val="center"/>
    </w:pPr>
    <w:rPr>
      <w:rFonts w:asciiTheme="majorHAnsi" w:eastAsiaTheme="majorEastAsia" w:hAnsiTheme="majorHAnsi" w:cstheme="majorBidi"/>
      <w:b/>
      <w:bCs/>
      <w:color w:val="1E5BC5" w:themeColor="accent1" w:themeShade="B5"/>
      <w:sz w:val="36"/>
      <w:szCs w:val="36"/>
      <w:lang w:val="en-US"/>
    </w:rPr>
  </w:style>
  <w:style w:type="character" w:customStyle="1" w:styleId="TitleChar">
    <w:name w:val="Title Char"/>
    <w:basedOn w:val="DefaultParagraphFont"/>
    <w:link w:val="Title"/>
    <w:rsid w:val="00F77F53"/>
    <w:rPr>
      <w:rFonts w:asciiTheme="majorHAnsi" w:eastAsiaTheme="majorEastAsia" w:hAnsiTheme="majorHAnsi" w:cstheme="majorBidi"/>
      <w:b/>
      <w:bCs/>
      <w:color w:val="1E5BC5" w:themeColor="accent1" w:themeShade="B5"/>
      <w:sz w:val="36"/>
      <w:szCs w:val="36"/>
      <w:lang w:val="en-US"/>
    </w:rPr>
  </w:style>
  <w:style w:type="paragraph" w:styleId="Subtitle">
    <w:name w:val="Subtitle"/>
    <w:basedOn w:val="Title"/>
    <w:next w:val="BodyText"/>
    <w:link w:val="SubtitleChar"/>
    <w:qFormat/>
    <w:rsid w:val="00F77F53"/>
    <w:pPr>
      <w:spacing w:before="240"/>
    </w:pPr>
    <w:rPr>
      <w:sz w:val="30"/>
      <w:szCs w:val="30"/>
    </w:rPr>
  </w:style>
  <w:style w:type="character" w:customStyle="1" w:styleId="SubtitleChar">
    <w:name w:val="Subtitle Char"/>
    <w:basedOn w:val="DefaultParagraphFont"/>
    <w:link w:val="Subtitle"/>
    <w:rsid w:val="00F77F53"/>
    <w:rPr>
      <w:rFonts w:asciiTheme="majorHAnsi" w:eastAsiaTheme="majorEastAsia" w:hAnsiTheme="majorHAnsi" w:cstheme="majorBidi"/>
      <w:b/>
      <w:bCs/>
      <w:color w:val="1E5BC5" w:themeColor="accent1" w:themeShade="B5"/>
      <w:sz w:val="30"/>
      <w:szCs w:val="30"/>
      <w:lang w:val="en-US"/>
    </w:rPr>
  </w:style>
  <w:style w:type="paragraph" w:customStyle="1" w:styleId="Author">
    <w:name w:val="Author"/>
    <w:next w:val="BodyText"/>
    <w:qFormat/>
    <w:rsid w:val="00F77F53"/>
    <w:pPr>
      <w:keepNext/>
      <w:keepLines/>
      <w:spacing w:after="200" w:line="240" w:lineRule="auto"/>
      <w:jc w:val="center"/>
    </w:pPr>
    <w:rPr>
      <w:sz w:val="24"/>
      <w:szCs w:val="24"/>
      <w:lang w:val="en-US"/>
    </w:rPr>
  </w:style>
  <w:style w:type="paragraph" w:styleId="Date">
    <w:name w:val="Date"/>
    <w:next w:val="BodyText"/>
    <w:link w:val="DateChar"/>
    <w:qFormat/>
    <w:rsid w:val="00F77F53"/>
    <w:pPr>
      <w:keepNext/>
      <w:keepLines/>
      <w:spacing w:after="200" w:line="240" w:lineRule="auto"/>
      <w:jc w:val="center"/>
    </w:pPr>
    <w:rPr>
      <w:sz w:val="24"/>
      <w:szCs w:val="24"/>
      <w:lang w:val="en-US"/>
    </w:rPr>
  </w:style>
  <w:style w:type="character" w:customStyle="1" w:styleId="DateChar">
    <w:name w:val="Date Char"/>
    <w:basedOn w:val="DefaultParagraphFont"/>
    <w:link w:val="Date"/>
    <w:rsid w:val="00F77F53"/>
    <w:rPr>
      <w:sz w:val="24"/>
      <w:szCs w:val="24"/>
      <w:lang w:val="en-US"/>
    </w:rPr>
  </w:style>
  <w:style w:type="paragraph" w:customStyle="1" w:styleId="Abstract">
    <w:name w:val="Abstract"/>
    <w:basedOn w:val="Normal"/>
    <w:next w:val="BodyText"/>
    <w:qFormat/>
    <w:rsid w:val="00F77F53"/>
    <w:pPr>
      <w:keepNext/>
      <w:keepLines/>
      <w:spacing w:before="300" w:after="300" w:line="240" w:lineRule="auto"/>
    </w:pPr>
    <w:rPr>
      <w:szCs w:val="20"/>
      <w:lang w:val="en-US"/>
    </w:rPr>
  </w:style>
  <w:style w:type="paragraph" w:styleId="BlockText">
    <w:name w:val="Block Text"/>
    <w:basedOn w:val="BodyText"/>
    <w:next w:val="BodyText"/>
    <w:uiPriority w:val="9"/>
    <w:unhideWhenUsed/>
    <w:qFormat/>
    <w:rsid w:val="00F77F53"/>
    <w:pPr>
      <w:numPr>
        <w:numId w:val="0"/>
      </w:numPr>
      <w:spacing w:before="100" w:after="100" w:line="240" w:lineRule="auto"/>
    </w:pPr>
    <w:rPr>
      <w:rFonts w:asciiTheme="majorHAnsi" w:eastAsiaTheme="majorEastAsia" w:hAnsiTheme="majorHAnsi" w:cstheme="majorBidi"/>
      <w:bCs/>
      <w:sz w:val="20"/>
      <w:szCs w:val="20"/>
      <w:lang w:val="en-US"/>
    </w:rPr>
  </w:style>
  <w:style w:type="table" w:customStyle="1" w:styleId="Table">
    <w:name w:val="Table"/>
    <w:semiHidden/>
    <w:unhideWhenUsed/>
    <w:qFormat/>
    <w:rsid w:val="00F77F53"/>
    <w:pPr>
      <w:spacing w:after="200" w:line="240" w:lineRule="auto"/>
    </w:pPr>
    <w:rPr>
      <w:sz w:val="24"/>
      <w:szCs w:val="24"/>
      <w:lang w:val="en-US" w:eastAsia="en-GB"/>
    </w:rPr>
    <w:tblPr>
      <w:tblInd w:w="0" w:type="dxa"/>
      <w:tblCellMar>
        <w:top w:w="0" w:type="dxa"/>
        <w:left w:w="108" w:type="dxa"/>
        <w:bottom w:w="0" w:type="dxa"/>
        <w:right w:w="108" w:type="dxa"/>
      </w:tblCellMar>
    </w:tblPr>
    <w:tblStylePr w:type="firstRow">
      <w:pPr>
        <w:jc w:val="center"/>
      </w:pPr>
      <w:rPr>
        <w:b/>
      </w:rPr>
      <w:tblPr/>
      <w:tcPr>
        <w:vAlign w:val="center"/>
      </w:tcPr>
    </w:tblStylePr>
  </w:style>
  <w:style w:type="paragraph" w:customStyle="1" w:styleId="DefinitionTerm">
    <w:name w:val="Definition Term"/>
    <w:basedOn w:val="Normal"/>
    <w:next w:val="Definition"/>
    <w:rsid w:val="00F77F53"/>
    <w:pPr>
      <w:keepNext/>
      <w:keepLines/>
      <w:spacing w:after="0" w:line="240" w:lineRule="auto"/>
    </w:pPr>
    <w:rPr>
      <w:b/>
      <w:sz w:val="24"/>
      <w:szCs w:val="24"/>
      <w:lang w:val="en-US"/>
    </w:rPr>
  </w:style>
  <w:style w:type="paragraph" w:customStyle="1" w:styleId="Definition">
    <w:name w:val="Definition"/>
    <w:basedOn w:val="Normal"/>
    <w:rsid w:val="00F77F53"/>
    <w:pPr>
      <w:spacing w:after="200" w:line="240" w:lineRule="auto"/>
    </w:pPr>
    <w:rPr>
      <w:sz w:val="24"/>
      <w:szCs w:val="24"/>
      <w:lang w:val="en-US"/>
    </w:rPr>
  </w:style>
  <w:style w:type="paragraph" w:customStyle="1" w:styleId="TableCaption">
    <w:name w:val="Table Caption"/>
    <w:basedOn w:val="Caption"/>
    <w:rsid w:val="00F77F53"/>
    <w:pPr>
      <w:keepNext/>
      <w:spacing w:after="120"/>
    </w:pPr>
    <w:rPr>
      <w:iCs w:val="0"/>
      <w:color w:val="auto"/>
      <w:sz w:val="20"/>
      <w:szCs w:val="24"/>
      <w:lang w:val="en-US"/>
    </w:rPr>
  </w:style>
  <w:style w:type="paragraph" w:customStyle="1" w:styleId="ImageCaption">
    <w:name w:val="Image Caption"/>
    <w:basedOn w:val="Caption"/>
    <w:rsid w:val="00F77F53"/>
    <w:pPr>
      <w:spacing w:after="120"/>
    </w:pPr>
    <w:rPr>
      <w:iCs w:val="0"/>
      <w:color w:val="auto"/>
      <w:sz w:val="24"/>
      <w:szCs w:val="24"/>
      <w:lang w:val="en-US"/>
    </w:rPr>
  </w:style>
  <w:style w:type="paragraph" w:customStyle="1" w:styleId="Figure">
    <w:name w:val="Figure"/>
    <w:basedOn w:val="Normal"/>
    <w:rsid w:val="00F77F53"/>
    <w:pPr>
      <w:spacing w:after="200" w:line="240" w:lineRule="auto"/>
    </w:pPr>
    <w:rPr>
      <w:sz w:val="24"/>
      <w:szCs w:val="24"/>
      <w:lang w:val="en-US"/>
    </w:rPr>
  </w:style>
  <w:style w:type="paragraph" w:customStyle="1" w:styleId="CaptionedFigure">
    <w:name w:val="Captioned Figure"/>
    <w:basedOn w:val="Figure"/>
    <w:rsid w:val="00F77F53"/>
    <w:pPr>
      <w:keepNext/>
    </w:pPr>
  </w:style>
  <w:style w:type="character" w:customStyle="1" w:styleId="CaptionChar">
    <w:name w:val="Caption Char"/>
    <w:basedOn w:val="DefaultParagraphFont"/>
    <w:link w:val="Caption"/>
    <w:rsid w:val="00F77F53"/>
    <w:rPr>
      <w:i/>
      <w:iCs/>
      <w:color w:val="7F7F7F" w:themeColor="text1" w:themeTint="80"/>
      <w:sz w:val="16"/>
      <w:szCs w:val="18"/>
      <w:lang w:val="en-GB"/>
    </w:rPr>
  </w:style>
  <w:style w:type="character" w:customStyle="1" w:styleId="VerbatimChar">
    <w:name w:val="Verbatim Char"/>
    <w:basedOn w:val="CaptionChar"/>
    <w:link w:val="SourceCode"/>
    <w:rsid w:val="00F77F53"/>
    <w:rPr>
      <w:rFonts w:ascii="Consolas" w:hAnsi="Consolas"/>
      <w:i/>
      <w:iCs/>
      <w:color w:val="7F7F7F" w:themeColor="text1" w:themeTint="80"/>
      <w:sz w:val="16"/>
      <w:szCs w:val="18"/>
      <w:shd w:val="clear" w:color="auto" w:fill="F8F8F8"/>
      <w:lang w:val="en-GB"/>
    </w:rPr>
  </w:style>
  <w:style w:type="paragraph" w:customStyle="1" w:styleId="SourceCode">
    <w:name w:val="Source Code"/>
    <w:basedOn w:val="Normal"/>
    <w:link w:val="VerbatimChar"/>
    <w:rsid w:val="00F77F53"/>
    <w:pPr>
      <w:shd w:val="clear" w:color="auto" w:fill="F8F8F8"/>
      <w:wordWrap w:val="0"/>
      <w:spacing w:after="200" w:line="240" w:lineRule="auto"/>
    </w:pPr>
    <w:rPr>
      <w:rFonts w:ascii="Consolas" w:hAnsi="Consolas"/>
      <w:i/>
      <w:iCs/>
      <w:color w:val="7F7F7F" w:themeColor="text1" w:themeTint="80"/>
      <w:sz w:val="22"/>
      <w:szCs w:val="18"/>
    </w:rPr>
  </w:style>
  <w:style w:type="character" w:customStyle="1" w:styleId="KeywordTok">
    <w:name w:val="KeywordTok"/>
    <w:basedOn w:val="VerbatimChar"/>
    <w:rsid w:val="00F77F53"/>
    <w:rPr>
      <w:rFonts w:ascii="Consolas" w:hAnsi="Consolas"/>
      <w:b/>
      <w:i/>
      <w:iCs/>
      <w:color w:val="204A87"/>
      <w:sz w:val="16"/>
      <w:szCs w:val="18"/>
      <w:shd w:val="clear" w:color="auto" w:fill="F8F8F8"/>
      <w:lang w:val="en-GB"/>
    </w:rPr>
  </w:style>
  <w:style w:type="character" w:customStyle="1" w:styleId="DataTypeTok">
    <w:name w:val="DataTypeTok"/>
    <w:basedOn w:val="VerbatimChar"/>
    <w:rsid w:val="00F77F53"/>
    <w:rPr>
      <w:rFonts w:ascii="Consolas" w:hAnsi="Consolas"/>
      <w:i/>
      <w:iCs/>
      <w:color w:val="204A87"/>
      <w:sz w:val="16"/>
      <w:szCs w:val="18"/>
      <w:shd w:val="clear" w:color="auto" w:fill="F8F8F8"/>
      <w:lang w:val="en-GB"/>
    </w:rPr>
  </w:style>
  <w:style w:type="character" w:customStyle="1" w:styleId="DecValTok">
    <w:name w:val="DecValTok"/>
    <w:basedOn w:val="VerbatimChar"/>
    <w:rsid w:val="00F77F53"/>
    <w:rPr>
      <w:rFonts w:ascii="Consolas" w:hAnsi="Consolas"/>
      <w:i/>
      <w:iCs/>
      <w:color w:val="0000CF"/>
      <w:sz w:val="16"/>
      <w:szCs w:val="18"/>
      <w:shd w:val="clear" w:color="auto" w:fill="F8F8F8"/>
      <w:lang w:val="en-GB"/>
    </w:rPr>
  </w:style>
  <w:style w:type="character" w:customStyle="1" w:styleId="BaseNTok">
    <w:name w:val="BaseNTok"/>
    <w:basedOn w:val="VerbatimChar"/>
    <w:rsid w:val="00F77F53"/>
    <w:rPr>
      <w:rFonts w:ascii="Consolas" w:hAnsi="Consolas"/>
      <w:i/>
      <w:iCs/>
      <w:color w:val="0000CF"/>
      <w:sz w:val="16"/>
      <w:szCs w:val="18"/>
      <w:shd w:val="clear" w:color="auto" w:fill="F8F8F8"/>
      <w:lang w:val="en-GB"/>
    </w:rPr>
  </w:style>
  <w:style w:type="character" w:customStyle="1" w:styleId="FloatTok">
    <w:name w:val="FloatTok"/>
    <w:basedOn w:val="VerbatimChar"/>
    <w:rsid w:val="00F77F53"/>
    <w:rPr>
      <w:rFonts w:ascii="Consolas" w:hAnsi="Consolas"/>
      <w:i/>
      <w:iCs/>
      <w:color w:val="0000CF"/>
      <w:sz w:val="16"/>
      <w:szCs w:val="18"/>
      <w:shd w:val="clear" w:color="auto" w:fill="F8F8F8"/>
      <w:lang w:val="en-GB"/>
    </w:rPr>
  </w:style>
  <w:style w:type="character" w:customStyle="1" w:styleId="ConstantTok">
    <w:name w:val="ConstantTok"/>
    <w:basedOn w:val="VerbatimChar"/>
    <w:rsid w:val="00F77F53"/>
    <w:rPr>
      <w:rFonts w:ascii="Consolas" w:hAnsi="Consolas"/>
      <w:i/>
      <w:iCs/>
      <w:color w:val="000000"/>
      <w:sz w:val="16"/>
      <w:szCs w:val="18"/>
      <w:shd w:val="clear" w:color="auto" w:fill="F8F8F8"/>
      <w:lang w:val="en-GB"/>
    </w:rPr>
  </w:style>
  <w:style w:type="character" w:customStyle="1" w:styleId="CharTok">
    <w:name w:val="CharTok"/>
    <w:basedOn w:val="VerbatimChar"/>
    <w:rsid w:val="00F77F53"/>
    <w:rPr>
      <w:rFonts w:ascii="Consolas" w:hAnsi="Consolas"/>
      <w:i/>
      <w:iCs/>
      <w:color w:val="4E9A06"/>
      <w:sz w:val="16"/>
      <w:szCs w:val="18"/>
      <w:shd w:val="clear" w:color="auto" w:fill="F8F8F8"/>
      <w:lang w:val="en-GB"/>
    </w:rPr>
  </w:style>
  <w:style w:type="character" w:customStyle="1" w:styleId="SpecialCharTok">
    <w:name w:val="SpecialCharTok"/>
    <w:basedOn w:val="VerbatimChar"/>
    <w:rsid w:val="00F77F53"/>
    <w:rPr>
      <w:rFonts w:ascii="Consolas" w:hAnsi="Consolas"/>
      <w:i/>
      <w:iCs/>
      <w:color w:val="000000"/>
      <w:sz w:val="16"/>
      <w:szCs w:val="18"/>
      <w:shd w:val="clear" w:color="auto" w:fill="F8F8F8"/>
      <w:lang w:val="en-GB"/>
    </w:rPr>
  </w:style>
  <w:style w:type="character" w:customStyle="1" w:styleId="StringTok">
    <w:name w:val="StringTok"/>
    <w:basedOn w:val="VerbatimChar"/>
    <w:rsid w:val="00F77F53"/>
    <w:rPr>
      <w:rFonts w:ascii="Consolas" w:hAnsi="Consolas"/>
      <w:i/>
      <w:iCs/>
      <w:color w:val="4E9A06"/>
      <w:sz w:val="16"/>
      <w:szCs w:val="18"/>
      <w:shd w:val="clear" w:color="auto" w:fill="F8F8F8"/>
      <w:lang w:val="en-GB"/>
    </w:rPr>
  </w:style>
  <w:style w:type="character" w:customStyle="1" w:styleId="VerbatimStringTok">
    <w:name w:val="VerbatimStringTok"/>
    <w:basedOn w:val="VerbatimChar"/>
    <w:rsid w:val="00F77F53"/>
    <w:rPr>
      <w:rFonts w:ascii="Consolas" w:hAnsi="Consolas"/>
      <w:i/>
      <w:iCs/>
      <w:color w:val="4E9A06"/>
      <w:sz w:val="16"/>
      <w:szCs w:val="18"/>
      <w:shd w:val="clear" w:color="auto" w:fill="F8F8F8"/>
      <w:lang w:val="en-GB"/>
    </w:rPr>
  </w:style>
  <w:style w:type="character" w:customStyle="1" w:styleId="SpecialStringTok">
    <w:name w:val="SpecialStringTok"/>
    <w:basedOn w:val="VerbatimChar"/>
    <w:rsid w:val="00F77F53"/>
    <w:rPr>
      <w:rFonts w:ascii="Consolas" w:hAnsi="Consolas"/>
      <w:i/>
      <w:iCs/>
      <w:color w:val="4E9A06"/>
      <w:sz w:val="16"/>
      <w:szCs w:val="18"/>
      <w:shd w:val="clear" w:color="auto" w:fill="F8F8F8"/>
      <w:lang w:val="en-GB"/>
    </w:rPr>
  </w:style>
  <w:style w:type="character" w:customStyle="1" w:styleId="ImportTok">
    <w:name w:val="ImportTok"/>
    <w:basedOn w:val="VerbatimChar"/>
    <w:rsid w:val="00F77F53"/>
    <w:rPr>
      <w:rFonts w:ascii="Consolas" w:hAnsi="Consolas"/>
      <w:i/>
      <w:iCs/>
      <w:color w:val="7F7F7F" w:themeColor="text1" w:themeTint="80"/>
      <w:sz w:val="16"/>
      <w:szCs w:val="18"/>
      <w:shd w:val="clear" w:color="auto" w:fill="F8F8F8"/>
      <w:lang w:val="en-GB"/>
    </w:rPr>
  </w:style>
  <w:style w:type="character" w:customStyle="1" w:styleId="CommentTok">
    <w:name w:val="CommentTok"/>
    <w:basedOn w:val="VerbatimChar"/>
    <w:rsid w:val="00F77F53"/>
    <w:rPr>
      <w:rFonts w:ascii="Consolas" w:hAnsi="Consolas"/>
      <w:i w:val="0"/>
      <w:iCs/>
      <w:color w:val="8F5902"/>
      <w:sz w:val="16"/>
      <w:szCs w:val="18"/>
      <w:shd w:val="clear" w:color="auto" w:fill="F8F8F8"/>
      <w:lang w:val="en-GB"/>
    </w:rPr>
  </w:style>
  <w:style w:type="character" w:customStyle="1" w:styleId="DocumentationTok">
    <w:name w:val="DocumentationTok"/>
    <w:basedOn w:val="VerbatimChar"/>
    <w:rsid w:val="00F77F53"/>
    <w:rPr>
      <w:rFonts w:ascii="Consolas" w:hAnsi="Consolas"/>
      <w:b/>
      <w:i w:val="0"/>
      <w:iCs/>
      <w:color w:val="8F5902"/>
      <w:sz w:val="16"/>
      <w:szCs w:val="18"/>
      <w:shd w:val="clear" w:color="auto" w:fill="F8F8F8"/>
      <w:lang w:val="en-GB"/>
    </w:rPr>
  </w:style>
  <w:style w:type="character" w:customStyle="1" w:styleId="AnnotationTok">
    <w:name w:val="AnnotationTok"/>
    <w:basedOn w:val="VerbatimChar"/>
    <w:rsid w:val="00F77F53"/>
    <w:rPr>
      <w:rFonts w:ascii="Consolas" w:hAnsi="Consolas"/>
      <w:b/>
      <w:i w:val="0"/>
      <w:iCs/>
      <w:color w:val="8F5902"/>
      <w:sz w:val="16"/>
      <w:szCs w:val="18"/>
      <w:shd w:val="clear" w:color="auto" w:fill="F8F8F8"/>
      <w:lang w:val="en-GB"/>
    </w:rPr>
  </w:style>
  <w:style w:type="character" w:customStyle="1" w:styleId="CommentVarTok">
    <w:name w:val="CommentVarTok"/>
    <w:basedOn w:val="VerbatimChar"/>
    <w:rsid w:val="00F77F53"/>
    <w:rPr>
      <w:rFonts w:ascii="Consolas" w:hAnsi="Consolas"/>
      <w:b/>
      <w:i w:val="0"/>
      <w:iCs/>
      <w:color w:val="8F5902"/>
      <w:sz w:val="16"/>
      <w:szCs w:val="18"/>
      <w:shd w:val="clear" w:color="auto" w:fill="F8F8F8"/>
      <w:lang w:val="en-GB"/>
    </w:rPr>
  </w:style>
  <w:style w:type="character" w:customStyle="1" w:styleId="OtherTok">
    <w:name w:val="OtherTok"/>
    <w:basedOn w:val="VerbatimChar"/>
    <w:rsid w:val="00F77F53"/>
    <w:rPr>
      <w:rFonts w:ascii="Consolas" w:hAnsi="Consolas"/>
      <w:i/>
      <w:iCs/>
      <w:color w:val="8F5902"/>
      <w:sz w:val="16"/>
      <w:szCs w:val="18"/>
      <w:shd w:val="clear" w:color="auto" w:fill="F8F8F8"/>
      <w:lang w:val="en-GB"/>
    </w:rPr>
  </w:style>
  <w:style w:type="character" w:customStyle="1" w:styleId="FunctionTok">
    <w:name w:val="FunctionTok"/>
    <w:basedOn w:val="VerbatimChar"/>
    <w:rsid w:val="00F77F53"/>
    <w:rPr>
      <w:rFonts w:ascii="Consolas" w:hAnsi="Consolas"/>
      <w:i/>
      <w:iCs/>
      <w:color w:val="000000"/>
      <w:sz w:val="16"/>
      <w:szCs w:val="18"/>
      <w:shd w:val="clear" w:color="auto" w:fill="F8F8F8"/>
      <w:lang w:val="en-GB"/>
    </w:rPr>
  </w:style>
  <w:style w:type="character" w:customStyle="1" w:styleId="VariableTok">
    <w:name w:val="VariableTok"/>
    <w:basedOn w:val="VerbatimChar"/>
    <w:rsid w:val="00F77F53"/>
    <w:rPr>
      <w:rFonts w:ascii="Consolas" w:hAnsi="Consolas"/>
      <w:i/>
      <w:iCs/>
      <w:color w:val="000000"/>
      <w:sz w:val="16"/>
      <w:szCs w:val="18"/>
      <w:shd w:val="clear" w:color="auto" w:fill="F8F8F8"/>
      <w:lang w:val="en-GB"/>
    </w:rPr>
  </w:style>
  <w:style w:type="character" w:customStyle="1" w:styleId="ControlFlowTok">
    <w:name w:val="ControlFlowTok"/>
    <w:basedOn w:val="VerbatimChar"/>
    <w:rsid w:val="00F77F53"/>
    <w:rPr>
      <w:rFonts w:ascii="Consolas" w:hAnsi="Consolas"/>
      <w:b/>
      <w:i/>
      <w:iCs/>
      <w:color w:val="204A87"/>
      <w:sz w:val="16"/>
      <w:szCs w:val="18"/>
      <w:shd w:val="clear" w:color="auto" w:fill="F8F8F8"/>
      <w:lang w:val="en-GB"/>
    </w:rPr>
  </w:style>
  <w:style w:type="character" w:customStyle="1" w:styleId="OperatorTok">
    <w:name w:val="OperatorTok"/>
    <w:basedOn w:val="VerbatimChar"/>
    <w:rsid w:val="00F77F53"/>
    <w:rPr>
      <w:rFonts w:ascii="Consolas" w:hAnsi="Consolas"/>
      <w:b/>
      <w:i/>
      <w:iCs/>
      <w:color w:val="CE5C00"/>
      <w:sz w:val="16"/>
      <w:szCs w:val="18"/>
      <w:shd w:val="clear" w:color="auto" w:fill="F8F8F8"/>
      <w:lang w:val="en-GB"/>
    </w:rPr>
  </w:style>
  <w:style w:type="character" w:customStyle="1" w:styleId="BuiltInTok">
    <w:name w:val="BuiltInTok"/>
    <w:basedOn w:val="VerbatimChar"/>
    <w:rsid w:val="00F77F53"/>
    <w:rPr>
      <w:rFonts w:ascii="Consolas" w:hAnsi="Consolas"/>
      <w:i/>
      <w:iCs/>
      <w:color w:val="7F7F7F" w:themeColor="text1" w:themeTint="80"/>
      <w:sz w:val="16"/>
      <w:szCs w:val="18"/>
      <w:shd w:val="clear" w:color="auto" w:fill="F8F8F8"/>
      <w:lang w:val="en-GB"/>
    </w:rPr>
  </w:style>
  <w:style w:type="character" w:customStyle="1" w:styleId="ExtensionTok">
    <w:name w:val="ExtensionTok"/>
    <w:basedOn w:val="VerbatimChar"/>
    <w:rsid w:val="00F77F53"/>
    <w:rPr>
      <w:rFonts w:ascii="Consolas" w:hAnsi="Consolas"/>
      <w:i/>
      <w:iCs/>
      <w:color w:val="7F7F7F" w:themeColor="text1" w:themeTint="80"/>
      <w:sz w:val="16"/>
      <w:szCs w:val="18"/>
      <w:shd w:val="clear" w:color="auto" w:fill="F8F8F8"/>
      <w:lang w:val="en-GB"/>
    </w:rPr>
  </w:style>
  <w:style w:type="character" w:customStyle="1" w:styleId="PreprocessorTok">
    <w:name w:val="PreprocessorTok"/>
    <w:basedOn w:val="VerbatimChar"/>
    <w:rsid w:val="00F77F53"/>
    <w:rPr>
      <w:rFonts w:ascii="Consolas" w:hAnsi="Consolas"/>
      <w:i w:val="0"/>
      <w:iCs/>
      <w:color w:val="8F5902"/>
      <w:sz w:val="16"/>
      <w:szCs w:val="18"/>
      <w:shd w:val="clear" w:color="auto" w:fill="F8F8F8"/>
      <w:lang w:val="en-GB"/>
    </w:rPr>
  </w:style>
  <w:style w:type="character" w:customStyle="1" w:styleId="AttributeTok">
    <w:name w:val="AttributeTok"/>
    <w:basedOn w:val="VerbatimChar"/>
    <w:rsid w:val="00F77F53"/>
    <w:rPr>
      <w:rFonts w:ascii="Consolas" w:hAnsi="Consolas"/>
      <w:i/>
      <w:iCs/>
      <w:color w:val="C4A000"/>
      <w:sz w:val="16"/>
      <w:szCs w:val="18"/>
      <w:shd w:val="clear" w:color="auto" w:fill="F8F8F8"/>
      <w:lang w:val="en-GB"/>
    </w:rPr>
  </w:style>
  <w:style w:type="character" w:customStyle="1" w:styleId="RegionMarkerTok">
    <w:name w:val="RegionMarkerTok"/>
    <w:basedOn w:val="VerbatimChar"/>
    <w:rsid w:val="00F77F53"/>
    <w:rPr>
      <w:rFonts w:ascii="Consolas" w:hAnsi="Consolas"/>
      <w:i/>
      <w:iCs/>
      <w:color w:val="7F7F7F" w:themeColor="text1" w:themeTint="80"/>
      <w:sz w:val="16"/>
      <w:szCs w:val="18"/>
      <w:shd w:val="clear" w:color="auto" w:fill="F8F8F8"/>
      <w:lang w:val="en-GB"/>
    </w:rPr>
  </w:style>
  <w:style w:type="character" w:customStyle="1" w:styleId="InformationTok">
    <w:name w:val="InformationTok"/>
    <w:basedOn w:val="VerbatimChar"/>
    <w:rsid w:val="00F77F53"/>
    <w:rPr>
      <w:rFonts w:ascii="Consolas" w:hAnsi="Consolas"/>
      <w:b/>
      <w:i w:val="0"/>
      <w:iCs/>
      <w:color w:val="8F5902"/>
      <w:sz w:val="16"/>
      <w:szCs w:val="18"/>
      <w:shd w:val="clear" w:color="auto" w:fill="F8F8F8"/>
      <w:lang w:val="en-GB"/>
    </w:rPr>
  </w:style>
  <w:style w:type="character" w:customStyle="1" w:styleId="WarningTok">
    <w:name w:val="WarningTok"/>
    <w:basedOn w:val="VerbatimChar"/>
    <w:rsid w:val="00F77F53"/>
    <w:rPr>
      <w:rFonts w:ascii="Consolas" w:hAnsi="Consolas"/>
      <w:b/>
      <w:i w:val="0"/>
      <w:iCs/>
      <w:color w:val="8F5902"/>
      <w:sz w:val="16"/>
      <w:szCs w:val="18"/>
      <w:shd w:val="clear" w:color="auto" w:fill="F8F8F8"/>
      <w:lang w:val="en-GB"/>
    </w:rPr>
  </w:style>
  <w:style w:type="character" w:customStyle="1" w:styleId="AlertTok">
    <w:name w:val="AlertTok"/>
    <w:basedOn w:val="VerbatimChar"/>
    <w:rsid w:val="00F77F53"/>
    <w:rPr>
      <w:rFonts w:ascii="Consolas" w:hAnsi="Consolas"/>
      <w:i/>
      <w:iCs/>
      <w:color w:val="EF2929"/>
      <w:sz w:val="16"/>
      <w:szCs w:val="18"/>
      <w:shd w:val="clear" w:color="auto" w:fill="F8F8F8"/>
      <w:lang w:val="en-GB"/>
    </w:rPr>
  </w:style>
  <w:style w:type="character" w:customStyle="1" w:styleId="ErrorTok">
    <w:name w:val="ErrorTok"/>
    <w:basedOn w:val="VerbatimChar"/>
    <w:rsid w:val="00F77F53"/>
    <w:rPr>
      <w:rFonts w:ascii="Consolas" w:hAnsi="Consolas"/>
      <w:b/>
      <w:i/>
      <w:iCs/>
      <w:color w:val="A40000"/>
      <w:sz w:val="16"/>
      <w:szCs w:val="18"/>
      <w:shd w:val="clear" w:color="auto" w:fill="F8F8F8"/>
      <w:lang w:val="en-GB"/>
    </w:rPr>
  </w:style>
  <w:style w:type="character" w:customStyle="1" w:styleId="NormalTok">
    <w:name w:val="NormalTok"/>
    <w:basedOn w:val="VerbatimChar"/>
    <w:rsid w:val="00F77F53"/>
    <w:rPr>
      <w:rFonts w:ascii="Consolas" w:hAnsi="Consolas"/>
      <w:i/>
      <w:iCs/>
      <w:color w:val="7F7F7F" w:themeColor="text1" w:themeTint="80"/>
      <w:sz w:val="16"/>
      <w:szCs w:val="18"/>
      <w:shd w:val="clear" w:color="auto" w:fill="F8F8F8"/>
      <w:lang w:val="en-GB"/>
    </w:rPr>
  </w:style>
  <w:style w:type="paragraph" w:styleId="Revision">
    <w:name w:val="Revision"/>
    <w:hidden/>
    <w:uiPriority w:val="99"/>
    <w:semiHidden/>
    <w:rsid w:val="005139FA"/>
    <w:pPr>
      <w:spacing w:after="0" w:line="240" w:lineRule="auto"/>
    </w:pPr>
    <w:rPr>
      <w:sz w:val="20"/>
      <w:lang w:val="en-GB"/>
    </w:rPr>
  </w:style>
  <w:style w:type="character" w:styleId="PageNumber">
    <w:name w:val="page number"/>
    <w:basedOn w:val="DefaultParagraphFont"/>
    <w:uiPriority w:val="99"/>
    <w:semiHidden/>
    <w:unhideWhenUsed/>
    <w:rsid w:val="00775DA9"/>
  </w:style>
  <w:style w:type="character" w:customStyle="1" w:styleId="CommentTextChar1">
    <w:name w:val="Comment Text Char1"/>
    <w:basedOn w:val="DefaultParagraphFont"/>
    <w:uiPriority w:val="99"/>
    <w:semiHidden/>
    <w:rsid w:val="00287B72"/>
    <w:rPr>
      <w:rFonts w:ascii="Times New Roman" w:hAnsi="Times New Roman" w:cs="Times New Roman"/>
      <w:sz w:val="20"/>
      <w:szCs w:val="20"/>
    </w:rPr>
  </w:style>
  <w:style w:type="paragraph" w:customStyle="1" w:styleId="m-431901151655662946msolistparagraph">
    <w:name w:val="m_-431901151655662946msolistparagraph"/>
    <w:basedOn w:val="Normal"/>
    <w:rsid w:val="00F10CB6"/>
    <w:pPr>
      <w:spacing w:before="100" w:beforeAutospacing="1" w:after="100" w:afterAutospacing="1" w:line="240" w:lineRule="auto"/>
    </w:pPr>
    <w:rPr>
      <w:rFonts w:ascii="Times New Roman" w:eastAsia="Times New Roman" w:hAnsi="Times New Roman" w:cs="Times New Roman"/>
      <w:sz w:val="24"/>
      <w:szCs w:val="24"/>
      <w:lang w:val="en-NZ" w:eastAsia="en-GB"/>
    </w:rPr>
  </w:style>
  <w:style w:type="character" w:customStyle="1" w:styleId="apple-converted-space">
    <w:name w:val="apple-converted-space"/>
    <w:basedOn w:val="DefaultParagraphFont"/>
    <w:rsid w:val="00F10C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7821">
      <w:bodyDiv w:val="1"/>
      <w:marLeft w:val="0"/>
      <w:marRight w:val="0"/>
      <w:marTop w:val="0"/>
      <w:marBottom w:val="0"/>
      <w:divBdr>
        <w:top w:val="none" w:sz="0" w:space="0" w:color="auto"/>
        <w:left w:val="none" w:sz="0" w:space="0" w:color="auto"/>
        <w:bottom w:val="none" w:sz="0" w:space="0" w:color="auto"/>
        <w:right w:val="none" w:sz="0" w:space="0" w:color="auto"/>
      </w:divBdr>
      <w:divsChild>
        <w:div w:id="1600795904">
          <w:marLeft w:val="0"/>
          <w:marRight w:val="0"/>
          <w:marTop w:val="0"/>
          <w:marBottom w:val="375"/>
          <w:divBdr>
            <w:top w:val="none" w:sz="0" w:space="0" w:color="auto"/>
            <w:left w:val="none" w:sz="0" w:space="0" w:color="auto"/>
            <w:bottom w:val="none" w:sz="0" w:space="0" w:color="auto"/>
            <w:right w:val="none" w:sz="0" w:space="0" w:color="auto"/>
          </w:divBdr>
          <w:divsChild>
            <w:div w:id="322437319">
              <w:marLeft w:val="0"/>
              <w:marRight w:val="0"/>
              <w:marTop w:val="0"/>
              <w:marBottom w:val="0"/>
              <w:divBdr>
                <w:top w:val="none" w:sz="0" w:space="0" w:color="auto"/>
                <w:left w:val="none" w:sz="0" w:space="0" w:color="auto"/>
                <w:bottom w:val="none" w:sz="0" w:space="0" w:color="auto"/>
                <w:right w:val="none" w:sz="0" w:space="0" w:color="auto"/>
              </w:divBdr>
              <w:divsChild>
                <w:div w:id="1113745022">
                  <w:marLeft w:val="0"/>
                  <w:marRight w:val="0"/>
                  <w:marTop w:val="0"/>
                  <w:marBottom w:val="0"/>
                  <w:divBdr>
                    <w:top w:val="none" w:sz="0" w:space="0" w:color="auto"/>
                    <w:left w:val="none" w:sz="0" w:space="0" w:color="auto"/>
                    <w:bottom w:val="none" w:sz="0" w:space="0" w:color="auto"/>
                    <w:right w:val="none" w:sz="0" w:space="0" w:color="auto"/>
                  </w:divBdr>
                  <w:divsChild>
                    <w:div w:id="214124324">
                      <w:marLeft w:val="0"/>
                      <w:marRight w:val="0"/>
                      <w:marTop w:val="0"/>
                      <w:marBottom w:val="0"/>
                      <w:divBdr>
                        <w:top w:val="none" w:sz="0" w:space="0" w:color="auto"/>
                        <w:left w:val="none" w:sz="0" w:space="0" w:color="auto"/>
                        <w:bottom w:val="none" w:sz="0" w:space="0" w:color="auto"/>
                        <w:right w:val="none" w:sz="0" w:space="0" w:color="auto"/>
                      </w:divBdr>
                      <w:divsChild>
                        <w:div w:id="1285889844">
                          <w:marLeft w:val="0"/>
                          <w:marRight w:val="0"/>
                          <w:marTop w:val="0"/>
                          <w:marBottom w:val="375"/>
                          <w:divBdr>
                            <w:top w:val="none" w:sz="0" w:space="0" w:color="auto"/>
                            <w:left w:val="none" w:sz="0" w:space="0" w:color="auto"/>
                            <w:bottom w:val="none" w:sz="0" w:space="0" w:color="auto"/>
                            <w:right w:val="none" w:sz="0" w:space="0" w:color="auto"/>
                          </w:divBdr>
                          <w:divsChild>
                            <w:div w:id="220604554">
                              <w:marLeft w:val="0"/>
                              <w:marRight w:val="0"/>
                              <w:marTop w:val="0"/>
                              <w:marBottom w:val="0"/>
                              <w:divBdr>
                                <w:top w:val="none" w:sz="0" w:space="0" w:color="auto"/>
                                <w:left w:val="none" w:sz="0" w:space="0" w:color="auto"/>
                                <w:bottom w:val="none" w:sz="0" w:space="0" w:color="auto"/>
                                <w:right w:val="none" w:sz="0" w:space="0" w:color="auto"/>
                              </w:divBdr>
                              <w:divsChild>
                                <w:div w:id="19632273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090572">
          <w:marLeft w:val="0"/>
          <w:marRight w:val="0"/>
          <w:marTop w:val="0"/>
          <w:marBottom w:val="0"/>
          <w:divBdr>
            <w:top w:val="none" w:sz="0" w:space="0" w:color="auto"/>
            <w:left w:val="none" w:sz="0" w:space="0" w:color="auto"/>
            <w:bottom w:val="none" w:sz="0" w:space="0" w:color="auto"/>
            <w:right w:val="none" w:sz="0" w:space="0" w:color="auto"/>
          </w:divBdr>
        </w:div>
      </w:divsChild>
    </w:div>
    <w:div w:id="121970645">
      <w:bodyDiv w:val="1"/>
      <w:marLeft w:val="0"/>
      <w:marRight w:val="0"/>
      <w:marTop w:val="0"/>
      <w:marBottom w:val="0"/>
      <w:divBdr>
        <w:top w:val="none" w:sz="0" w:space="0" w:color="auto"/>
        <w:left w:val="none" w:sz="0" w:space="0" w:color="auto"/>
        <w:bottom w:val="none" w:sz="0" w:space="0" w:color="auto"/>
        <w:right w:val="none" w:sz="0" w:space="0" w:color="auto"/>
      </w:divBdr>
    </w:div>
    <w:div w:id="148715048">
      <w:bodyDiv w:val="1"/>
      <w:marLeft w:val="0"/>
      <w:marRight w:val="0"/>
      <w:marTop w:val="0"/>
      <w:marBottom w:val="0"/>
      <w:divBdr>
        <w:top w:val="none" w:sz="0" w:space="0" w:color="auto"/>
        <w:left w:val="none" w:sz="0" w:space="0" w:color="auto"/>
        <w:bottom w:val="none" w:sz="0" w:space="0" w:color="auto"/>
        <w:right w:val="none" w:sz="0" w:space="0" w:color="auto"/>
      </w:divBdr>
    </w:div>
    <w:div w:id="160001620">
      <w:bodyDiv w:val="1"/>
      <w:marLeft w:val="0"/>
      <w:marRight w:val="0"/>
      <w:marTop w:val="0"/>
      <w:marBottom w:val="0"/>
      <w:divBdr>
        <w:top w:val="none" w:sz="0" w:space="0" w:color="auto"/>
        <w:left w:val="none" w:sz="0" w:space="0" w:color="auto"/>
        <w:bottom w:val="none" w:sz="0" w:space="0" w:color="auto"/>
        <w:right w:val="none" w:sz="0" w:space="0" w:color="auto"/>
      </w:divBdr>
      <w:divsChild>
        <w:div w:id="1293831197">
          <w:marLeft w:val="0"/>
          <w:marRight w:val="0"/>
          <w:marTop w:val="0"/>
          <w:marBottom w:val="0"/>
          <w:divBdr>
            <w:top w:val="none" w:sz="0" w:space="0" w:color="auto"/>
            <w:left w:val="none" w:sz="0" w:space="0" w:color="auto"/>
            <w:bottom w:val="none" w:sz="0" w:space="0" w:color="auto"/>
            <w:right w:val="none" w:sz="0" w:space="0" w:color="auto"/>
          </w:divBdr>
          <w:divsChild>
            <w:div w:id="509872814">
              <w:marLeft w:val="0"/>
              <w:marRight w:val="0"/>
              <w:marTop w:val="0"/>
              <w:marBottom w:val="0"/>
              <w:divBdr>
                <w:top w:val="none" w:sz="0" w:space="0" w:color="auto"/>
                <w:left w:val="none" w:sz="0" w:space="0" w:color="auto"/>
                <w:bottom w:val="none" w:sz="0" w:space="0" w:color="auto"/>
                <w:right w:val="none" w:sz="0" w:space="0" w:color="auto"/>
              </w:divBdr>
              <w:divsChild>
                <w:div w:id="3715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76934">
      <w:bodyDiv w:val="1"/>
      <w:marLeft w:val="0"/>
      <w:marRight w:val="0"/>
      <w:marTop w:val="0"/>
      <w:marBottom w:val="0"/>
      <w:divBdr>
        <w:top w:val="none" w:sz="0" w:space="0" w:color="auto"/>
        <w:left w:val="none" w:sz="0" w:space="0" w:color="auto"/>
        <w:bottom w:val="none" w:sz="0" w:space="0" w:color="auto"/>
        <w:right w:val="none" w:sz="0" w:space="0" w:color="auto"/>
      </w:divBdr>
    </w:div>
    <w:div w:id="273901452">
      <w:bodyDiv w:val="1"/>
      <w:marLeft w:val="0"/>
      <w:marRight w:val="0"/>
      <w:marTop w:val="0"/>
      <w:marBottom w:val="0"/>
      <w:divBdr>
        <w:top w:val="none" w:sz="0" w:space="0" w:color="auto"/>
        <w:left w:val="none" w:sz="0" w:space="0" w:color="auto"/>
        <w:bottom w:val="none" w:sz="0" w:space="0" w:color="auto"/>
        <w:right w:val="none" w:sz="0" w:space="0" w:color="auto"/>
      </w:divBdr>
    </w:div>
    <w:div w:id="357657151">
      <w:bodyDiv w:val="1"/>
      <w:marLeft w:val="0"/>
      <w:marRight w:val="0"/>
      <w:marTop w:val="0"/>
      <w:marBottom w:val="0"/>
      <w:divBdr>
        <w:top w:val="none" w:sz="0" w:space="0" w:color="auto"/>
        <w:left w:val="none" w:sz="0" w:space="0" w:color="auto"/>
        <w:bottom w:val="none" w:sz="0" w:space="0" w:color="auto"/>
        <w:right w:val="none" w:sz="0" w:space="0" w:color="auto"/>
      </w:divBdr>
    </w:div>
    <w:div w:id="475950116">
      <w:bodyDiv w:val="1"/>
      <w:marLeft w:val="0"/>
      <w:marRight w:val="0"/>
      <w:marTop w:val="0"/>
      <w:marBottom w:val="0"/>
      <w:divBdr>
        <w:top w:val="none" w:sz="0" w:space="0" w:color="auto"/>
        <w:left w:val="none" w:sz="0" w:space="0" w:color="auto"/>
        <w:bottom w:val="none" w:sz="0" w:space="0" w:color="auto"/>
        <w:right w:val="none" w:sz="0" w:space="0" w:color="auto"/>
      </w:divBdr>
      <w:divsChild>
        <w:div w:id="1918710004">
          <w:marLeft w:val="0"/>
          <w:marRight w:val="0"/>
          <w:marTop w:val="0"/>
          <w:marBottom w:val="0"/>
          <w:divBdr>
            <w:top w:val="none" w:sz="0" w:space="0" w:color="auto"/>
            <w:left w:val="none" w:sz="0" w:space="0" w:color="auto"/>
            <w:bottom w:val="none" w:sz="0" w:space="0" w:color="auto"/>
            <w:right w:val="none" w:sz="0" w:space="0" w:color="auto"/>
          </w:divBdr>
          <w:divsChild>
            <w:div w:id="1837502344">
              <w:marLeft w:val="0"/>
              <w:marRight w:val="0"/>
              <w:marTop w:val="0"/>
              <w:marBottom w:val="0"/>
              <w:divBdr>
                <w:top w:val="none" w:sz="0" w:space="0" w:color="auto"/>
                <w:left w:val="none" w:sz="0" w:space="0" w:color="auto"/>
                <w:bottom w:val="none" w:sz="0" w:space="0" w:color="auto"/>
                <w:right w:val="none" w:sz="0" w:space="0" w:color="auto"/>
              </w:divBdr>
              <w:divsChild>
                <w:div w:id="15125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462704">
      <w:bodyDiv w:val="1"/>
      <w:marLeft w:val="0"/>
      <w:marRight w:val="0"/>
      <w:marTop w:val="0"/>
      <w:marBottom w:val="0"/>
      <w:divBdr>
        <w:top w:val="none" w:sz="0" w:space="0" w:color="auto"/>
        <w:left w:val="none" w:sz="0" w:space="0" w:color="auto"/>
        <w:bottom w:val="none" w:sz="0" w:space="0" w:color="auto"/>
        <w:right w:val="none" w:sz="0" w:space="0" w:color="auto"/>
      </w:divBdr>
    </w:div>
    <w:div w:id="497959383">
      <w:bodyDiv w:val="1"/>
      <w:marLeft w:val="0"/>
      <w:marRight w:val="0"/>
      <w:marTop w:val="0"/>
      <w:marBottom w:val="0"/>
      <w:divBdr>
        <w:top w:val="none" w:sz="0" w:space="0" w:color="auto"/>
        <w:left w:val="none" w:sz="0" w:space="0" w:color="auto"/>
        <w:bottom w:val="none" w:sz="0" w:space="0" w:color="auto"/>
        <w:right w:val="none" w:sz="0" w:space="0" w:color="auto"/>
      </w:divBdr>
    </w:div>
    <w:div w:id="551698841">
      <w:bodyDiv w:val="1"/>
      <w:marLeft w:val="0"/>
      <w:marRight w:val="0"/>
      <w:marTop w:val="0"/>
      <w:marBottom w:val="0"/>
      <w:divBdr>
        <w:top w:val="none" w:sz="0" w:space="0" w:color="auto"/>
        <w:left w:val="none" w:sz="0" w:space="0" w:color="auto"/>
        <w:bottom w:val="none" w:sz="0" w:space="0" w:color="auto"/>
        <w:right w:val="none" w:sz="0" w:space="0" w:color="auto"/>
      </w:divBdr>
    </w:div>
    <w:div w:id="607930775">
      <w:bodyDiv w:val="1"/>
      <w:marLeft w:val="0"/>
      <w:marRight w:val="0"/>
      <w:marTop w:val="0"/>
      <w:marBottom w:val="0"/>
      <w:divBdr>
        <w:top w:val="none" w:sz="0" w:space="0" w:color="auto"/>
        <w:left w:val="none" w:sz="0" w:space="0" w:color="auto"/>
        <w:bottom w:val="none" w:sz="0" w:space="0" w:color="auto"/>
        <w:right w:val="none" w:sz="0" w:space="0" w:color="auto"/>
      </w:divBdr>
      <w:divsChild>
        <w:div w:id="963584383">
          <w:marLeft w:val="0"/>
          <w:marRight w:val="0"/>
          <w:marTop w:val="0"/>
          <w:marBottom w:val="0"/>
          <w:divBdr>
            <w:top w:val="none" w:sz="0" w:space="0" w:color="auto"/>
            <w:left w:val="none" w:sz="0" w:space="0" w:color="auto"/>
            <w:bottom w:val="none" w:sz="0" w:space="0" w:color="auto"/>
            <w:right w:val="none" w:sz="0" w:space="0" w:color="auto"/>
          </w:divBdr>
        </w:div>
      </w:divsChild>
    </w:div>
    <w:div w:id="609313297">
      <w:bodyDiv w:val="1"/>
      <w:marLeft w:val="0"/>
      <w:marRight w:val="0"/>
      <w:marTop w:val="0"/>
      <w:marBottom w:val="0"/>
      <w:divBdr>
        <w:top w:val="none" w:sz="0" w:space="0" w:color="auto"/>
        <w:left w:val="none" w:sz="0" w:space="0" w:color="auto"/>
        <w:bottom w:val="none" w:sz="0" w:space="0" w:color="auto"/>
        <w:right w:val="none" w:sz="0" w:space="0" w:color="auto"/>
      </w:divBdr>
    </w:div>
    <w:div w:id="612859709">
      <w:bodyDiv w:val="1"/>
      <w:marLeft w:val="0"/>
      <w:marRight w:val="0"/>
      <w:marTop w:val="0"/>
      <w:marBottom w:val="0"/>
      <w:divBdr>
        <w:top w:val="none" w:sz="0" w:space="0" w:color="auto"/>
        <w:left w:val="none" w:sz="0" w:space="0" w:color="auto"/>
        <w:bottom w:val="none" w:sz="0" w:space="0" w:color="auto"/>
        <w:right w:val="none" w:sz="0" w:space="0" w:color="auto"/>
      </w:divBdr>
      <w:divsChild>
        <w:div w:id="353700802">
          <w:marLeft w:val="0"/>
          <w:marRight w:val="0"/>
          <w:marTop w:val="0"/>
          <w:marBottom w:val="0"/>
          <w:divBdr>
            <w:top w:val="none" w:sz="0" w:space="0" w:color="auto"/>
            <w:left w:val="none" w:sz="0" w:space="0" w:color="auto"/>
            <w:bottom w:val="none" w:sz="0" w:space="0" w:color="auto"/>
            <w:right w:val="none" w:sz="0" w:space="0" w:color="auto"/>
          </w:divBdr>
          <w:divsChild>
            <w:div w:id="833374233">
              <w:marLeft w:val="0"/>
              <w:marRight w:val="0"/>
              <w:marTop w:val="0"/>
              <w:marBottom w:val="0"/>
              <w:divBdr>
                <w:top w:val="none" w:sz="0" w:space="0" w:color="auto"/>
                <w:left w:val="none" w:sz="0" w:space="0" w:color="auto"/>
                <w:bottom w:val="none" w:sz="0" w:space="0" w:color="auto"/>
                <w:right w:val="none" w:sz="0" w:space="0" w:color="auto"/>
              </w:divBdr>
              <w:divsChild>
                <w:div w:id="140649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48078">
      <w:bodyDiv w:val="1"/>
      <w:marLeft w:val="0"/>
      <w:marRight w:val="0"/>
      <w:marTop w:val="0"/>
      <w:marBottom w:val="0"/>
      <w:divBdr>
        <w:top w:val="none" w:sz="0" w:space="0" w:color="auto"/>
        <w:left w:val="none" w:sz="0" w:space="0" w:color="auto"/>
        <w:bottom w:val="none" w:sz="0" w:space="0" w:color="auto"/>
        <w:right w:val="none" w:sz="0" w:space="0" w:color="auto"/>
      </w:divBdr>
    </w:div>
    <w:div w:id="819887875">
      <w:bodyDiv w:val="1"/>
      <w:marLeft w:val="0"/>
      <w:marRight w:val="0"/>
      <w:marTop w:val="0"/>
      <w:marBottom w:val="0"/>
      <w:divBdr>
        <w:top w:val="none" w:sz="0" w:space="0" w:color="auto"/>
        <w:left w:val="none" w:sz="0" w:space="0" w:color="auto"/>
        <w:bottom w:val="none" w:sz="0" w:space="0" w:color="auto"/>
        <w:right w:val="none" w:sz="0" w:space="0" w:color="auto"/>
      </w:divBdr>
      <w:divsChild>
        <w:div w:id="1667244221">
          <w:marLeft w:val="0"/>
          <w:marRight w:val="0"/>
          <w:marTop w:val="0"/>
          <w:marBottom w:val="375"/>
          <w:divBdr>
            <w:top w:val="none" w:sz="0" w:space="0" w:color="auto"/>
            <w:left w:val="none" w:sz="0" w:space="0" w:color="auto"/>
            <w:bottom w:val="none" w:sz="0" w:space="0" w:color="auto"/>
            <w:right w:val="none" w:sz="0" w:space="0" w:color="auto"/>
          </w:divBdr>
          <w:divsChild>
            <w:div w:id="968510038">
              <w:marLeft w:val="0"/>
              <w:marRight w:val="0"/>
              <w:marTop w:val="0"/>
              <w:marBottom w:val="0"/>
              <w:divBdr>
                <w:top w:val="none" w:sz="0" w:space="0" w:color="auto"/>
                <w:left w:val="none" w:sz="0" w:space="0" w:color="auto"/>
                <w:bottom w:val="none" w:sz="0" w:space="0" w:color="auto"/>
                <w:right w:val="none" w:sz="0" w:space="0" w:color="auto"/>
              </w:divBdr>
              <w:divsChild>
                <w:div w:id="1362628584">
                  <w:marLeft w:val="0"/>
                  <w:marRight w:val="0"/>
                  <w:marTop w:val="0"/>
                  <w:marBottom w:val="0"/>
                  <w:divBdr>
                    <w:top w:val="none" w:sz="0" w:space="0" w:color="auto"/>
                    <w:left w:val="none" w:sz="0" w:space="0" w:color="auto"/>
                    <w:bottom w:val="none" w:sz="0" w:space="0" w:color="auto"/>
                    <w:right w:val="none" w:sz="0" w:space="0" w:color="auto"/>
                  </w:divBdr>
                  <w:divsChild>
                    <w:div w:id="886839674">
                      <w:marLeft w:val="0"/>
                      <w:marRight w:val="0"/>
                      <w:marTop w:val="0"/>
                      <w:marBottom w:val="0"/>
                      <w:divBdr>
                        <w:top w:val="none" w:sz="0" w:space="0" w:color="auto"/>
                        <w:left w:val="none" w:sz="0" w:space="0" w:color="auto"/>
                        <w:bottom w:val="none" w:sz="0" w:space="0" w:color="auto"/>
                        <w:right w:val="none" w:sz="0" w:space="0" w:color="auto"/>
                      </w:divBdr>
                      <w:divsChild>
                        <w:div w:id="871960768">
                          <w:marLeft w:val="0"/>
                          <w:marRight w:val="0"/>
                          <w:marTop w:val="0"/>
                          <w:marBottom w:val="375"/>
                          <w:divBdr>
                            <w:top w:val="none" w:sz="0" w:space="0" w:color="auto"/>
                            <w:left w:val="none" w:sz="0" w:space="0" w:color="auto"/>
                            <w:bottom w:val="none" w:sz="0" w:space="0" w:color="auto"/>
                            <w:right w:val="none" w:sz="0" w:space="0" w:color="auto"/>
                          </w:divBdr>
                          <w:divsChild>
                            <w:div w:id="388310313">
                              <w:marLeft w:val="0"/>
                              <w:marRight w:val="0"/>
                              <w:marTop w:val="0"/>
                              <w:marBottom w:val="0"/>
                              <w:divBdr>
                                <w:top w:val="none" w:sz="0" w:space="0" w:color="auto"/>
                                <w:left w:val="none" w:sz="0" w:space="0" w:color="auto"/>
                                <w:bottom w:val="none" w:sz="0" w:space="0" w:color="auto"/>
                                <w:right w:val="none" w:sz="0" w:space="0" w:color="auto"/>
                              </w:divBdr>
                              <w:divsChild>
                                <w:div w:id="192167390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47264353">
                      <w:marLeft w:val="0"/>
                      <w:marRight w:val="0"/>
                      <w:marTop w:val="0"/>
                      <w:marBottom w:val="0"/>
                      <w:divBdr>
                        <w:top w:val="none" w:sz="0" w:space="0" w:color="auto"/>
                        <w:left w:val="none" w:sz="0" w:space="0" w:color="auto"/>
                        <w:bottom w:val="none" w:sz="0" w:space="0" w:color="auto"/>
                        <w:right w:val="none" w:sz="0" w:space="0" w:color="auto"/>
                      </w:divBdr>
                      <w:divsChild>
                        <w:div w:id="1572933786">
                          <w:marLeft w:val="0"/>
                          <w:marRight w:val="0"/>
                          <w:marTop w:val="0"/>
                          <w:marBottom w:val="375"/>
                          <w:divBdr>
                            <w:top w:val="none" w:sz="0" w:space="0" w:color="auto"/>
                            <w:left w:val="none" w:sz="0" w:space="0" w:color="auto"/>
                            <w:bottom w:val="none" w:sz="0" w:space="0" w:color="auto"/>
                            <w:right w:val="none" w:sz="0" w:space="0" w:color="auto"/>
                          </w:divBdr>
                          <w:divsChild>
                            <w:div w:id="1855800370">
                              <w:marLeft w:val="0"/>
                              <w:marRight w:val="0"/>
                              <w:marTop w:val="0"/>
                              <w:marBottom w:val="0"/>
                              <w:divBdr>
                                <w:top w:val="none" w:sz="0" w:space="0" w:color="auto"/>
                                <w:left w:val="none" w:sz="0" w:space="0" w:color="auto"/>
                                <w:bottom w:val="none" w:sz="0" w:space="0" w:color="auto"/>
                                <w:right w:val="none" w:sz="0" w:space="0" w:color="auto"/>
                              </w:divBdr>
                              <w:divsChild>
                                <w:div w:id="2020310983">
                                  <w:blockQuote w:val="1"/>
                                  <w:marLeft w:val="0"/>
                                  <w:marRight w:val="0"/>
                                  <w:marTop w:val="0"/>
                                  <w:marBottom w:val="300"/>
                                  <w:divBdr>
                                    <w:top w:val="none" w:sz="0" w:space="0" w:color="auto"/>
                                    <w:left w:val="single" w:sz="36" w:space="15" w:color="EEEEEE"/>
                                    <w:bottom w:val="none" w:sz="0" w:space="0" w:color="auto"/>
                                    <w:right w:val="none" w:sz="0" w:space="0" w:color="auto"/>
                                  </w:divBdr>
                                </w:div>
                                <w:div w:id="81992336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sChild>
                </w:div>
              </w:divsChild>
            </w:div>
          </w:divsChild>
        </w:div>
        <w:div w:id="362830919">
          <w:marLeft w:val="0"/>
          <w:marRight w:val="0"/>
          <w:marTop w:val="0"/>
          <w:marBottom w:val="0"/>
          <w:divBdr>
            <w:top w:val="none" w:sz="0" w:space="0" w:color="auto"/>
            <w:left w:val="none" w:sz="0" w:space="0" w:color="auto"/>
            <w:bottom w:val="none" w:sz="0" w:space="0" w:color="auto"/>
            <w:right w:val="none" w:sz="0" w:space="0" w:color="auto"/>
          </w:divBdr>
        </w:div>
      </w:divsChild>
    </w:div>
    <w:div w:id="833030455">
      <w:bodyDiv w:val="1"/>
      <w:marLeft w:val="0"/>
      <w:marRight w:val="0"/>
      <w:marTop w:val="0"/>
      <w:marBottom w:val="0"/>
      <w:divBdr>
        <w:top w:val="none" w:sz="0" w:space="0" w:color="auto"/>
        <w:left w:val="none" w:sz="0" w:space="0" w:color="auto"/>
        <w:bottom w:val="none" w:sz="0" w:space="0" w:color="auto"/>
        <w:right w:val="none" w:sz="0" w:space="0" w:color="auto"/>
      </w:divBdr>
    </w:div>
    <w:div w:id="846139412">
      <w:bodyDiv w:val="1"/>
      <w:marLeft w:val="0"/>
      <w:marRight w:val="0"/>
      <w:marTop w:val="0"/>
      <w:marBottom w:val="0"/>
      <w:divBdr>
        <w:top w:val="none" w:sz="0" w:space="0" w:color="auto"/>
        <w:left w:val="none" w:sz="0" w:space="0" w:color="auto"/>
        <w:bottom w:val="none" w:sz="0" w:space="0" w:color="auto"/>
        <w:right w:val="none" w:sz="0" w:space="0" w:color="auto"/>
      </w:divBdr>
    </w:div>
    <w:div w:id="852720447">
      <w:bodyDiv w:val="1"/>
      <w:marLeft w:val="0"/>
      <w:marRight w:val="0"/>
      <w:marTop w:val="0"/>
      <w:marBottom w:val="0"/>
      <w:divBdr>
        <w:top w:val="none" w:sz="0" w:space="0" w:color="auto"/>
        <w:left w:val="none" w:sz="0" w:space="0" w:color="auto"/>
        <w:bottom w:val="none" w:sz="0" w:space="0" w:color="auto"/>
        <w:right w:val="none" w:sz="0" w:space="0" w:color="auto"/>
      </w:divBdr>
    </w:div>
    <w:div w:id="870000542">
      <w:bodyDiv w:val="1"/>
      <w:marLeft w:val="0"/>
      <w:marRight w:val="0"/>
      <w:marTop w:val="0"/>
      <w:marBottom w:val="0"/>
      <w:divBdr>
        <w:top w:val="none" w:sz="0" w:space="0" w:color="auto"/>
        <w:left w:val="none" w:sz="0" w:space="0" w:color="auto"/>
        <w:bottom w:val="none" w:sz="0" w:space="0" w:color="auto"/>
        <w:right w:val="none" w:sz="0" w:space="0" w:color="auto"/>
      </w:divBdr>
    </w:div>
    <w:div w:id="904412418">
      <w:bodyDiv w:val="1"/>
      <w:marLeft w:val="0"/>
      <w:marRight w:val="0"/>
      <w:marTop w:val="0"/>
      <w:marBottom w:val="0"/>
      <w:divBdr>
        <w:top w:val="none" w:sz="0" w:space="0" w:color="auto"/>
        <w:left w:val="none" w:sz="0" w:space="0" w:color="auto"/>
        <w:bottom w:val="none" w:sz="0" w:space="0" w:color="auto"/>
        <w:right w:val="none" w:sz="0" w:space="0" w:color="auto"/>
      </w:divBdr>
    </w:div>
    <w:div w:id="1036083763">
      <w:bodyDiv w:val="1"/>
      <w:marLeft w:val="0"/>
      <w:marRight w:val="0"/>
      <w:marTop w:val="0"/>
      <w:marBottom w:val="0"/>
      <w:divBdr>
        <w:top w:val="none" w:sz="0" w:space="0" w:color="auto"/>
        <w:left w:val="none" w:sz="0" w:space="0" w:color="auto"/>
        <w:bottom w:val="none" w:sz="0" w:space="0" w:color="auto"/>
        <w:right w:val="none" w:sz="0" w:space="0" w:color="auto"/>
      </w:divBdr>
    </w:div>
    <w:div w:id="1103843895">
      <w:bodyDiv w:val="1"/>
      <w:marLeft w:val="0"/>
      <w:marRight w:val="0"/>
      <w:marTop w:val="0"/>
      <w:marBottom w:val="0"/>
      <w:divBdr>
        <w:top w:val="none" w:sz="0" w:space="0" w:color="auto"/>
        <w:left w:val="none" w:sz="0" w:space="0" w:color="auto"/>
        <w:bottom w:val="none" w:sz="0" w:space="0" w:color="auto"/>
        <w:right w:val="none" w:sz="0" w:space="0" w:color="auto"/>
      </w:divBdr>
    </w:div>
    <w:div w:id="1222256121">
      <w:bodyDiv w:val="1"/>
      <w:marLeft w:val="0"/>
      <w:marRight w:val="0"/>
      <w:marTop w:val="0"/>
      <w:marBottom w:val="0"/>
      <w:divBdr>
        <w:top w:val="none" w:sz="0" w:space="0" w:color="auto"/>
        <w:left w:val="none" w:sz="0" w:space="0" w:color="auto"/>
        <w:bottom w:val="none" w:sz="0" w:space="0" w:color="auto"/>
        <w:right w:val="none" w:sz="0" w:space="0" w:color="auto"/>
      </w:divBdr>
    </w:div>
    <w:div w:id="1246187901">
      <w:bodyDiv w:val="1"/>
      <w:marLeft w:val="0"/>
      <w:marRight w:val="0"/>
      <w:marTop w:val="0"/>
      <w:marBottom w:val="0"/>
      <w:divBdr>
        <w:top w:val="none" w:sz="0" w:space="0" w:color="auto"/>
        <w:left w:val="none" w:sz="0" w:space="0" w:color="auto"/>
        <w:bottom w:val="none" w:sz="0" w:space="0" w:color="auto"/>
        <w:right w:val="none" w:sz="0" w:space="0" w:color="auto"/>
      </w:divBdr>
    </w:div>
    <w:div w:id="1273122709">
      <w:bodyDiv w:val="1"/>
      <w:marLeft w:val="0"/>
      <w:marRight w:val="0"/>
      <w:marTop w:val="0"/>
      <w:marBottom w:val="0"/>
      <w:divBdr>
        <w:top w:val="none" w:sz="0" w:space="0" w:color="auto"/>
        <w:left w:val="none" w:sz="0" w:space="0" w:color="auto"/>
        <w:bottom w:val="none" w:sz="0" w:space="0" w:color="auto"/>
        <w:right w:val="none" w:sz="0" w:space="0" w:color="auto"/>
      </w:divBdr>
    </w:div>
    <w:div w:id="1301887982">
      <w:bodyDiv w:val="1"/>
      <w:marLeft w:val="0"/>
      <w:marRight w:val="0"/>
      <w:marTop w:val="0"/>
      <w:marBottom w:val="0"/>
      <w:divBdr>
        <w:top w:val="none" w:sz="0" w:space="0" w:color="auto"/>
        <w:left w:val="none" w:sz="0" w:space="0" w:color="auto"/>
        <w:bottom w:val="none" w:sz="0" w:space="0" w:color="auto"/>
        <w:right w:val="none" w:sz="0" w:space="0" w:color="auto"/>
      </w:divBdr>
    </w:div>
    <w:div w:id="1337994740">
      <w:bodyDiv w:val="1"/>
      <w:marLeft w:val="0"/>
      <w:marRight w:val="0"/>
      <w:marTop w:val="0"/>
      <w:marBottom w:val="0"/>
      <w:divBdr>
        <w:top w:val="none" w:sz="0" w:space="0" w:color="auto"/>
        <w:left w:val="none" w:sz="0" w:space="0" w:color="auto"/>
        <w:bottom w:val="none" w:sz="0" w:space="0" w:color="auto"/>
        <w:right w:val="none" w:sz="0" w:space="0" w:color="auto"/>
      </w:divBdr>
    </w:div>
    <w:div w:id="1350372566">
      <w:bodyDiv w:val="1"/>
      <w:marLeft w:val="0"/>
      <w:marRight w:val="0"/>
      <w:marTop w:val="0"/>
      <w:marBottom w:val="0"/>
      <w:divBdr>
        <w:top w:val="none" w:sz="0" w:space="0" w:color="auto"/>
        <w:left w:val="none" w:sz="0" w:space="0" w:color="auto"/>
        <w:bottom w:val="none" w:sz="0" w:space="0" w:color="auto"/>
        <w:right w:val="none" w:sz="0" w:space="0" w:color="auto"/>
      </w:divBdr>
    </w:div>
    <w:div w:id="1382557652">
      <w:bodyDiv w:val="1"/>
      <w:marLeft w:val="0"/>
      <w:marRight w:val="0"/>
      <w:marTop w:val="0"/>
      <w:marBottom w:val="0"/>
      <w:divBdr>
        <w:top w:val="none" w:sz="0" w:space="0" w:color="auto"/>
        <w:left w:val="none" w:sz="0" w:space="0" w:color="auto"/>
        <w:bottom w:val="none" w:sz="0" w:space="0" w:color="auto"/>
        <w:right w:val="none" w:sz="0" w:space="0" w:color="auto"/>
      </w:divBdr>
    </w:div>
    <w:div w:id="1447192691">
      <w:bodyDiv w:val="1"/>
      <w:marLeft w:val="0"/>
      <w:marRight w:val="0"/>
      <w:marTop w:val="0"/>
      <w:marBottom w:val="0"/>
      <w:divBdr>
        <w:top w:val="none" w:sz="0" w:space="0" w:color="auto"/>
        <w:left w:val="none" w:sz="0" w:space="0" w:color="auto"/>
        <w:bottom w:val="none" w:sz="0" w:space="0" w:color="auto"/>
        <w:right w:val="none" w:sz="0" w:space="0" w:color="auto"/>
      </w:divBdr>
    </w:div>
    <w:div w:id="1595281531">
      <w:bodyDiv w:val="1"/>
      <w:marLeft w:val="0"/>
      <w:marRight w:val="0"/>
      <w:marTop w:val="0"/>
      <w:marBottom w:val="0"/>
      <w:divBdr>
        <w:top w:val="none" w:sz="0" w:space="0" w:color="auto"/>
        <w:left w:val="none" w:sz="0" w:space="0" w:color="auto"/>
        <w:bottom w:val="none" w:sz="0" w:space="0" w:color="auto"/>
        <w:right w:val="none" w:sz="0" w:space="0" w:color="auto"/>
      </w:divBdr>
    </w:div>
    <w:div w:id="1693648710">
      <w:bodyDiv w:val="1"/>
      <w:marLeft w:val="0"/>
      <w:marRight w:val="0"/>
      <w:marTop w:val="0"/>
      <w:marBottom w:val="0"/>
      <w:divBdr>
        <w:top w:val="none" w:sz="0" w:space="0" w:color="auto"/>
        <w:left w:val="none" w:sz="0" w:space="0" w:color="auto"/>
        <w:bottom w:val="none" w:sz="0" w:space="0" w:color="auto"/>
        <w:right w:val="none" w:sz="0" w:space="0" w:color="auto"/>
      </w:divBdr>
    </w:div>
    <w:div w:id="1785074760">
      <w:bodyDiv w:val="1"/>
      <w:marLeft w:val="0"/>
      <w:marRight w:val="0"/>
      <w:marTop w:val="0"/>
      <w:marBottom w:val="0"/>
      <w:divBdr>
        <w:top w:val="none" w:sz="0" w:space="0" w:color="auto"/>
        <w:left w:val="none" w:sz="0" w:space="0" w:color="auto"/>
        <w:bottom w:val="none" w:sz="0" w:space="0" w:color="auto"/>
        <w:right w:val="none" w:sz="0" w:space="0" w:color="auto"/>
      </w:divBdr>
    </w:div>
    <w:div w:id="1871333257">
      <w:bodyDiv w:val="1"/>
      <w:marLeft w:val="0"/>
      <w:marRight w:val="0"/>
      <w:marTop w:val="0"/>
      <w:marBottom w:val="0"/>
      <w:divBdr>
        <w:top w:val="none" w:sz="0" w:space="0" w:color="auto"/>
        <w:left w:val="none" w:sz="0" w:space="0" w:color="auto"/>
        <w:bottom w:val="none" w:sz="0" w:space="0" w:color="auto"/>
        <w:right w:val="none" w:sz="0" w:space="0" w:color="auto"/>
      </w:divBdr>
    </w:div>
    <w:div w:id="1899247715">
      <w:bodyDiv w:val="1"/>
      <w:marLeft w:val="0"/>
      <w:marRight w:val="0"/>
      <w:marTop w:val="0"/>
      <w:marBottom w:val="0"/>
      <w:divBdr>
        <w:top w:val="none" w:sz="0" w:space="0" w:color="auto"/>
        <w:left w:val="none" w:sz="0" w:space="0" w:color="auto"/>
        <w:bottom w:val="none" w:sz="0" w:space="0" w:color="auto"/>
        <w:right w:val="none" w:sz="0" w:space="0" w:color="auto"/>
      </w:divBdr>
    </w:div>
    <w:div w:id="1902599846">
      <w:bodyDiv w:val="1"/>
      <w:marLeft w:val="0"/>
      <w:marRight w:val="0"/>
      <w:marTop w:val="0"/>
      <w:marBottom w:val="0"/>
      <w:divBdr>
        <w:top w:val="none" w:sz="0" w:space="0" w:color="auto"/>
        <w:left w:val="none" w:sz="0" w:space="0" w:color="auto"/>
        <w:bottom w:val="none" w:sz="0" w:space="0" w:color="auto"/>
        <w:right w:val="none" w:sz="0" w:space="0" w:color="auto"/>
      </w:divBdr>
    </w:div>
    <w:div w:id="2065062872">
      <w:bodyDiv w:val="1"/>
      <w:marLeft w:val="0"/>
      <w:marRight w:val="0"/>
      <w:marTop w:val="0"/>
      <w:marBottom w:val="0"/>
      <w:divBdr>
        <w:top w:val="none" w:sz="0" w:space="0" w:color="auto"/>
        <w:left w:val="none" w:sz="0" w:space="0" w:color="auto"/>
        <w:bottom w:val="none" w:sz="0" w:space="0" w:color="auto"/>
        <w:right w:val="none" w:sz="0" w:space="0" w:color="auto"/>
      </w:divBdr>
    </w:div>
    <w:div w:id="2090224357">
      <w:bodyDiv w:val="1"/>
      <w:marLeft w:val="0"/>
      <w:marRight w:val="0"/>
      <w:marTop w:val="0"/>
      <w:marBottom w:val="0"/>
      <w:divBdr>
        <w:top w:val="none" w:sz="0" w:space="0" w:color="auto"/>
        <w:left w:val="none" w:sz="0" w:space="0" w:color="auto"/>
        <w:bottom w:val="none" w:sz="0" w:space="0" w:color="auto"/>
        <w:right w:val="none" w:sz="0" w:space="0" w:color="auto"/>
      </w:divBdr>
    </w:div>
    <w:div w:id="212129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www.google.com/url?sa=t&amp;rct=j&amp;q=&amp;esrc=s&amp;source=web&amp;cd=1&amp;ved=2ahUKEwjI-4eLjezhAhWQb30KHeHVAPAQFjAAegQIBRAC&amp;url=http%3A%2F%2Fjournals.sfu.ca%2Fjmde%2Findex.php%2Fjmde_1%2Farticle%2Fdownload%2F374%2F373%2F&amp;usg=AOvVaw1XA0s6SoZhzVp7jmk2UQz_"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minerva-access.unimelb.edu.au/handle/11343/225766" TargetMode="External"/><Relationship Id="rId2" Type="http://schemas.openxmlformats.org/officeDocument/2006/relationships/customXml" Target="../customXml/item2.xml"/><Relationship Id="rId16" Type="http://schemas.openxmlformats.org/officeDocument/2006/relationships/hyperlink" Target="https://journals.sagepub.com/doi/full/10.1177/1098214016641211" TargetMode="External"/><Relationship Id="rId20" Type="http://schemas.openxmlformats.org/officeDocument/2006/relationships/hyperlink" Target="http://kinnect.co.nz/to/wp-content/uploads/EvaluationBuildingBlocks_A-Guide_FINAL_V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julianking.co.nz/wp-content/uploads/2018/02/OPM-approach-to-assessing-value-for-money.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B906B797B4F84E9EFD7A6849A5044B"/>
        <w:category>
          <w:name w:val="General"/>
          <w:gallery w:val="placeholder"/>
        </w:category>
        <w:types>
          <w:type w:val="bbPlcHdr"/>
        </w:types>
        <w:behaviors>
          <w:behavior w:val="content"/>
        </w:behaviors>
        <w:guid w:val="{38EFFE3F-BF29-0F4D-B568-06DAE29784E2}"/>
      </w:docPartPr>
      <w:docPartBody>
        <w:p w:rsidR="00522FC2" w:rsidRDefault="00D56081">
          <w:pPr>
            <w:pStyle w:val="98B906B797B4F84E9EFD7A6849A5044B"/>
          </w:pPr>
          <w:r w:rsidRPr="009923AA">
            <w:rPr>
              <w:rStyle w:val="PlaceholderText"/>
            </w:rPr>
            <w:t>Click here to enter text.</w:t>
          </w:r>
        </w:p>
      </w:docPartBody>
    </w:docPart>
    <w:docPart>
      <w:docPartPr>
        <w:name w:val="10282E6835B5B04CB2139ED39184AC51"/>
        <w:category>
          <w:name w:val="General"/>
          <w:gallery w:val="placeholder"/>
        </w:category>
        <w:types>
          <w:type w:val="bbPlcHdr"/>
        </w:types>
        <w:behaviors>
          <w:behavior w:val="content"/>
        </w:behaviors>
        <w:guid w:val="{49FA2B84-A58B-B74A-AE7B-E1E7F2AA5677}"/>
      </w:docPartPr>
      <w:docPartBody>
        <w:p w:rsidR="00522FC2" w:rsidRDefault="00D56081">
          <w:pPr>
            <w:pStyle w:val="10282E6835B5B04CB2139ED39184AC51"/>
          </w:pPr>
          <w:r w:rsidRPr="009923A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081"/>
    <w:rsid w:val="00007EF1"/>
    <w:rsid w:val="00060B96"/>
    <w:rsid w:val="00091EA2"/>
    <w:rsid w:val="001A300B"/>
    <w:rsid w:val="001F0213"/>
    <w:rsid w:val="00235020"/>
    <w:rsid w:val="00297C2B"/>
    <w:rsid w:val="00306E7A"/>
    <w:rsid w:val="00330D4F"/>
    <w:rsid w:val="00340624"/>
    <w:rsid w:val="00391C62"/>
    <w:rsid w:val="003974CA"/>
    <w:rsid w:val="003C4417"/>
    <w:rsid w:val="004546E3"/>
    <w:rsid w:val="004A77AC"/>
    <w:rsid w:val="00522FC2"/>
    <w:rsid w:val="005E09DC"/>
    <w:rsid w:val="00645A21"/>
    <w:rsid w:val="00654ABE"/>
    <w:rsid w:val="00825612"/>
    <w:rsid w:val="00826DC1"/>
    <w:rsid w:val="00856E4E"/>
    <w:rsid w:val="00897F30"/>
    <w:rsid w:val="008D6FD2"/>
    <w:rsid w:val="009100A7"/>
    <w:rsid w:val="00920CA9"/>
    <w:rsid w:val="009D007E"/>
    <w:rsid w:val="00AB7E35"/>
    <w:rsid w:val="00AF6DDC"/>
    <w:rsid w:val="00B418DC"/>
    <w:rsid w:val="00BE0451"/>
    <w:rsid w:val="00BE1B5C"/>
    <w:rsid w:val="00BF2EA1"/>
    <w:rsid w:val="00C03A46"/>
    <w:rsid w:val="00C63E0E"/>
    <w:rsid w:val="00C92C5C"/>
    <w:rsid w:val="00CA44A2"/>
    <w:rsid w:val="00D20BA9"/>
    <w:rsid w:val="00D56081"/>
    <w:rsid w:val="00D74A99"/>
    <w:rsid w:val="00DA4ED7"/>
    <w:rsid w:val="00DF0F9A"/>
    <w:rsid w:val="00E450E1"/>
    <w:rsid w:val="00E72583"/>
    <w:rsid w:val="00E94653"/>
    <w:rsid w:val="00EA5303"/>
    <w:rsid w:val="00EE5E23"/>
    <w:rsid w:val="00F02A18"/>
    <w:rsid w:val="00F2492C"/>
    <w:rsid w:val="00F40913"/>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Z"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8B906B797B4F84E9EFD7A6849A5044B">
    <w:name w:val="98B906B797B4F84E9EFD7A6849A5044B"/>
  </w:style>
  <w:style w:type="paragraph" w:customStyle="1" w:styleId="10282E6835B5B04CB2139ED39184AC51">
    <w:name w:val="10282E6835B5B04CB2139ED39184AC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Pragmatica">
      <a:dk1>
        <a:sysClr val="windowText" lastClr="000000"/>
      </a:dk1>
      <a:lt1>
        <a:sysClr val="window" lastClr="FFFFFF"/>
      </a:lt1>
      <a:dk2>
        <a:srgbClr val="1A4FAB"/>
      </a:dk2>
      <a:lt2>
        <a:srgbClr val="E7E6E6"/>
      </a:lt2>
      <a:accent1>
        <a:srgbClr val="5B8EE6"/>
      </a:accent1>
      <a:accent2>
        <a:srgbClr val="0317A7"/>
      </a:accent2>
      <a:accent3>
        <a:srgbClr val="29A7DB"/>
      </a:accent3>
      <a:accent4>
        <a:srgbClr val="3AEDC3"/>
      </a:accent4>
      <a:accent5>
        <a:srgbClr val="BD55B6"/>
      </a:accent5>
      <a:accent6>
        <a:srgbClr val="1A4FAB"/>
      </a:accent6>
      <a:hlink>
        <a:srgbClr val="1A4FAB"/>
      </a:hlink>
      <a:folHlink>
        <a:srgbClr val="29A7DB"/>
      </a:folHlink>
    </a:clrScheme>
    <a:fontScheme name="Kinnect Group">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FBDCC24D28BC4496D639F50D8B81C7" ma:contentTypeVersion="10" ma:contentTypeDescription="Create a new document." ma:contentTypeScope="" ma:versionID="978a50ba9a0b0c321d077aea9375fa5b">
  <xsd:schema xmlns:xsd="http://www.w3.org/2001/XMLSchema" xmlns:xs="http://www.w3.org/2001/XMLSchema" xmlns:p="http://schemas.microsoft.com/office/2006/metadata/properties" xmlns:ns3="4d5b4068-27bf-45b7-b3e3-0b7e7a1170a2" targetNamespace="http://schemas.microsoft.com/office/2006/metadata/properties" ma:root="true" ma:fieldsID="b1442ea2091c1875dc00344a6d7b49de" ns3:_="">
    <xsd:import namespace="4d5b4068-27bf-45b7-b3e3-0b7e7a1170a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b4068-27bf-45b7-b3e3-0b7e7a1170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Thely</b:Tag>
    <b:SourceType>DocumentFromInternetSite</b:SourceType>
    <b:Guid>{831ECDDF-7B2A-4630-9CB5-E395A89E999E}</b:Guid>
    <b:Author>
      <b:Author>
        <b:Corporate>The Treasury</b:Corporate>
      </b:Author>
    </b:Author>
    <b:Title>An introduction to using the living standards framework</b:Title>
    <b:InternetSiteTitle>The Treasury</b:InternetSiteTitle>
    <b:Year>2015</b:Year>
    <b:Month>July</b:Month>
    <b:URL>http://www.treasury.govt.nz/abouttreasury/higherlivingstandards/his-usingtheframework-v2.pdf</b:URL>
    <b:YearAccessed>2017</b:YearAccessed>
    <b:MonthAccessed>July</b:MonthAccessed>
    <b:DayAccessed>30</b:DayAccessed>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EABF8C0-A433-4615-BA5D-72CADF0594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b4068-27bf-45b7-b3e3-0b7e7a1170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96B7C2-BEB9-4119-8D6B-E56140D6FE39}">
  <ds:schemaRefs>
    <ds:schemaRef ds:uri="http://schemas.openxmlformats.org/officeDocument/2006/bibliography"/>
  </ds:schemaRefs>
</ds:datastoreItem>
</file>

<file path=customXml/itemProps3.xml><?xml version="1.0" encoding="utf-8"?>
<ds:datastoreItem xmlns:ds="http://schemas.openxmlformats.org/officeDocument/2006/customXml" ds:itemID="{6A13231D-637E-43F0-88D6-44DBED404EB3}">
  <ds:schemaRefs>
    <ds:schemaRef ds:uri="http://schemas.microsoft.com/sharepoint/v3/contenttype/forms"/>
  </ds:schemaRefs>
</ds:datastoreItem>
</file>

<file path=customXml/itemProps4.xml><?xml version="1.0" encoding="utf-8"?>
<ds:datastoreItem xmlns:ds="http://schemas.openxmlformats.org/officeDocument/2006/customXml" ds:itemID="{C682DAB3-BC80-4688-8812-4656C8F8FD9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25</Pages>
  <Words>5330</Words>
  <Characters>30385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Julian King</cp:lastModifiedBy>
  <cp:revision>67</cp:revision>
  <cp:lastPrinted>2017-10-10T04:03:00Z</cp:lastPrinted>
  <dcterms:created xsi:type="dcterms:W3CDTF">2021-08-31T20:09:00Z</dcterms:created>
  <dcterms:modified xsi:type="dcterms:W3CDTF">2021-08-31T21:19:00Z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 Name">
    <vt:lpwstr>Enter details via File &gt; Properties &gt; Custom</vt:lpwstr>
  </property>
  <property fmtid="{D5CDD505-2E9C-101B-9397-08002B2CF9AE}" pid="3" name="Subreport Name">
    <vt:lpwstr>Enter details via File &gt; Properties &gt; Custom</vt:lpwstr>
  </property>
  <property fmtid="{D5CDD505-2E9C-101B-9397-08002B2CF9AE}" pid="4" name="Template Version">
    <vt:lpwstr>0.02</vt:lpwstr>
  </property>
  <property fmtid="{D5CDD505-2E9C-101B-9397-08002B2CF9AE}" pid="5" name="ContentTypeId">
    <vt:lpwstr>0x010100D7FBDCC24D28BC4496D639F50D8B81C7</vt:lpwstr>
  </property>
</Properties>
</file>