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7C3C0E" w14:textId="77777777" w:rsidR="00C97227" w:rsidRDefault="00C97227" w:rsidP="00C97227">
      <w:pPr>
        <w:tabs>
          <w:tab w:val="center" w:pos="4153"/>
          <w:tab w:val="right" w:pos="8306"/>
        </w:tabs>
        <w:rPr>
          <w:rFonts w:ascii="Arial" w:hAnsi="Arial" w:cs="Arial"/>
          <w:sz w:val="16"/>
          <w:szCs w:val="16"/>
          <w:lang w:val="en-US"/>
        </w:rPr>
      </w:pPr>
    </w:p>
    <w:p w14:paraId="5618CDD6" w14:textId="77777777" w:rsidR="00161982" w:rsidRPr="00161982" w:rsidRDefault="00161982" w:rsidP="00C97227">
      <w:pPr>
        <w:tabs>
          <w:tab w:val="center" w:pos="4153"/>
          <w:tab w:val="right" w:pos="8306"/>
        </w:tabs>
        <w:rPr>
          <w:rFonts w:ascii="Arial" w:hAnsi="Arial" w:cs="Arial"/>
          <w:sz w:val="32"/>
          <w:szCs w:val="32"/>
          <w:lang w:val="en-US"/>
        </w:rPr>
      </w:pPr>
      <w:r w:rsidRPr="00161982">
        <w:rPr>
          <w:rFonts w:ascii="Arial" w:hAnsi="Arial" w:cs="Arial"/>
          <w:sz w:val="32"/>
          <w:szCs w:val="32"/>
          <w:lang w:val="en-US"/>
        </w:rPr>
        <w:t>Department of Technical Cooperation</w:t>
      </w:r>
    </w:p>
    <w:p w14:paraId="109D6209" w14:textId="77777777" w:rsidR="00161982" w:rsidRPr="00161982" w:rsidRDefault="00161982" w:rsidP="00C97227">
      <w:pPr>
        <w:tabs>
          <w:tab w:val="center" w:pos="4153"/>
          <w:tab w:val="right" w:pos="8306"/>
        </w:tabs>
        <w:rPr>
          <w:rFonts w:ascii="Arial" w:hAnsi="Arial" w:cs="Arial"/>
          <w:sz w:val="32"/>
          <w:szCs w:val="32"/>
          <w:lang w:val="en-US"/>
        </w:rPr>
      </w:pPr>
      <w:r w:rsidRPr="00161982">
        <w:rPr>
          <w:rFonts w:ascii="Arial" w:hAnsi="Arial" w:cs="Arial"/>
          <w:sz w:val="28"/>
          <w:szCs w:val="28"/>
          <w:lang w:val="en-US"/>
        </w:rPr>
        <w:t xml:space="preserve">End-of-Mission Report </w:t>
      </w:r>
    </w:p>
    <w:p w14:paraId="00C6BE34" w14:textId="77777777" w:rsidR="00161982" w:rsidRDefault="00161982" w:rsidP="00C97227">
      <w:pPr>
        <w:tabs>
          <w:tab w:val="center" w:pos="4153"/>
          <w:tab w:val="right" w:pos="8306"/>
        </w:tabs>
        <w:rPr>
          <w:rFonts w:ascii="Arial" w:hAnsi="Arial" w:cs="Arial"/>
          <w:sz w:val="16"/>
          <w:szCs w:val="16"/>
          <w:lang w:val="en-US"/>
        </w:rPr>
      </w:pPr>
    </w:p>
    <w:p w14:paraId="637B7694" w14:textId="77777777" w:rsidR="00C97227" w:rsidRPr="00161982" w:rsidRDefault="00C97227" w:rsidP="00C97227">
      <w:pPr>
        <w:rPr>
          <w:rFonts w:ascii="Arial" w:hAnsi="Arial" w:cs="Arial"/>
          <w:lang w:val="en-US"/>
        </w:rPr>
      </w:pPr>
    </w:p>
    <w:tbl>
      <w:tblPr>
        <w:tblW w:w="0" w:type="auto"/>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160"/>
        <w:gridCol w:w="7083"/>
      </w:tblGrid>
      <w:tr w:rsidR="00C97227" w14:paraId="6B586856" w14:textId="77777777">
        <w:trPr>
          <w:jc w:val="center"/>
        </w:trPr>
        <w:tc>
          <w:tcPr>
            <w:tcW w:w="2160" w:type="dxa"/>
            <w:tcBorders>
              <w:top w:val="single" w:sz="4" w:space="0" w:color="auto"/>
              <w:bottom w:val="single" w:sz="4" w:space="0" w:color="auto"/>
              <w:right w:val="single" w:sz="4" w:space="0" w:color="auto"/>
            </w:tcBorders>
          </w:tcPr>
          <w:p w14:paraId="1280F39F" w14:textId="77777777" w:rsidR="00C97227" w:rsidRDefault="00C97227">
            <w:pPr>
              <w:spacing w:before="60" w:after="60"/>
              <w:rPr>
                <w:rFonts w:ascii="Arial" w:hAnsi="Arial" w:cs="Arial"/>
                <w:b/>
                <w:bCs/>
                <w:sz w:val="22"/>
                <w:szCs w:val="22"/>
              </w:rPr>
            </w:pPr>
            <w:r>
              <w:rPr>
                <w:rFonts w:ascii="Arial" w:hAnsi="Arial" w:cs="Arial"/>
                <w:b/>
                <w:bCs/>
                <w:sz w:val="22"/>
                <w:szCs w:val="22"/>
              </w:rPr>
              <w:t>Report Title:</w:t>
            </w:r>
          </w:p>
        </w:tc>
        <w:tc>
          <w:tcPr>
            <w:tcW w:w="7083" w:type="dxa"/>
            <w:tcBorders>
              <w:top w:val="single" w:sz="4" w:space="0" w:color="auto"/>
              <w:left w:val="single" w:sz="4" w:space="0" w:color="auto"/>
              <w:bottom w:val="single" w:sz="4" w:space="0" w:color="auto"/>
            </w:tcBorders>
          </w:tcPr>
          <w:p w14:paraId="780ED042" w14:textId="6F6C5EE4" w:rsidR="00C97227" w:rsidRPr="009A7A36" w:rsidRDefault="009A7A36">
            <w:pPr>
              <w:rPr>
                <w:rFonts w:ascii="Arial" w:hAnsi="Arial" w:cs="Arial"/>
                <w:b/>
                <w:bCs/>
                <w:sz w:val="22"/>
                <w:szCs w:val="22"/>
                <w:lang w:val="en-150"/>
              </w:rPr>
            </w:pPr>
            <w:r>
              <w:rPr>
                <w:rFonts w:ascii="Arial" w:hAnsi="Arial" w:cs="Arial"/>
                <w:b/>
                <w:bCs/>
                <w:sz w:val="22"/>
                <w:szCs w:val="22"/>
                <w:lang w:val="en-150"/>
              </w:rPr>
              <w:t>TCP Counterpart Survey</w:t>
            </w:r>
          </w:p>
        </w:tc>
      </w:tr>
      <w:tr w:rsidR="00C97227" w14:paraId="58C53A39" w14:textId="77777777">
        <w:trPr>
          <w:jc w:val="center"/>
        </w:trPr>
        <w:tc>
          <w:tcPr>
            <w:tcW w:w="2160" w:type="dxa"/>
            <w:tcBorders>
              <w:top w:val="single" w:sz="4" w:space="0" w:color="auto"/>
              <w:bottom w:val="single" w:sz="4" w:space="0" w:color="auto"/>
              <w:right w:val="single" w:sz="4" w:space="0" w:color="auto"/>
            </w:tcBorders>
          </w:tcPr>
          <w:p w14:paraId="39A7AEE4" w14:textId="77777777" w:rsidR="00C97227" w:rsidRPr="009A7A36" w:rsidRDefault="00C97227">
            <w:pPr>
              <w:spacing w:before="60" w:after="60"/>
              <w:rPr>
                <w:rFonts w:ascii="Arial" w:hAnsi="Arial" w:cs="Arial"/>
                <w:b/>
                <w:bCs/>
                <w:sz w:val="22"/>
                <w:szCs w:val="22"/>
                <w:highlight w:val="yellow"/>
              </w:rPr>
            </w:pPr>
            <w:r w:rsidRPr="009A7A36">
              <w:rPr>
                <w:rFonts w:ascii="Arial" w:hAnsi="Arial" w:cs="Arial"/>
                <w:b/>
                <w:bCs/>
                <w:sz w:val="22"/>
                <w:szCs w:val="22"/>
                <w:highlight w:val="yellow"/>
              </w:rPr>
              <w:t>Project Number:</w:t>
            </w:r>
          </w:p>
        </w:tc>
        <w:tc>
          <w:tcPr>
            <w:tcW w:w="7083" w:type="dxa"/>
            <w:tcBorders>
              <w:top w:val="single" w:sz="4" w:space="0" w:color="auto"/>
              <w:left w:val="single" w:sz="4" w:space="0" w:color="auto"/>
              <w:bottom w:val="single" w:sz="4" w:space="0" w:color="auto"/>
            </w:tcBorders>
          </w:tcPr>
          <w:p w14:paraId="70ED4036" w14:textId="270F6EC7" w:rsidR="00C97227" w:rsidRDefault="009A7A36">
            <w:pPr>
              <w:rPr>
                <w:rFonts w:ascii="Arial" w:hAnsi="Arial" w:cs="Arial"/>
                <w:b/>
                <w:bCs/>
                <w:sz w:val="22"/>
                <w:szCs w:val="22"/>
              </w:rPr>
            </w:pPr>
            <w:r w:rsidRPr="009A7A36">
              <w:rPr>
                <w:rFonts w:ascii="Arial" w:hAnsi="Arial" w:cs="Arial"/>
                <w:b/>
                <w:bCs/>
                <w:sz w:val="22"/>
                <w:szCs w:val="22"/>
              </w:rPr>
              <w:t>TAL-TCPC20230627-001</w:t>
            </w:r>
          </w:p>
        </w:tc>
      </w:tr>
      <w:tr w:rsidR="009A7A36" w14:paraId="61FA429B" w14:textId="77777777">
        <w:trPr>
          <w:jc w:val="center"/>
        </w:trPr>
        <w:tc>
          <w:tcPr>
            <w:tcW w:w="2160" w:type="dxa"/>
            <w:tcBorders>
              <w:top w:val="single" w:sz="4" w:space="0" w:color="auto"/>
              <w:bottom w:val="single" w:sz="4" w:space="0" w:color="auto"/>
              <w:right w:val="single" w:sz="4" w:space="0" w:color="auto"/>
            </w:tcBorders>
          </w:tcPr>
          <w:p w14:paraId="2157780C" w14:textId="77777777" w:rsidR="009A7A36" w:rsidRPr="009A7A36" w:rsidRDefault="009A7A36" w:rsidP="009A7A36">
            <w:pPr>
              <w:spacing w:before="60" w:after="60"/>
              <w:rPr>
                <w:rFonts w:ascii="Arial" w:hAnsi="Arial" w:cs="Arial"/>
                <w:b/>
                <w:bCs/>
                <w:sz w:val="22"/>
                <w:szCs w:val="22"/>
                <w:highlight w:val="yellow"/>
              </w:rPr>
            </w:pPr>
            <w:r w:rsidRPr="009A7A36">
              <w:rPr>
                <w:rFonts w:ascii="Arial" w:hAnsi="Arial" w:cs="Arial"/>
                <w:b/>
                <w:bCs/>
                <w:sz w:val="22"/>
                <w:szCs w:val="22"/>
                <w:highlight w:val="yellow"/>
              </w:rPr>
              <w:t>Project Title:</w:t>
            </w:r>
          </w:p>
        </w:tc>
        <w:tc>
          <w:tcPr>
            <w:tcW w:w="7083" w:type="dxa"/>
            <w:tcBorders>
              <w:top w:val="single" w:sz="4" w:space="0" w:color="auto"/>
              <w:left w:val="single" w:sz="4" w:space="0" w:color="auto"/>
              <w:bottom w:val="single" w:sz="4" w:space="0" w:color="auto"/>
            </w:tcBorders>
          </w:tcPr>
          <w:p w14:paraId="33A527F2" w14:textId="71A4ACFA" w:rsidR="009A7A36" w:rsidRPr="009A7A36" w:rsidRDefault="009A7A36" w:rsidP="009A7A36">
            <w:pPr>
              <w:rPr>
                <w:rFonts w:ascii="Arial" w:hAnsi="Arial" w:cs="Arial"/>
                <w:b/>
                <w:bCs/>
                <w:sz w:val="22"/>
                <w:szCs w:val="22"/>
              </w:rPr>
            </w:pPr>
            <w:r w:rsidRPr="009A7A36">
              <w:rPr>
                <w:rFonts w:ascii="Arial" w:hAnsi="Arial" w:cs="Arial"/>
                <w:b/>
                <w:bCs/>
                <w:sz w:val="22"/>
                <w:szCs w:val="22"/>
              </w:rPr>
              <w:t>Surveys Development, Management, and A</w:t>
            </w:r>
            <w:r>
              <w:rPr>
                <w:rFonts w:ascii="Arial" w:hAnsi="Arial" w:cs="Arial"/>
                <w:b/>
                <w:bCs/>
                <w:sz w:val="22"/>
                <w:szCs w:val="22"/>
              </w:rPr>
              <w:t>nalysis of Data</w:t>
            </w:r>
          </w:p>
        </w:tc>
      </w:tr>
      <w:tr w:rsidR="009A7A36" w14:paraId="3D88BEBE" w14:textId="77777777">
        <w:trPr>
          <w:jc w:val="center"/>
        </w:trPr>
        <w:tc>
          <w:tcPr>
            <w:tcW w:w="2160" w:type="dxa"/>
            <w:tcBorders>
              <w:top w:val="single" w:sz="4" w:space="0" w:color="auto"/>
              <w:bottom w:val="single" w:sz="4" w:space="0" w:color="auto"/>
              <w:right w:val="single" w:sz="4" w:space="0" w:color="auto"/>
            </w:tcBorders>
          </w:tcPr>
          <w:p w14:paraId="58DA3063" w14:textId="77777777" w:rsidR="009A7A36" w:rsidRDefault="009A7A36" w:rsidP="009A7A36">
            <w:pPr>
              <w:spacing w:before="60" w:after="60"/>
              <w:rPr>
                <w:rFonts w:ascii="Arial" w:hAnsi="Arial" w:cs="Arial"/>
                <w:b/>
                <w:bCs/>
                <w:sz w:val="22"/>
                <w:szCs w:val="22"/>
              </w:rPr>
            </w:pPr>
            <w:r>
              <w:rPr>
                <w:rFonts w:ascii="Arial" w:hAnsi="Arial" w:cs="Arial"/>
                <w:b/>
                <w:bCs/>
                <w:sz w:val="22"/>
                <w:szCs w:val="22"/>
              </w:rPr>
              <w:t>Name of Expert:</w:t>
            </w:r>
          </w:p>
        </w:tc>
        <w:tc>
          <w:tcPr>
            <w:tcW w:w="7083" w:type="dxa"/>
            <w:tcBorders>
              <w:top w:val="single" w:sz="4" w:space="0" w:color="auto"/>
              <w:left w:val="single" w:sz="4" w:space="0" w:color="auto"/>
              <w:bottom w:val="single" w:sz="4" w:space="0" w:color="auto"/>
            </w:tcBorders>
          </w:tcPr>
          <w:p w14:paraId="457F3E60" w14:textId="435215A0" w:rsidR="009A7A36" w:rsidRPr="009A7A36" w:rsidRDefault="009A7A36" w:rsidP="009A7A36">
            <w:pPr>
              <w:rPr>
                <w:rFonts w:ascii="Arial" w:hAnsi="Arial" w:cs="Arial"/>
                <w:b/>
                <w:bCs/>
                <w:sz w:val="22"/>
                <w:szCs w:val="22"/>
                <w:lang w:val="es-ES"/>
              </w:rPr>
            </w:pPr>
            <w:r>
              <w:rPr>
                <w:rFonts w:ascii="Arial" w:hAnsi="Arial" w:cs="Arial"/>
                <w:b/>
                <w:bCs/>
                <w:sz w:val="22"/>
                <w:szCs w:val="22"/>
                <w:lang w:val="en-150"/>
              </w:rPr>
              <w:t>Jaime Andr</w:t>
            </w:r>
            <w:proofErr w:type="spellStart"/>
            <w:r>
              <w:rPr>
                <w:rFonts w:ascii="Arial" w:hAnsi="Arial" w:cs="Arial"/>
                <w:b/>
                <w:bCs/>
                <w:sz w:val="22"/>
                <w:szCs w:val="22"/>
                <w:lang w:val="es-ES"/>
              </w:rPr>
              <w:t>és</w:t>
            </w:r>
            <w:proofErr w:type="spellEnd"/>
            <w:r>
              <w:rPr>
                <w:rFonts w:ascii="Arial" w:hAnsi="Arial" w:cs="Arial"/>
                <w:b/>
                <w:bCs/>
                <w:sz w:val="22"/>
                <w:szCs w:val="22"/>
                <w:lang w:val="es-ES"/>
              </w:rPr>
              <w:t xml:space="preserve"> Arau Pontones </w:t>
            </w:r>
          </w:p>
        </w:tc>
      </w:tr>
      <w:tr w:rsidR="009A7A36" w14:paraId="4400666E" w14:textId="77777777">
        <w:trPr>
          <w:jc w:val="center"/>
        </w:trPr>
        <w:tc>
          <w:tcPr>
            <w:tcW w:w="2160" w:type="dxa"/>
            <w:tcBorders>
              <w:top w:val="single" w:sz="4" w:space="0" w:color="auto"/>
              <w:bottom w:val="single" w:sz="4" w:space="0" w:color="auto"/>
              <w:right w:val="single" w:sz="4" w:space="0" w:color="auto"/>
            </w:tcBorders>
          </w:tcPr>
          <w:p w14:paraId="420A5F02" w14:textId="77777777" w:rsidR="009A7A36" w:rsidRDefault="009A7A36" w:rsidP="009A7A36">
            <w:pPr>
              <w:spacing w:before="60" w:after="60"/>
              <w:rPr>
                <w:rFonts w:ascii="Arial" w:hAnsi="Arial" w:cs="Arial"/>
                <w:b/>
                <w:bCs/>
                <w:sz w:val="22"/>
                <w:szCs w:val="22"/>
              </w:rPr>
            </w:pPr>
            <w:r>
              <w:rPr>
                <w:rFonts w:ascii="Arial" w:hAnsi="Arial" w:cs="Arial"/>
                <w:b/>
                <w:bCs/>
                <w:sz w:val="22"/>
                <w:szCs w:val="22"/>
              </w:rPr>
              <w:t>Dates of Mission:</w:t>
            </w:r>
          </w:p>
        </w:tc>
        <w:tc>
          <w:tcPr>
            <w:tcW w:w="7083" w:type="dxa"/>
            <w:tcBorders>
              <w:top w:val="single" w:sz="4" w:space="0" w:color="auto"/>
              <w:left w:val="single" w:sz="4" w:space="0" w:color="auto"/>
              <w:bottom w:val="single" w:sz="4" w:space="0" w:color="auto"/>
            </w:tcBorders>
          </w:tcPr>
          <w:p w14:paraId="22EB9D5B" w14:textId="2E691591" w:rsidR="009A7A36" w:rsidRPr="00C705C3" w:rsidRDefault="009A7A36" w:rsidP="009A7A36">
            <w:pPr>
              <w:rPr>
                <w:rFonts w:ascii="Arial" w:hAnsi="Arial" w:cs="Arial"/>
                <w:b/>
                <w:bCs/>
                <w:sz w:val="22"/>
                <w:szCs w:val="22"/>
                <w:lang w:val="en-150"/>
              </w:rPr>
            </w:pPr>
            <w:r>
              <w:rPr>
                <w:rFonts w:ascii="Arial" w:hAnsi="Arial" w:cs="Arial"/>
                <w:b/>
                <w:bCs/>
                <w:sz w:val="22"/>
                <w:szCs w:val="22"/>
                <w:lang w:val="en-150"/>
              </w:rPr>
              <w:t>28 June – 16 October 2023</w:t>
            </w:r>
          </w:p>
        </w:tc>
      </w:tr>
      <w:tr w:rsidR="009A7A36" w14:paraId="3A7FD27E" w14:textId="77777777">
        <w:trPr>
          <w:jc w:val="center"/>
        </w:trPr>
        <w:tc>
          <w:tcPr>
            <w:tcW w:w="2160" w:type="dxa"/>
            <w:tcBorders>
              <w:top w:val="single" w:sz="4" w:space="0" w:color="auto"/>
              <w:bottom w:val="single" w:sz="4" w:space="0" w:color="auto"/>
              <w:right w:val="single" w:sz="4" w:space="0" w:color="auto"/>
            </w:tcBorders>
          </w:tcPr>
          <w:p w14:paraId="5E66508B" w14:textId="77777777" w:rsidR="009A7A36" w:rsidRDefault="009A7A36" w:rsidP="009A7A36">
            <w:pPr>
              <w:spacing w:before="60" w:after="60"/>
              <w:rPr>
                <w:rFonts w:ascii="Arial" w:hAnsi="Arial" w:cs="Arial"/>
                <w:b/>
                <w:bCs/>
                <w:sz w:val="22"/>
                <w:szCs w:val="22"/>
              </w:rPr>
            </w:pPr>
            <w:r>
              <w:rPr>
                <w:rFonts w:ascii="Arial" w:hAnsi="Arial" w:cs="Arial"/>
                <w:b/>
                <w:bCs/>
                <w:sz w:val="22"/>
                <w:szCs w:val="22"/>
              </w:rPr>
              <w:t>Counterpart:</w:t>
            </w:r>
          </w:p>
          <w:p w14:paraId="162CC262" w14:textId="77777777" w:rsidR="009A7A36" w:rsidRDefault="009A7A36" w:rsidP="009A7A36">
            <w:pPr>
              <w:spacing w:before="60" w:after="60"/>
              <w:rPr>
                <w:rFonts w:ascii="Arial" w:hAnsi="Arial" w:cs="Arial"/>
                <w:i/>
                <w:iCs/>
                <w:sz w:val="22"/>
                <w:szCs w:val="22"/>
              </w:rPr>
            </w:pPr>
            <w:r>
              <w:rPr>
                <w:rFonts w:ascii="Arial" w:hAnsi="Arial" w:cs="Arial"/>
                <w:i/>
                <w:iCs/>
                <w:sz w:val="20"/>
                <w:szCs w:val="20"/>
              </w:rPr>
              <w:t>Please provide full contact details for the Institute and main counterpart</w:t>
            </w:r>
          </w:p>
        </w:tc>
        <w:tc>
          <w:tcPr>
            <w:tcW w:w="7083" w:type="dxa"/>
            <w:tcBorders>
              <w:top w:val="single" w:sz="4" w:space="0" w:color="auto"/>
              <w:left w:val="single" w:sz="4" w:space="0" w:color="auto"/>
              <w:bottom w:val="single" w:sz="4" w:space="0" w:color="auto"/>
            </w:tcBorders>
          </w:tcPr>
          <w:p w14:paraId="4E29F3EE" w14:textId="77777777" w:rsidR="009A7A36" w:rsidRDefault="009A7A36" w:rsidP="009A7A36">
            <w:pPr>
              <w:rPr>
                <w:rFonts w:ascii="Arial" w:hAnsi="Arial" w:cs="Arial"/>
                <w:b/>
                <w:bCs/>
                <w:sz w:val="22"/>
                <w:szCs w:val="22"/>
              </w:rPr>
            </w:pPr>
          </w:p>
        </w:tc>
      </w:tr>
    </w:tbl>
    <w:p w14:paraId="54BB0E3A" w14:textId="77777777" w:rsidR="00C97227" w:rsidRDefault="00C97227" w:rsidP="00C97227">
      <w:pPr>
        <w:rPr>
          <w:rFonts w:ascii="Arial" w:hAnsi="Arial" w:cs="Arial"/>
          <w:b/>
          <w:bCs/>
        </w:rPr>
      </w:pPr>
    </w:p>
    <w:p w14:paraId="271DBAD6" w14:textId="77777777" w:rsidR="00C97227" w:rsidRDefault="00C97227" w:rsidP="00C97227">
      <w:pPr>
        <w:rPr>
          <w:rFonts w:ascii="Arial" w:hAnsi="Arial" w:cs="Arial"/>
          <w:b/>
          <w:bCs/>
        </w:rPr>
      </w:pPr>
    </w:p>
    <w:p w14:paraId="3A956F92" w14:textId="77777777" w:rsidR="00C97227" w:rsidRDefault="00C97227" w:rsidP="00C97227">
      <w:pPr>
        <w:tabs>
          <w:tab w:val="left" w:pos="567"/>
        </w:tabs>
        <w:spacing w:after="120" w:line="240" w:lineRule="atLeast"/>
        <w:jc w:val="both"/>
        <w:rPr>
          <w:rFonts w:ascii="Arial" w:hAnsi="Arial" w:cs="Arial"/>
          <w:b/>
          <w:bCs/>
          <w:sz w:val="22"/>
          <w:szCs w:val="22"/>
          <w:lang w:val="en-US"/>
        </w:rPr>
      </w:pPr>
      <w:r>
        <w:rPr>
          <w:rFonts w:ascii="Arial" w:hAnsi="Arial" w:cs="Arial"/>
          <w:b/>
          <w:bCs/>
          <w:sz w:val="22"/>
          <w:szCs w:val="22"/>
          <w:lang w:val="en-US"/>
        </w:rPr>
        <w:t>Terms of reference:</w:t>
      </w:r>
    </w:p>
    <w:p w14:paraId="40A6CE4F" w14:textId="77777777" w:rsidR="00C97227" w:rsidRDefault="00C97227" w:rsidP="00C97227">
      <w:pPr>
        <w:rPr>
          <w:rFonts w:ascii="Arial" w:hAnsi="Arial" w:cs="Arial"/>
          <w:b/>
          <w:bCs/>
          <w:sz w:val="22"/>
          <w:szCs w:val="22"/>
        </w:rPr>
      </w:pPr>
    </w:p>
    <w:p w14:paraId="120B49C7" w14:textId="77777777" w:rsidR="00C705C3" w:rsidRPr="00C705C3" w:rsidRDefault="00C705C3" w:rsidP="00C705C3">
      <w:pPr>
        <w:rPr>
          <w:sz w:val="22"/>
          <w:szCs w:val="22"/>
          <w:shd w:val="clear" w:color="auto" w:fill="FFFFFF"/>
        </w:rPr>
      </w:pPr>
      <w:r w:rsidRPr="00C705C3">
        <w:rPr>
          <w:sz w:val="22"/>
          <w:szCs w:val="22"/>
          <w:shd w:val="clear" w:color="auto" w:fill="FFFFFF"/>
        </w:rPr>
        <w:t xml:space="preserve">The purpose of the event is to develop, review, distribute the surveys, </w:t>
      </w:r>
      <w:proofErr w:type="gramStart"/>
      <w:r w:rsidRPr="00C705C3">
        <w:rPr>
          <w:sz w:val="22"/>
          <w:szCs w:val="22"/>
          <w:shd w:val="clear" w:color="auto" w:fill="FFFFFF"/>
        </w:rPr>
        <w:t>analysis</w:t>
      </w:r>
      <w:proofErr w:type="gramEnd"/>
      <w:r w:rsidRPr="00C705C3">
        <w:rPr>
          <w:sz w:val="22"/>
          <w:szCs w:val="22"/>
          <w:shd w:val="clear" w:color="auto" w:fill="FFFFFF"/>
        </w:rPr>
        <w:t xml:space="preserve"> and visualisation of the results, in coordination with the responsible officer.</w:t>
      </w:r>
    </w:p>
    <w:p w14:paraId="561A1170" w14:textId="77777777" w:rsidR="00C705C3" w:rsidRPr="00C705C3" w:rsidRDefault="00C705C3" w:rsidP="00C705C3">
      <w:pPr>
        <w:rPr>
          <w:sz w:val="22"/>
          <w:szCs w:val="22"/>
          <w:shd w:val="clear" w:color="auto" w:fill="FFFFFF"/>
        </w:rPr>
      </w:pPr>
    </w:p>
    <w:p w14:paraId="62B042D1" w14:textId="0DDBA52F" w:rsidR="00C705C3" w:rsidRPr="00C705C3" w:rsidRDefault="00C705C3" w:rsidP="00C705C3">
      <w:pPr>
        <w:rPr>
          <w:sz w:val="22"/>
          <w:szCs w:val="22"/>
          <w:shd w:val="clear" w:color="auto" w:fill="FFFFFF"/>
        </w:rPr>
      </w:pPr>
      <w:r w:rsidRPr="00C705C3">
        <w:rPr>
          <w:sz w:val="22"/>
          <w:szCs w:val="22"/>
          <w:shd w:val="clear" w:color="auto" w:fill="FFFFFF"/>
        </w:rPr>
        <w:t xml:space="preserve"> </w:t>
      </w:r>
    </w:p>
    <w:p w14:paraId="1F003B7F" w14:textId="77777777" w:rsidR="00C705C3" w:rsidRDefault="00C705C3" w:rsidP="00C705C3">
      <w:pPr>
        <w:rPr>
          <w:b/>
          <w:bCs/>
          <w:sz w:val="22"/>
          <w:szCs w:val="22"/>
          <w:shd w:val="clear" w:color="auto" w:fill="FFFFFF"/>
        </w:rPr>
      </w:pPr>
      <w:r w:rsidRPr="00C705C3">
        <w:rPr>
          <w:b/>
          <w:bCs/>
          <w:sz w:val="22"/>
          <w:szCs w:val="22"/>
          <w:shd w:val="clear" w:color="auto" w:fill="FFFFFF"/>
        </w:rPr>
        <w:t xml:space="preserve"> - Function/Key results expected (Statement of Work):</w:t>
      </w:r>
    </w:p>
    <w:p w14:paraId="03603610" w14:textId="77777777" w:rsidR="00C705C3" w:rsidRPr="00C705C3" w:rsidRDefault="00C705C3" w:rsidP="00C705C3">
      <w:pPr>
        <w:rPr>
          <w:b/>
          <w:bCs/>
          <w:sz w:val="22"/>
          <w:szCs w:val="22"/>
          <w:shd w:val="clear" w:color="auto" w:fill="FFFFFF"/>
        </w:rPr>
      </w:pPr>
    </w:p>
    <w:p w14:paraId="08A1E9B6" w14:textId="77777777" w:rsidR="00C705C3" w:rsidRPr="00C705C3" w:rsidRDefault="00C705C3" w:rsidP="00C705C3">
      <w:pPr>
        <w:rPr>
          <w:b/>
          <w:bCs/>
          <w:sz w:val="22"/>
          <w:szCs w:val="22"/>
          <w:shd w:val="clear" w:color="auto" w:fill="FFFFFF"/>
          <w:lang w:val="en-150"/>
        </w:rPr>
      </w:pPr>
      <w:r w:rsidRPr="00C705C3">
        <w:rPr>
          <w:b/>
          <w:bCs/>
          <w:sz w:val="22"/>
          <w:szCs w:val="22"/>
          <w:shd w:val="clear" w:color="auto" w:fill="FFFFFF"/>
        </w:rPr>
        <w:t>Task 1</w:t>
      </w:r>
      <w:r w:rsidRPr="00C705C3">
        <w:rPr>
          <w:b/>
          <w:bCs/>
          <w:sz w:val="22"/>
          <w:szCs w:val="22"/>
          <w:shd w:val="clear" w:color="auto" w:fill="FFFFFF"/>
          <w:lang w:val="en-150"/>
        </w:rPr>
        <w:t xml:space="preserve">: </w:t>
      </w:r>
    </w:p>
    <w:p w14:paraId="4DEFACE6" w14:textId="77777777" w:rsidR="00C705C3" w:rsidRDefault="00C705C3" w:rsidP="00C705C3">
      <w:pPr>
        <w:rPr>
          <w:sz w:val="22"/>
          <w:szCs w:val="22"/>
          <w:shd w:val="clear" w:color="auto" w:fill="FFFFFF"/>
        </w:rPr>
      </w:pPr>
      <w:r w:rsidRPr="00C705C3">
        <w:rPr>
          <w:sz w:val="22"/>
          <w:szCs w:val="22"/>
          <w:shd w:val="clear" w:color="auto" w:fill="FFFFFF"/>
        </w:rPr>
        <w:t xml:space="preserve"> Survey development develop, reviewing and finalize Counterpart survey questions in consultation with </w:t>
      </w:r>
      <w:bookmarkStart w:id="0" w:name="_Hlk148362632"/>
      <w:r w:rsidRPr="00C705C3">
        <w:rPr>
          <w:sz w:val="22"/>
          <w:szCs w:val="22"/>
          <w:shd w:val="clear" w:color="auto" w:fill="FFFFFF"/>
        </w:rPr>
        <w:t>relevant officers</w:t>
      </w:r>
      <w:bookmarkEnd w:id="0"/>
      <w:r w:rsidRPr="00C705C3">
        <w:rPr>
          <w:sz w:val="22"/>
          <w:szCs w:val="22"/>
          <w:shd w:val="clear" w:color="auto" w:fill="FFFFFF"/>
        </w:rPr>
        <w:t xml:space="preserve">. Guiding the team in the selection of the most adequate survey platform and formats, review the flow and structure of the questionnaire (Likert Scale, Multiple Choice, Open-Ended Questions, etc). </w:t>
      </w:r>
      <w:r>
        <w:rPr>
          <w:sz w:val="22"/>
          <w:szCs w:val="22"/>
          <w:shd w:val="clear" w:color="auto" w:fill="FFFFFF"/>
          <w:lang w:val="en-150"/>
        </w:rPr>
        <w:t>P</w:t>
      </w:r>
      <w:proofErr w:type="spellStart"/>
      <w:r w:rsidRPr="00C705C3">
        <w:rPr>
          <w:sz w:val="22"/>
          <w:szCs w:val="22"/>
          <w:shd w:val="clear" w:color="auto" w:fill="FFFFFF"/>
        </w:rPr>
        <w:t>erform</w:t>
      </w:r>
      <w:proofErr w:type="spellEnd"/>
      <w:r w:rsidRPr="00C705C3">
        <w:rPr>
          <w:sz w:val="22"/>
          <w:szCs w:val="22"/>
          <w:shd w:val="clear" w:color="auto" w:fill="FFFFFF"/>
        </w:rPr>
        <w:t xml:space="preserve"> quality check, testing and incorporation of feedback. </w:t>
      </w:r>
    </w:p>
    <w:p w14:paraId="7C08C47E" w14:textId="77777777" w:rsidR="00C705C3" w:rsidRDefault="00C705C3" w:rsidP="00C705C3">
      <w:pPr>
        <w:rPr>
          <w:sz w:val="22"/>
          <w:szCs w:val="22"/>
          <w:shd w:val="clear" w:color="auto" w:fill="FFFFFF"/>
        </w:rPr>
      </w:pPr>
    </w:p>
    <w:p w14:paraId="4907E677" w14:textId="77777777" w:rsidR="00C705C3" w:rsidRDefault="00C705C3" w:rsidP="00C705C3">
      <w:pPr>
        <w:rPr>
          <w:sz w:val="22"/>
          <w:szCs w:val="22"/>
          <w:shd w:val="clear" w:color="auto" w:fill="FFFFFF"/>
        </w:rPr>
      </w:pPr>
      <w:r w:rsidRPr="00C705C3">
        <w:rPr>
          <w:sz w:val="22"/>
          <w:szCs w:val="22"/>
          <w:shd w:val="clear" w:color="auto" w:fill="FFFFFF"/>
        </w:rPr>
        <w:t xml:space="preserve">Finally validate with relevant officers. </w:t>
      </w:r>
    </w:p>
    <w:p w14:paraId="46DAC81C" w14:textId="77777777" w:rsidR="00C705C3" w:rsidRDefault="00C705C3" w:rsidP="00C705C3">
      <w:pPr>
        <w:rPr>
          <w:sz w:val="22"/>
          <w:szCs w:val="22"/>
          <w:shd w:val="clear" w:color="auto" w:fill="FFFFFF"/>
        </w:rPr>
      </w:pPr>
    </w:p>
    <w:p w14:paraId="595E52C6" w14:textId="77777777" w:rsidR="00C705C3" w:rsidRDefault="00C705C3" w:rsidP="00C705C3">
      <w:pPr>
        <w:rPr>
          <w:sz w:val="22"/>
          <w:szCs w:val="22"/>
          <w:shd w:val="clear" w:color="auto" w:fill="FFFFFF"/>
        </w:rPr>
      </w:pPr>
      <w:r w:rsidRPr="00C705C3">
        <w:rPr>
          <w:b/>
          <w:bCs/>
          <w:sz w:val="22"/>
          <w:szCs w:val="22"/>
          <w:shd w:val="clear" w:color="auto" w:fill="FFFFFF"/>
        </w:rPr>
        <w:t>Task 2:</w:t>
      </w:r>
      <w:r w:rsidRPr="00C705C3">
        <w:rPr>
          <w:sz w:val="22"/>
          <w:szCs w:val="22"/>
          <w:shd w:val="clear" w:color="auto" w:fill="FFFFFF"/>
        </w:rPr>
        <w:t xml:space="preserve"> </w:t>
      </w:r>
    </w:p>
    <w:p w14:paraId="49205A21" w14:textId="77777777" w:rsidR="00C705C3" w:rsidRDefault="00C705C3" w:rsidP="00C705C3">
      <w:pPr>
        <w:rPr>
          <w:sz w:val="22"/>
          <w:szCs w:val="22"/>
          <w:shd w:val="clear" w:color="auto" w:fill="FFFFFF"/>
        </w:rPr>
      </w:pPr>
    </w:p>
    <w:p w14:paraId="5B40A6CB" w14:textId="77777777" w:rsidR="00C705C3" w:rsidRDefault="00C705C3" w:rsidP="00C705C3">
      <w:pPr>
        <w:rPr>
          <w:sz w:val="22"/>
          <w:szCs w:val="22"/>
          <w:shd w:val="clear" w:color="auto" w:fill="FFFFFF"/>
        </w:rPr>
      </w:pPr>
      <w:r w:rsidRPr="00C705C3">
        <w:rPr>
          <w:sz w:val="22"/>
          <w:szCs w:val="22"/>
          <w:shd w:val="clear" w:color="auto" w:fill="FFFFFF"/>
        </w:rPr>
        <w:t xml:space="preserve">Survey distribution: in consultation with relevant officers, define process for survey distribution and related documentation. In charge of coordination of survey translations in 3 languages, setting up of distribution list by country/region/language and </w:t>
      </w:r>
      <w:proofErr w:type="spellStart"/>
      <w:r w:rsidRPr="00C705C3">
        <w:rPr>
          <w:sz w:val="22"/>
          <w:szCs w:val="22"/>
          <w:shd w:val="clear" w:color="auto" w:fill="FFFFFF"/>
        </w:rPr>
        <w:t>FoA</w:t>
      </w:r>
      <w:proofErr w:type="spellEnd"/>
      <w:r w:rsidRPr="00C705C3">
        <w:rPr>
          <w:sz w:val="22"/>
          <w:szCs w:val="22"/>
          <w:shd w:val="clear" w:color="auto" w:fill="FFFFFF"/>
        </w:rPr>
        <w:t xml:space="preserve">. Document the process and support regional division in sending out surveys. Provide troubleshooting support and monitoring response collection including technical adjustments, reminders and follow up. </w:t>
      </w:r>
    </w:p>
    <w:p w14:paraId="25351BF2" w14:textId="77777777" w:rsidR="00C705C3" w:rsidRDefault="00C705C3" w:rsidP="00C705C3">
      <w:pPr>
        <w:rPr>
          <w:sz w:val="22"/>
          <w:szCs w:val="22"/>
          <w:shd w:val="clear" w:color="auto" w:fill="FFFFFF"/>
        </w:rPr>
      </w:pPr>
    </w:p>
    <w:p w14:paraId="3BD157BE" w14:textId="5A4BB394" w:rsidR="00B621AC" w:rsidRDefault="00C705C3" w:rsidP="00C705C3">
      <w:pPr>
        <w:rPr>
          <w:sz w:val="22"/>
          <w:szCs w:val="22"/>
          <w:shd w:val="clear" w:color="auto" w:fill="FFFFFF"/>
        </w:rPr>
      </w:pPr>
      <w:r w:rsidRPr="00C705C3">
        <w:rPr>
          <w:b/>
          <w:bCs/>
          <w:sz w:val="22"/>
          <w:szCs w:val="22"/>
          <w:shd w:val="clear" w:color="auto" w:fill="FFFFFF"/>
        </w:rPr>
        <w:t>Task 3:</w:t>
      </w:r>
      <w:r w:rsidRPr="00C705C3">
        <w:rPr>
          <w:sz w:val="22"/>
          <w:szCs w:val="22"/>
          <w:shd w:val="clear" w:color="auto" w:fill="FFFFFF"/>
        </w:rPr>
        <w:t xml:space="preserve"> set up data analysis framework and analytical setting validated by responsible officers</w:t>
      </w:r>
    </w:p>
    <w:p w14:paraId="3B09847B" w14:textId="77777777" w:rsidR="009A7A36" w:rsidRPr="00C705C3" w:rsidRDefault="009A7A36" w:rsidP="00C705C3">
      <w:pPr>
        <w:rPr>
          <w:sz w:val="22"/>
          <w:szCs w:val="22"/>
          <w:shd w:val="clear" w:color="auto" w:fill="FFFFFF"/>
        </w:rPr>
      </w:pPr>
    </w:p>
    <w:p w14:paraId="080673B2" w14:textId="77777777" w:rsidR="00B621AC" w:rsidRPr="00C705C3" w:rsidRDefault="00B621AC" w:rsidP="00C97227">
      <w:pPr>
        <w:rPr>
          <w:rFonts w:ascii="Arial" w:hAnsi="Arial" w:cs="Arial"/>
          <w:b/>
          <w:bCs/>
          <w:sz w:val="22"/>
          <w:szCs w:val="22"/>
        </w:rPr>
      </w:pPr>
    </w:p>
    <w:p w14:paraId="5A458197" w14:textId="77777777" w:rsidR="00C97227" w:rsidRPr="00C705C3" w:rsidRDefault="00C97227" w:rsidP="00C97227">
      <w:pPr>
        <w:rPr>
          <w:rFonts w:ascii="Arial" w:hAnsi="Arial" w:cs="Arial"/>
          <w:b/>
          <w:bCs/>
          <w:sz w:val="22"/>
          <w:szCs w:val="22"/>
        </w:rPr>
      </w:pPr>
    </w:p>
    <w:p w14:paraId="37897657" w14:textId="77777777" w:rsidR="00C97227" w:rsidRDefault="00C97227" w:rsidP="00C97227">
      <w:pPr>
        <w:tabs>
          <w:tab w:val="left" w:pos="567"/>
        </w:tabs>
        <w:spacing w:after="120" w:line="240" w:lineRule="atLeast"/>
        <w:jc w:val="both"/>
        <w:rPr>
          <w:rFonts w:ascii="Arial" w:hAnsi="Arial" w:cs="Arial"/>
          <w:b/>
          <w:bCs/>
          <w:sz w:val="22"/>
          <w:szCs w:val="22"/>
          <w:lang w:val="en-US"/>
        </w:rPr>
      </w:pPr>
      <w:r>
        <w:rPr>
          <w:rFonts w:ascii="Arial" w:hAnsi="Arial" w:cs="Arial"/>
          <w:b/>
          <w:bCs/>
          <w:sz w:val="22"/>
          <w:szCs w:val="22"/>
          <w:lang w:val="en-US"/>
        </w:rPr>
        <w:t>Duties performed by the expert:</w:t>
      </w:r>
    </w:p>
    <w:p w14:paraId="2F8DC471" w14:textId="77777777" w:rsidR="00C97227" w:rsidRDefault="00C97227" w:rsidP="00C97227">
      <w:pPr>
        <w:tabs>
          <w:tab w:val="left" w:pos="567"/>
        </w:tabs>
        <w:spacing w:after="120" w:line="240" w:lineRule="atLeast"/>
        <w:jc w:val="both"/>
        <w:rPr>
          <w:i/>
          <w:iCs/>
          <w:sz w:val="22"/>
          <w:szCs w:val="22"/>
          <w:lang w:val="en-US"/>
        </w:rPr>
      </w:pPr>
      <w:r>
        <w:rPr>
          <w:i/>
          <w:iCs/>
          <w:sz w:val="22"/>
          <w:szCs w:val="22"/>
          <w:lang w:val="en-US"/>
        </w:rPr>
        <w:lastRenderedPageBreak/>
        <w:t>Describe the work carried out to meet the terms of reference as set out above. Please include any technical, logistical, administrative and other problems encountered, and any other considerations of importance. Please include also the Agenda and List of persons met.</w:t>
      </w:r>
    </w:p>
    <w:p w14:paraId="6CB5FEE9" w14:textId="77777777" w:rsidR="00C97227" w:rsidRDefault="00C97227" w:rsidP="00C97227">
      <w:pPr>
        <w:tabs>
          <w:tab w:val="left" w:pos="567"/>
        </w:tabs>
        <w:spacing w:after="120" w:line="240" w:lineRule="atLeast"/>
        <w:jc w:val="both"/>
        <w:rPr>
          <w:i/>
          <w:iCs/>
          <w:sz w:val="22"/>
          <w:szCs w:val="22"/>
          <w:lang w:val="en-US"/>
        </w:rPr>
      </w:pPr>
      <w:r>
        <w:rPr>
          <w:i/>
          <w:iCs/>
          <w:sz w:val="22"/>
          <w:szCs w:val="22"/>
          <w:lang w:val="en-US"/>
        </w:rPr>
        <w:t>NOTE: Figures, tables and annexes should be mentioned in the body of the text and should be numbered in the order in which reference is made to them (e.g. Fig.1, Fig. 2, Table 1, Table 2, Annex 1, Annex 2, etc.).  All attachments should be clearly labeled.</w:t>
      </w:r>
    </w:p>
    <w:p w14:paraId="51E0141C" w14:textId="77777777" w:rsidR="00C705C3" w:rsidRDefault="00C705C3" w:rsidP="00C97227">
      <w:pPr>
        <w:tabs>
          <w:tab w:val="left" w:pos="567"/>
        </w:tabs>
        <w:spacing w:after="120" w:line="240" w:lineRule="atLeast"/>
        <w:jc w:val="both"/>
        <w:rPr>
          <w:i/>
          <w:iCs/>
          <w:sz w:val="22"/>
          <w:szCs w:val="22"/>
          <w:lang w:val="en-US"/>
        </w:rPr>
      </w:pPr>
    </w:p>
    <w:p w14:paraId="1E3B6363" w14:textId="0FCC0A1A" w:rsidR="00C705C3" w:rsidRPr="009A7A36" w:rsidRDefault="00C705C3" w:rsidP="00C97227">
      <w:pPr>
        <w:tabs>
          <w:tab w:val="left" w:pos="567"/>
        </w:tabs>
        <w:spacing w:after="120" w:line="240" w:lineRule="atLeast"/>
        <w:jc w:val="both"/>
        <w:rPr>
          <w:b/>
          <w:bCs/>
          <w:sz w:val="22"/>
          <w:szCs w:val="22"/>
          <w:u w:val="single"/>
          <w:lang w:val="en-150"/>
        </w:rPr>
      </w:pPr>
      <w:r w:rsidRPr="009A7A36">
        <w:rPr>
          <w:b/>
          <w:bCs/>
          <w:sz w:val="22"/>
          <w:szCs w:val="22"/>
          <w:u w:val="single"/>
          <w:lang w:val="en-150"/>
        </w:rPr>
        <w:t>Survey development</w:t>
      </w:r>
    </w:p>
    <w:p w14:paraId="6E55A91E" w14:textId="2D250B8F" w:rsidR="00E3227E" w:rsidRDefault="00C705C3" w:rsidP="00C97227">
      <w:pPr>
        <w:tabs>
          <w:tab w:val="left" w:pos="567"/>
        </w:tabs>
        <w:spacing w:after="120" w:line="240" w:lineRule="atLeast"/>
        <w:jc w:val="both"/>
        <w:rPr>
          <w:sz w:val="22"/>
          <w:szCs w:val="22"/>
          <w:lang w:val="en-150"/>
        </w:rPr>
      </w:pPr>
      <w:r w:rsidRPr="00C705C3">
        <w:rPr>
          <w:sz w:val="22"/>
          <w:szCs w:val="22"/>
          <w:lang w:val="en-150"/>
        </w:rPr>
        <w:t xml:space="preserve">The first stage of the work included a detailed review of documentation of the logic, history, and objectives of IAEA’s TC PROGRAMME. In addition to these activities, a series of calls </w:t>
      </w:r>
      <w:r w:rsidR="00E3227E">
        <w:rPr>
          <w:sz w:val="22"/>
          <w:szCs w:val="22"/>
          <w:lang w:val="en-150"/>
        </w:rPr>
        <w:t xml:space="preserve">with </w:t>
      </w:r>
      <w:r w:rsidRPr="00C705C3">
        <w:rPr>
          <w:sz w:val="22"/>
          <w:szCs w:val="22"/>
          <w:lang w:val="en-150"/>
        </w:rPr>
        <w:t>relevant officers</w:t>
      </w:r>
      <w:r w:rsidRPr="00C705C3">
        <w:rPr>
          <w:sz w:val="22"/>
          <w:szCs w:val="22"/>
          <w:lang w:val="en-150"/>
        </w:rPr>
        <w:t xml:space="preserve"> served to map the information needed to feed the research</w:t>
      </w:r>
      <w:r w:rsidR="00E3227E">
        <w:rPr>
          <w:sz w:val="22"/>
          <w:szCs w:val="22"/>
          <w:lang w:val="en-150"/>
        </w:rPr>
        <w:t xml:space="preserve"> needs</w:t>
      </w:r>
      <w:r>
        <w:rPr>
          <w:b/>
          <w:bCs/>
          <w:sz w:val="22"/>
          <w:szCs w:val="22"/>
          <w:lang w:val="en-150"/>
        </w:rPr>
        <w:t xml:space="preserve">. </w:t>
      </w:r>
      <w:r w:rsidR="00E3227E" w:rsidRPr="00E3227E">
        <w:rPr>
          <w:sz w:val="22"/>
          <w:szCs w:val="22"/>
          <w:lang w:val="en-150"/>
        </w:rPr>
        <w:t>Based on this assessment, the team worked on mapping the structure of the evaluation framework</w:t>
      </w:r>
      <w:r w:rsidR="00E3227E">
        <w:rPr>
          <w:sz w:val="22"/>
          <w:szCs w:val="22"/>
          <w:lang w:val="en-150"/>
        </w:rPr>
        <w:t xml:space="preserve"> and the relationship</w:t>
      </w:r>
      <w:r w:rsidR="00E3227E" w:rsidRPr="00E3227E">
        <w:rPr>
          <w:sz w:val="22"/>
          <w:szCs w:val="22"/>
          <w:lang w:val="en-150"/>
        </w:rPr>
        <w:t xml:space="preserve"> </w:t>
      </w:r>
      <w:r w:rsidR="00E3227E">
        <w:rPr>
          <w:sz w:val="22"/>
          <w:szCs w:val="22"/>
          <w:lang w:val="en-150"/>
        </w:rPr>
        <w:t>between</w:t>
      </w:r>
      <w:r w:rsidR="00E3227E" w:rsidRPr="00E3227E">
        <w:rPr>
          <w:sz w:val="22"/>
          <w:szCs w:val="22"/>
          <w:lang w:val="en-150"/>
        </w:rPr>
        <w:t xml:space="preserve"> six </w:t>
      </w:r>
      <w:r w:rsidR="00E3227E">
        <w:rPr>
          <w:sz w:val="22"/>
          <w:szCs w:val="22"/>
          <w:lang w:val="en-150"/>
        </w:rPr>
        <w:t>T</w:t>
      </w:r>
      <w:r w:rsidR="00E3227E" w:rsidRPr="00E3227E">
        <w:rPr>
          <w:sz w:val="22"/>
          <w:szCs w:val="22"/>
          <w:lang w:val="en-150"/>
        </w:rPr>
        <w:t xml:space="preserve">hematic </w:t>
      </w:r>
      <w:r w:rsidR="00E3227E">
        <w:rPr>
          <w:sz w:val="22"/>
          <w:szCs w:val="22"/>
          <w:lang w:val="en-150"/>
        </w:rPr>
        <w:t>A</w:t>
      </w:r>
      <w:r w:rsidR="00E3227E" w:rsidRPr="00E3227E">
        <w:rPr>
          <w:sz w:val="22"/>
          <w:szCs w:val="22"/>
          <w:lang w:val="en-150"/>
        </w:rPr>
        <w:t xml:space="preserve">reas and over 20 Field of Activities. </w:t>
      </w:r>
    </w:p>
    <w:p w14:paraId="1C24A894" w14:textId="5AE692B9" w:rsidR="009858BC" w:rsidRDefault="00E3227E" w:rsidP="00C97227">
      <w:pPr>
        <w:tabs>
          <w:tab w:val="left" w:pos="567"/>
        </w:tabs>
        <w:spacing w:after="120" w:line="240" w:lineRule="atLeast"/>
        <w:jc w:val="both"/>
        <w:rPr>
          <w:sz w:val="22"/>
          <w:szCs w:val="22"/>
          <w:lang w:val="en-150"/>
        </w:rPr>
      </w:pPr>
      <w:r>
        <w:rPr>
          <w:sz w:val="22"/>
          <w:szCs w:val="22"/>
          <w:lang w:val="en-150"/>
        </w:rPr>
        <w:t xml:space="preserve">An ongoing coordination between relevant officers and thematic experts led to a structured impact path for each of the relevant FOAs of the TC Programme. </w:t>
      </w:r>
      <w:r w:rsidR="009858BC">
        <w:rPr>
          <w:sz w:val="22"/>
          <w:szCs w:val="22"/>
          <w:lang w:val="en-150"/>
        </w:rPr>
        <w:t>This coordination included a 3-day mission to Vienna. During the mission, key aspects of the architecture and content of the survey were discussed with the relevant officers.</w:t>
      </w:r>
    </w:p>
    <w:p w14:paraId="190F9B73" w14:textId="0D271D38" w:rsidR="00E3227E" w:rsidRDefault="00E3227E" w:rsidP="00C97227">
      <w:pPr>
        <w:tabs>
          <w:tab w:val="left" w:pos="567"/>
        </w:tabs>
        <w:spacing w:after="120" w:line="240" w:lineRule="atLeast"/>
        <w:jc w:val="both"/>
        <w:rPr>
          <w:sz w:val="22"/>
          <w:szCs w:val="22"/>
          <w:lang w:val="en-150"/>
        </w:rPr>
      </w:pPr>
      <w:r>
        <w:rPr>
          <w:sz w:val="22"/>
          <w:szCs w:val="22"/>
          <w:lang w:val="en-150"/>
        </w:rPr>
        <w:t xml:space="preserve">Having a robust structure of the mechanisms in which the TC Programme is expected to contribute </w:t>
      </w:r>
      <w:r w:rsidR="00112CA4">
        <w:rPr>
          <w:sz w:val="22"/>
          <w:szCs w:val="22"/>
          <w:lang w:val="en-150"/>
        </w:rPr>
        <w:t>to</w:t>
      </w:r>
      <w:r>
        <w:rPr>
          <w:sz w:val="22"/>
          <w:szCs w:val="22"/>
          <w:lang w:val="en-150"/>
        </w:rPr>
        <w:t xml:space="preserve"> the Institutions that are part of it</w:t>
      </w:r>
      <w:r w:rsidR="00112CA4">
        <w:rPr>
          <w:sz w:val="22"/>
          <w:szCs w:val="22"/>
          <w:lang w:val="en-150"/>
        </w:rPr>
        <w:t xml:space="preserve"> </w:t>
      </w:r>
      <w:r>
        <w:rPr>
          <w:sz w:val="22"/>
          <w:szCs w:val="22"/>
          <w:lang w:val="en-150"/>
        </w:rPr>
        <w:t xml:space="preserve">was central to design an online questionnaire. Apart from considering the programmes’ logic and the inputs of the experts, the design of the questionnaire incorporated elements from Online Survey Methods to increase the response rates and decrease the likelihood of respondents quitting the questionnaire before it was submitted. </w:t>
      </w:r>
    </w:p>
    <w:p w14:paraId="2C1D9D18" w14:textId="193550ED" w:rsidR="00E3227E" w:rsidRDefault="00E3227E" w:rsidP="00C97227">
      <w:pPr>
        <w:tabs>
          <w:tab w:val="left" w:pos="567"/>
        </w:tabs>
        <w:spacing w:after="120" w:line="240" w:lineRule="atLeast"/>
        <w:jc w:val="both"/>
        <w:rPr>
          <w:sz w:val="22"/>
          <w:szCs w:val="22"/>
          <w:lang w:val="en-150"/>
        </w:rPr>
      </w:pPr>
      <w:r>
        <w:rPr>
          <w:sz w:val="22"/>
          <w:szCs w:val="22"/>
          <w:lang w:val="en-150"/>
        </w:rPr>
        <w:t xml:space="preserve">The first versions of the questionnaire were tested internally by the team that was working more closely in the design of the tool. Several iterations were conducted before a final pilot was conducted with 10 IAEA’s experts. The input and feedback of the experts was incorporated in the final version. It is worth mentioning that more than 20 version of the questionnaires were tested before having a final agreement. </w:t>
      </w:r>
    </w:p>
    <w:p w14:paraId="5A3ECFE6" w14:textId="77777777" w:rsidR="009858BC" w:rsidRDefault="009858BC" w:rsidP="00C97227">
      <w:pPr>
        <w:tabs>
          <w:tab w:val="left" w:pos="567"/>
        </w:tabs>
        <w:spacing w:after="120" w:line="240" w:lineRule="atLeast"/>
        <w:jc w:val="both"/>
        <w:rPr>
          <w:sz w:val="22"/>
          <w:szCs w:val="22"/>
          <w:lang w:val="en-150"/>
        </w:rPr>
      </w:pPr>
    </w:p>
    <w:p w14:paraId="0612ED68" w14:textId="183B5DDB" w:rsidR="009858BC" w:rsidRPr="009A7A36" w:rsidRDefault="009858BC" w:rsidP="009858BC">
      <w:pPr>
        <w:tabs>
          <w:tab w:val="left" w:pos="567"/>
        </w:tabs>
        <w:spacing w:after="120" w:line="240" w:lineRule="atLeast"/>
        <w:jc w:val="both"/>
        <w:rPr>
          <w:sz w:val="22"/>
          <w:szCs w:val="22"/>
          <w:u w:val="single"/>
          <w:lang w:val="en-150"/>
        </w:rPr>
      </w:pPr>
      <w:r w:rsidRPr="009A7A36">
        <w:rPr>
          <w:b/>
          <w:bCs/>
          <w:sz w:val="22"/>
          <w:szCs w:val="22"/>
          <w:u w:val="single"/>
          <w:lang w:val="en-150"/>
        </w:rPr>
        <w:t>Translations</w:t>
      </w:r>
    </w:p>
    <w:p w14:paraId="752490D7" w14:textId="73A4F77D" w:rsidR="009858BC" w:rsidRDefault="009858BC" w:rsidP="009858BC">
      <w:pPr>
        <w:tabs>
          <w:tab w:val="left" w:pos="567"/>
        </w:tabs>
        <w:spacing w:after="120" w:line="240" w:lineRule="atLeast"/>
        <w:jc w:val="both"/>
        <w:rPr>
          <w:sz w:val="22"/>
          <w:szCs w:val="22"/>
          <w:lang w:val="en-150"/>
        </w:rPr>
      </w:pPr>
      <w:r>
        <w:rPr>
          <w:sz w:val="22"/>
          <w:szCs w:val="22"/>
          <w:lang w:val="en-150"/>
        </w:rPr>
        <w:t xml:space="preserve">Once the team had a final version of the questionnaire, a translation system was set so the text of the online tool could be translated in </w:t>
      </w:r>
      <w:r w:rsidR="00112CA4">
        <w:rPr>
          <w:sz w:val="22"/>
          <w:szCs w:val="22"/>
          <w:lang w:val="en-150"/>
        </w:rPr>
        <w:t>four</w:t>
      </w:r>
      <w:r>
        <w:rPr>
          <w:sz w:val="22"/>
          <w:szCs w:val="22"/>
          <w:lang w:val="en-150"/>
        </w:rPr>
        <w:t xml:space="preserve"> different languages: Arabic, French, Russian, and Spanish. Online collaborative documents were developed so the translators could work effectively without having conflicted versions. Moreover, each translation was ‘connected’ with the online questionnaire via R scripts. This was essential to keep the translations on track with changes made in the questionnaire. After all the translations were finalized, the questionnaire was tested in all the languages to assure that none of the content was lost in translation. </w:t>
      </w:r>
    </w:p>
    <w:p w14:paraId="5FC6555C" w14:textId="77777777" w:rsidR="009858BC" w:rsidRDefault="009858BC" w:rsidP="009858BC">
      <w:pPr>
        <w:tabs>
          <w:tab w:val="left" w:pos="567"/>
        </w:tabs>
        <w:spacing w:after="120" w:line="240" w:lineRule="atLeast"/>
        <w:jc w:val="both"/>
        <w:rPr>
          <w:sz w:val="22"/>
          <w:szCs w:val="22"/>
          <w:lang w:val="en-150"/>
        </w:rPr>
      </w:pPr>
    </w:p>
    <w:p w14:paraId="7CD8036C" w14:textId="1739AB17" w:rsidR="009858BC" w:rsidRPr="009A7A36" w:rsidRDefault="009858BC" w:rsidP="009858BC">
      <w:pPr>
        <w:tabs>
          <w:tab w:val="left" w:pos="567"/>
        </w:tabs>
        <w:spacing w:after="120" w:line="240" w:lineRule="atLeast"/>
        <w:jc w:val="both"/>
        <w:rPr>
          <w:sz w:val="22"/>
          <w:szCs w:val="22"/>
          <w:u w:val="single"/>
          <w:lang w:val="en-150"/>
        </w:rPr>
      </w:pPr>
      <w:r w:rsidRPr="009A7A36">
        <w:rPr>
          <w:b/>
          <w:bCs/>
          <w:sz w:val="22"/>
          <w:szCs w:val="22"/>
          <w:u w:val="single"/>
          <w:lang w:val="en-150"/>
        </w:rPr>
        <w:t>Sample</w:t>
      </w:r>
    </w:p>
    <w:p w14:paraId="1CC3C01B" w14:textId="1CF38A5D" w:rsidR="009858BC" w:rsidRDefault="009858BC" w:rsidP="009858BC">
      <w:pPr>
        <w:tabs>
          <w:tab w:val="left" w:pos="567"/>
        </w:tabs>
        <w:spacing w:after="120" w:line="240" w:lineRule="atLeast"/>
        <w:jc w:val="both"/>
        <w:rPr>
          <w:sz w:val="22"/>
          <w:szCs w:val="22"/>
          <w:lang w:val="en-150"/>
        </w:rPr>
      </w:pPr>
      <w:r>
        <w:rPr>
          <w:sz w:val="22"/>
          <w:szCs w:val="22"/>
          <w:lang w:val="en-150"/>
        </w:rPr>
        <w:t xml:space="preserve">The sample of over 11,000 counterparts was drawn from a list of projects that have been supported by the TCP over the past 25 years. This data included name, email, and institution of every CP. </w:t>
      </w:r>
    </w:p>
    <w:p w14:paraId="2DAE6085" w14:textId="77777777" w:rsidR="009A7A36" w:rsidRDefault="009A7A36" w:rsidP="009858BC">
      <w:pPr>
        <w:tabs>
          <w:tab w:val="left" w:pos="567"/>
        </w:tabs>
        <w:spacing w:after="120" w:line="240" w:lineRule="atLeast"/>
        <w:jc w:val="both"/>
        <w:rPr>
          <w:sz w:val="22"/>
          <w:szCs w:val="22"/>
          <w:lang w:val="en-150"/>
        </w:rPr>
      </w:pPr>
    </w:p>
    <w:p w14:paraId="0D5E04C0" w14:textId="142DE5AC" w:rsidR="009A7A36" w:rsidRPr="009A7A36" w:rsidRDefault="009A7A36" w:rsidP="009858BC">
      <w:pPr>
        <w:tabs>
          <w:tab w:val="left" w:pos="567"/>
        </w:tabs>
        <w:spacing w:after="120" w:line="240" w:lineRule="atLeast"/>
        <w:jc w:val="both"/>
        <w:rPr>
          <w:b/>
          <w:bCs/>
          <w:sz w:val="22"/>
          <w:szCs w:val="22"/>
          <w:u w:val="single"/>
          <w:lang w:val="en-150"/>
        </w:rPr>
      </w:pPr>
      <w:r w:rsidRPr="009A7A36">
        <w:rPr>
          <w:b/>
          <w:bCs/>
          <w:sz w:val="22"/>
          <w:szCs w:val="22"/>
          <w:u w:val="single"/>
          <w:lang w:val="en-150"/>
        </w:rPr>
        <w:t>Software</w:t>
      </w:r>
    </w:p>
    <w:p w14:paraId="146683A1" w14:textId="56562C28" w:rsidR="00C705C3" w:rsidRDefault="009A7A36" w:rsidP="00C97227">
      <w:pPr>
        <w:tabs>
          <w:tab w:val="left" w:pos="567"/>
        </w:tabs>
        <w:spacing w:after="120" w:line="240" w:lineRule="atLeast"/>
        <w:jc w:val="both"/>
        <w:rPr>
          <w:sz w:val="22"/>
          <w:szCs w:val="22"/>
          <w:lang w:val="en-150"/>
        </w:rPr>
      </w:pPr>
      <w:r w:rsidRPr="009A7A36">
        <w:rPr>
          <w:sz w:val="22"/>
          <w:szCs w:val="22"/>
          <w:lang w:val="en-150"/>
        </w:rPr>
        <w:t>The online questionnaire was programmed using Survey Solutions, and the invitation emails were sent via Mail</w:t>
      </w:r>
      <w:r>
        <w:rPr>
          <w:sz w:val="22"/>
          <w:szCs w:val="22"/>
          <w:lang w:val="en-150"/>
        </w:rPr>
        <w:t xml:space="preserve"> </w:t>
      </w:r>
      <w:r w:rsidRPr="009A7A36">
        <w:rPr>
          <w:sz w:val="22"/>
          <w:szCs w:val="22"/>
          <w:lang w:val="en-150"/>
        </w:rPr>
        <w:t>Chimp</w:t>
      </w:r>
      <w:r>
        <w:rPr>
          <w:sz w:val="22"/>
          <w:szCs w:val="22"/>
          <w:lang w:val="en-150"/>
        </w:rPr>
        <w:t xml:space="preserve">. To assure a full integration between the sample and the invitations, a series of scripts were </w:t>
      </w:r>
      <w:r>
        <w:rPr>
          <w:sz w:val="22"/>
          <w:szCs w:val="22"/>
          <w:lang w:val="en-150"/>
        </w:rPr>
        <w:lastRenderedPageBreak/>
        <w:t>programmed. These scripts merged the sample with the assignments generated in Survey Solutions to then create an audience in Mail Chimp. This was very important to consistently associate the campaigns with the status of the interviews.</w:t>
      </w:r>
    </w:p>
    <w:p w14:paraId="6FAA4CD1" w14:textId="77777777" w:rsidR="009A7A36" w:rsidRDefault="009A7A36" w:rsidP="00C97227">
      <w:pPr>
        <w:tabs>
          <w:tab w:val="left" w:pos="567"/>
        </w:tabs>
        <w:spacing w:after="120" w:line="240" w:lineRule="atLeast"/>
        <w:jc w:val="both"/>
        <w:rPr>
          <w:sz w:val="22"/>
          <w:szCs w:val="22"/>
          <w:lang w:val="en-150"/>
        </w:rPr>
      </w:pPr>
    </w:p>
    <w:p w14:paraId="0D1D943B" w14:textId="38E30D20" w:rsidR="009A7A36" w:rsidRDefault="009A7A36" w:rsidP="00C97227">
      <w:pPr>
        <w:tabs>
          <w:tab w:val="left" w:pos="567"/>
        </w:tabs>
        <w:spacing w:after="120" w:line="240" w:lineRule="atLeast"/>
        <w:jc w:val="both"/>
        <w:rPr>
          <w:b/>
          <w:bCs/>
          <w:sz w:val="22"/>
          <w:szCs w:val="22"/>
          <w:lang w:val="es-ES"/>
        </w:rPr>
      </w:pPr>
      <w:proofErr w:type="spellStart"/>
      <w:r w:rsidRPr="009A7A36">
        <w:rPr>
          <w:b/>
          <w:bCs/>
          <w:sz w:val="22"/>
          <w:szCs w:val="22"/>
          <w:u w:val="single"/>
          <w:lang w:val="es-ES"/>
        </w:rPr>
        <w:t>Deployment</w:t>
      </w:r>
      <w:proofErr w:type="spellEnd"/>
    </w:p>
    <w:p w14:paraId="49DD44DC" w14:textId="7E61E220" w:rsidR="009A7A36" w:rsidRDefault="009A7A36" w:rsidP="00C97227">
      <w:pPr>
        <w:tabs>
          <w:tab w:val="left" w:pos="567"/>
        </w:tabs>
        <w:spacing w:after="120" w:line="240" w:lineRule="atLeast"/>
        <w:jc w:val="both"/>
        <w:rPr>
          <w:sz w:val="22"/>
          <w:szCs w:val="22"/>
          <w:lang w:val="en-150"/>
        </w:rPr>
      </w:pPr>
      <w:r w:rsidRPr="009A7A36">
        <w:rPr>
          <w:sz w:val="22"/>
          <w:szCs w:val="22"/>
        </w:rPr>
        <w:t>An invitation email was sent to 11, 612 counterparts on October 16</w:t>
      </w:r>
      <w:r w:rsidRPr="009A7A36">
        <w:rPr>
          <w:sz w:val="22"/>
          <w:szCs w:val="22"/>
          <w:vertAlign w:val="superscript"/>
        </w:rPr>
        <w:t>th</w:t>
      </w:r>
      <w:r w:rsidR="00112CA4" w:rsidRPr="009A7A36">
        <w:rPr>
          <w:sz w:val="22"/>
          <w:szCs w:val="22"/>
        </w:rPr>
        <w:t>, 2023</w:t>
      </w:r>
      <w:r w:rsidRPr="009A7A36">
        <w:rPr>
          <w:sz w:val="22"/>
          <w:szCs w:val="22"/>
        </w:rPr>
        <w:t xml:space="preserve">. </w:t>
      </w:r>
      <w:r>
        <w:rPr>
          <w:sz w:val="22"/>
          <w:szCs w:val="22"/>
        </w:rPr>
        <w:t>From all the emails included in the sample, 2,199 (18.9%) were bounced by the system, either because the email did not exist or because the recipient</w:t>
      </w:r>
      <w:r>
        <w:rPr>
          <w:sz w:val="22"/>
          <w:szCs w:val="22"/>
          <w:lang w:val="en-150"/>
        </w:rPr>
        <w:t xml:space="preserve">’s server blocked it. </w:t>
      </w:r>
    </w:p>
    <w:p w14:paraId="3542FE28" w14:textId="21721BE8" w:rsidR="006040C9" w:rsidRDefault="009A7A36" w:rsidP="00112CA4">
      <w:pPr>
        <w:tabs>
          <w:tab w:val="left" w:pos="567"/>
        </w:tabs>
        <w:spacing w:after="120" w:line="240" w:lineRule="atLeast"/>
        <w:jc w:val="both"/>
        <w:rPr>
          <w:sz w:val="22"/>
          <w:szCs w:val="22"/>
          <w:lang w:val="en-150"/>
        </w:rPr>
      </w:pPr>
      <w:r>
        <w:rPr>
          <w:sz w:val="22"/>
          <w:szCs w:val="22"/>
          <w:lang w:val="en-150"/>
        </w:rPr>
        <w:t xml:space="preserve">The responses rates will be monitored on daily basis. This monitoring will help the team to take actions in case the responses rates are low or if more responses are needed. </w:t>
      </w:r>
    </w:p>
    <w:p w14:paraId="2F869065" w14:textId="77777777" w:rsidR="00112CA4" w:rsidRDefault="00112CA4" w:rsidP="00112CA4">
      <w:pPr>
        <w:tabs>
          <w:tab w:val="left" w:pos="567"/>
        </w:tabs>
        <w:spacing w:after="120" w:line="240" w:lineRule="atLeast"/>
        <w:jc w:val="both"/>
        <w:rPr>
          <w:sz w:val="22"/>
          <w:szCs w:val="22"/>
          <w:lang w:val="en-150"/>
        </w:rPr>
      </w:pPr>
    </w:p>
    <w:p w14:paraId="33BAE951" w14:textId="6DDD3F71" w:rsidR="00112CA4" w:rsidRDefault="00112CA4" w:rsidP="00112CA4">
      <w:pPr>
        <w:tabs>
          <w:tab w:val="left" w:pos="567"/>
        </w:tabs>
        <w:spacing w:after="120" w:line="240" w:lineRule="atLeast"/>
        <w:jc w:val="both"/>
        <w:rPr>
          <w:rFonts w:ascii="Arial" w:hAnsi="Arial" w:cs="Arial"/>
          <w:b/>
          <w:bCs/>
          <w:sz w:val="22"/>
          <w:szCs w:val="22"/>
          <w:lang w:val="en-150"/>
        </w:rPr>
      </w:pPr>
      <w:r w:rsidRPr="00112CA4">
        <w:rPr>
          <w:rFonts w:ascii="Arial" w:hAnsi="Arial" w:cs="Arial"/>
          <w:b/>
          <w:bCs/>
          <w:sz w:val="22"/>
          <w:szCs w:val="22"/>
          <w:lang w:val="en-150"/>
        </w:rPr>
        <w:t>Annex:</w:t>
      </w:r>
    </w:p>
    <w:p w14:paraId="178DE9C5" w14:textId="3BBA1C52" w:rsidR="00112CA4" w:rsidRPr="00112CA4" w:rsidRDefault="00112CA4" w:rsidP="00112CA4">
      <w:pPr>
        <w:tabs>
          <w:tab w:val="left" w:pos="567"/>
        </w:tabs>
        <w:spacing w:after="120" w:line="240" w:lineRule="atLeast"/>
        <w:jc w:val="both"/>
      </w:pPr>
      <w:r w:rsidRPr="00112CA4">
        <w:rPr>
          <w:sz w:val="22"/>
          <w:szCs w:val="22"/>
          <w:lang w:val="en-150"/>
        </w:rPr>
        <w:t>A copy of the questionnaire in PDF format is included as a separate Annex.</w:t>
      </w:r>
    </w:p>
    <w:sectPr w:rsidR="00112CA4" w:rsidRPr="00112CA4" w:rsidSect="00564356">
      <w:footerReference w:type="even" r:id="rId7"/>
      <w:footerReference w:type="default" r:id="rId8"/>
      <w:headerReference w:type="first" r:id="rId9"/>
      <w:footerReference w:type="first" r:id="rId10"/>
      <w:pgSz w:w="12240" w:h="15840"/>
      <w:pgMar w:top="1440" w:right="1440" w:bottom="1440" w:left="144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847611" w14:textId="77777777" w:rsidR="00A154AC" w:rsidRDefault="00A154AC" w:rsidP="00AF2367">
      <w:r>
        <w:separator/>
      </w:r>
    </w:p>
  </w:endnote>
  <w:endnote w:type="continuationSeparator" w:id="0">
    <w:p w14:paraId="0152FCE0" w14:textId="77777777" w:rsidR="00A154AC" w:rsidRDefault="00A154AC" w:rsidP="00AF23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EE2F7C" w14:textId="77777777" w:rsidR="009328ED" w:rsidRPr="009328ED" w:rsidRDefault="009328ED">
    <w:pPr>
      <w:pStyle w:val="Footer"/>
      <w:rPr>
        <w:sz w:val="20"/>
        <w:szCs w:val="20"/>
      </w:rPr>
    </w:pPr>
    <w:r w:rsidRPr="009328ED">
      <w:rPr>
        <w:sz w:val="20"/>
        <w:szCs w:val="20"/>
      </w:rPr>
      <w:ptab w:relativeTo="margin" w:alignment="right" w:leader="none"/>
    </w:r>
    <w:r w:rsidRPr="009328ED">
      <w:rPr>
        <w:sz w:val="20"/>
        <w:szCs w:val="20"/>
      </w:rPr>
      <w:fldChar w:fldCharType="begin"/>
    </w:r>
    <w:r w:rsidRPr="009328ED">
      <w:rPr>
        <w:sz w:val="20"/>
        <w:szCs w:val="20"/>
      </w:rPr>
      <w:instrText xml:space="preserve"> PAGE  \* Arabic  \* MERGEFORMAT </w:instrText>
    </w:r>
    <w:r w:rsidRPr="009328ED">
      <w:rPr>
        <w:sz w:val="20"/>
        <w:szCs w:val="20"/>
      </w:rPr>
      <w:fldChar w:fldCharType="separate"/>
    </w:r>
    <w:r w:rsidR="0015662E">
      <w:rPr>
        <w:noProof/>
        <w:sz w:val="20"/>
        <w:szCs w:val="20"/>
      </w:rPr>
      <w:t>2</w:t>
    </w:r>
    <w:r w:rsidRPr="009328ED">
      <w:rPr>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27963E" w14:textId="77777777" w:rsidR="00564356" w:rsidRPr="00161982" w:rsidRDefault="00564356" w:rsidP="00564356">
    <w:pPr>
      <w:rPr>
        <w:rFonts w:ascii="Arial" w:hAnsi="Arial" w:cs="Arial"/>
        <w:bCs/>
        <w:sz w:val="16"/>
        <w:szCs w:val="16"/>
      </w:rPr>
    </w:pPr>
  </w:p>
  <w:p w14:paraId="04BBA690" w14:textId="77777777" w:rsidR="00564356" w:rsidRPr="00564356" w:rsidRDefault="009328ED">
    <w:pPr>
      <w:pStyle w:val="Footer"/>
      <w:rPr>
        <w:lang w:val="fr-FR"/>
      </w:rPr>
    </w:pPr>
    <w:r>
      <w:rPr>
        <w:lang w:val="fr-FR"/>
      </w:rPr>
      <w:ptab w:relativeTo="margin" w:alignment="right" w:leader="none"/>
    </w:r>
    <w:r w:rsidRPr="009328ED">
      <w:rPr>
        <w:sz w:val="20"/>
        <w:szCs w:val="20"/>
        <w:lang w:val="fr-FR"/>
      </w:rPr>
      <w:fldChar w:fldCharType="begin"/>
    </w:r>
    <w:r w:rsidRPr="009328ED">
      <w:rPr>
        <w:sz w:val="20"/>
        <w:szCs w:val="20"/>
        <w:lang w:val="fr-FR"/>
      </w:rPr>
      <w:instrText xml:space="preserve"> PAGE  \* Arabic  \* MERGEFORMAT </w:instrText>
    </w:r>
    <w:r w:rsidRPr="009328ED">
      <w:rPr>
        <w:sz w:val="20"/>
        <w:szCs w:val="20"/>
        <w:lang w:val="fr-FR"/>
      </w:rPr>
      <w:fldChar w:fldCharType="separate"/>
    </w:r>
    <w:r w:rsidR="0015662E">
      <w:rPr>
        <w:noProof/>
        <w:sz w:val="20"/>
        <w:szCs w:val="20"/>
        <w:lang w:val="fr-FR"/>
      </w:rPr>
      <w:t>3</w:t>
    </w:r>
    <w:r w:rsidRPr="009328ED">
      <w:rPr>
        <w:sz w:val="20"/>
        <w:szCs w:val="20"/>
        <w:lang w:val="fr-F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26644A" w14:textId="77777777" w:rsidR="00564356" w:rsidRPr="00161982" w:rsidRDefault="00564356" w:rsidP="00564356">
    <w:pPr>
      <w:jc w:val="center"/>
      <w:rPr>
        <w:rFonts w:ascii="Arial" w:hAnsi="Arial" w:cs="Arial"/>
        <w:bCs/>
        <w:sz w:val="16"/>
        <w:szCs w:val="16"/>
      </w:rPr>
    </w:pPr>
    <w:bookmarkStart w:id="1" w:name="_Hlk514079099"/>
    <w:r w:rsidRPr="00161982">
      <w:rPr>
        <w:rFonts w:ascii="Arial" w:hAnsi="Arial" w:cs="Arial"/>
        <w:bCs/>
        <w:sz w:val="16"/>
        <w:szCs w:val="16"/>
      </w:rPr>
      <w:t>International Atomic Energy Agency (IAEA)</w:t>
    </w:r>
    <w:r>
      <w:rPr>
        <w:rFonts w:ascii="Arial" w:hAnsi="Arial" w:cs="Arial"/>
        <w:bCs/>
        <w:sz w:val="16"/>
        <w:szCs w:val="16"/>
      </w:rPr>
      <w:t xml:space="preserve">, </w:t>
    </w:r>
    <w:r w:rsidRPr="00564356">
      <w:rPr>
        <w:rFonts w:ascii="Arial" w:hAnsi="Arial" w:cs="Arial"/>
        <w:bCs/>
        <w:sz w:val="16"/>
        <w:szCs w:val="16"/>
      </w:rPr>
      <w:t>Vienna International Centre, PO Box 100, 1400 Vienna (Austria)</w:t>
    </w:r>
  </w:p>
  <w:bookmarkEnd w:id="1"/>
  <w:p w14:paraId="58E233F0" w14:textId="77777777" w:rsidR="00C14FA2" w:rsidRDefault="00564356" w:rsidP="00C14FA2">
    <w:pPr>
      <w:pStyle w:val="Footer"/>
      <w:jc w:val="center"/>
      <w:rPr>
        <w:rStyle w:val="Hyperlink"/>
        <w:rFonts w:ascii="Arial" w:hAnsi="Arial" w:cs="Arial"/>
        <w:bCs/>
        <w:sz w:val="16"/>
        <w:szCs w:val="16"/>
        <w:lang w:val="fr-FR"/>
      </w:rPr>
    </w:pPr>
    <w:r w:rsidRPr="00564356">
      <w:rPr>
        <w:rFonts w:ascii="Arial" w:hAnsi="Arial" w:cs="Arial"/>
        <w:bCs/>
        <w:sz w:val="16"/>
        <w:szCs w:val="16"/>
      </w:rPr>
      <w:t xml:space="preserve">Tel: (+43 1) 2600, Fax: (+43 1) 26007, Email: </w:t>
    </w:r>
    <w:r w:rsidRPr="00564356">
      <w:rPr>
        <w:rStyle w:val="Hyperlink"/>
        <w:rFonts w:ascii="Arial" w:hAnsi="Arial" w:cs="Arial"/>
        <w:sz w:val="16"/>
        <w:szCs w:val="16"/>
      </w:rPr>
      <w:t>Official</w:t>
    </w:r>
    <w:r w:rsidRPr="00564356">
      <w:rPr>
        <w:rStyle w:val="Hyperlink"/>
        <w:rFonts w:ascii="Arial" w:hAnsi="Arial" w:cs="Arial"/>
        <w:bCs/>
        <w:sz w:val="16"/>
        <w:szCs w:val="16"/>
      </w:rPr>
      <w:t>.Mail@iaea.org</w:t>
    </w:r>
    <w:r w:rsidRPr="00564356">
      <w:rPr>
        <w:rFonts w:ascii="Arial" w:hAnsi="Arial" w:cs="Arial"/>
        <w:bCs/>
        <w:sz w:val="16"/>
        <w:szCs w:val="16"/>
      </w:rPr>
      <w:t xml:space="preserve">, TC website: </w:t>
    </w:r>
    <w:hyperlink r:id="rId1" w:history="1">
      <w:r w:rsidRPr="00564356">
        <w:rPr>
          <w:rStyle w:val="Hyperlink"/>
          <w:rFonts w:ascii="Arial" w:hAnsi="Arial" w:cs="Arial"/>
          <w:bCs/>
          <w:sz w:val="16"/>
          <w:szCs w:val="16"/>
        </w:rPr>
        <w:t>https://www.iaea.org/technicalcooperation/</w:t>
      </w:r>
    </w:hyperlink>
  </w:p>
  <w:p w14:paraId="78EF5BD8" w14:textId="77777777" w:rsidR="00C14FA2" w:rsidRPr="00C14FA2" w:rsidRDefault="009328ED" w:rsidP="00C14FA2">
    <w:pPr>
      <w:pStyle w:val="Footer"/>
      <w:jc w:val="center"/>
      <w:rPr>
        <w:rFonts w:ascii="Arial" w:hAnsi="Arial" w:cs="Arial"/>
        <w:bCs/>
        <w:sz w:val="16"/>
        <w:szCs w:val="16"/>
        <w:lang w:val="fr-FR"/>
      </w:rPr>
    </w:pPr>
    <w:r>
      <w:rPr>
        <w:rStyle w:val="Hyperlink"/>
        <w:rFonts w:ascii="Arial" w:hAnsi="Arial" w:cs="Arial"/>
        <w:bCs/>
        <w:sz w:val="16"/>
        <w:szCs w:val="16"/>
        <w:lang w:val="fr-FR"/>
      </w:rPr>
      <w:ptab w:relativeTo="margin" w:alignment="right" w:leader="none"/>
    </w:r>
    <w:r w:rsidRPr="009328ED">
      <w:rPr>
        <w:rStyle w:val="Hyperlink"/>
        <w:rFonts w:ascii="Arial" w:hAnsi="Arial" w:cs="Arial"/>
        <w:bCs/>
        <w:sz w:val="20"/>
        <w:szCs w:val="20"/>
        <w:lang w:val="fr-FR"/>
      </w:rPr>
      <w:fldChar w:fldCharType="begin"/>
    </w:r>
    <w:r w:rsidRPr="009328ED">
      <w:rPr>
        <w:rStyle w:val="Hyperlink"/>
        <w:rFonts w:ascii="Arial" w:hAnsi="Arial" w:cs="Arial"/>
        <w:bCs/>
        <w:sz w:val="20"/>
        <w:szCs w:val="20"/>
        <w:lang w:val="fr-FR"/>
      </w:rPr>
      <w:instrText xml:space="preserve"> PAGE  \* Arabic  \* MERGEFORMAT </w:instrText>
    </w:r>
    <w:r w:rsidRPr="009328ED">
      <w:rPr>
        <w:rStyle w:val="Hyperlink"/>
        <w:rFonts w:ascii="Arial" w:hAnsi="Arial" w:cs="Arial"/>
        <w:bCs/>
        <w:sz w:val="20"/>
        <w:szCs w:val="20"/>
        <w:lang w:val="fr-FR"/>
      </w:rPr>
      <w:fldChar w:fldCharType="separate"/>
    </w:r>
    <w:r w:rsidR="0015662E">
      <w:rPr>
        <w:rStyle w:val="Hyperlink"/>
        <w:rFonts w:ascii="Arial" w:hAnsi="Arial" w:cs="Arial"/>
        <w:bCs/>
        <w:noProof/>
        <w:sz w:val="20"/>
        <w:szCs w:val="20"/>
        <w:lang w:val="fr-FR"/>
      </w:rPr>
      <w:t>1</w:t>
    </w:r>
    <w:r w:rsidRPr="009328ED">
      <w:rPr>
        <w:rStyle w:val="Hyperlink"/>
        <w:rFonts w:ascii="Arial" w:hAnsi="Arial" w:cs="Arial"/>
        <w:bCs/>
        <w:sz w:val="20"/>
        <w:szCs w:val="20"/>
        <w:lang w:val="fr-FR"/>
      </w:rPr>
      <w:fldChar w:fldCharType="end"/>
    </w:r>
  </w:p>
  <w:p w14:paraId="11A36F9F" w14:textId="77777777" w:rsidR="00564356" w:rsidRPr="00564356" w:rsidRDefault="00C14FA2">
    <w:pPr>
      <w:pStyle w:val="Footer"/>
      <w:rPr>
        <w:lang w:val="fr-FR"/>
      </w:rPr>
    </w:pPr>
    <w:r>
      <w:rPr>
        <w:lang w:val="fr-FR"/>
      </w:rPr>
      <w:tab/>
    </w:r>
    <w:r>
      <w:rPr>
        <w:lang w:val="fr-FR"/>
      </w:rPr>
      <w:tab/>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2F7C5B" w14:textId="77777777" w:rsidR="00A154AC" w:rsidRDefault="00A154AC" w:rsidP="00AF2367">
      <w:r>
        <w:separator/>
      </w:r>
    </w:p>
  </w:footnote>
  <w:footnote w:type="continuationSeparator" w:id="0">
    <w:p w14:paraId="26EDF286" w14:textId="77777777" w:rsidR="00A154AC" w:rsidRDefault="00A154AC" w:rsidP="00AF23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CFDAC6" w14:textId="77777777" w:rsidR="00564356" w:rsidRDefault="00564356">
    <w:pPr>
      <w:pStyle w:val="Header"/>
    </w:pPr>
    <w:r>
      <w:rPr>
        <w:noProof/>
      </w:rPr>
      <w:drawing>
        <wp:inline distT="0" distB="0" distL="0" distR="0" wp14:anchorId="14D74F20" wp14:editId="23033BEB">
          <wp:extent cx="2200940" cy="700495"/>
          <wp:effectExtent l="0" t="0" r="8890" b="4445"/>
          <wp:docPr id="7" name="Picture 7" descr="http://oasis.iaea.org/OASIS/OASIS/MTCD/References/VID/IAEA_LOGO_NEW_JPG/With_slogan_horizontal/IAEA-Logo-E_horizontal_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oasis.iaea.org/OASIS/OASIS/MTCD/References/VID/IAEA_LOGO_NEW_JPG/With_slogan_horizontal/IAEA-Logo-E_horizontal_k.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26214" cy="772193"/>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5D02CE"/>
    <w:multiLevelType w:val="hybridMultilevel"/>
    <w:tmpl w:val="50AC2D04"/>
    <w:lvl w:ilvl="0" w:tplc="7DD6E1E2">
      <w:start w:val="28"/>
      <w:numFmt w:val="bullet"/>
      <w:lvlText w:val=""/>
      <w:lvlJc w:val="left"/>
      <w:pPr>
        <w:ind w:left="720" w:hanging="360"/>
      </w:pPr>
      <w:rPr>
        <w:rFonts w:ascii="Symbol" w:eastAsiaTheme="minorHAns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225999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7227"/>
    <w:rsid w:val="00015CAC"/>
    <w:rsid w:val="00090267"/>
    <w:rsid w:val="000F7710"/>
    <w:rsid w:val="00112CA4"/>
    <w:rsid w:val="0015662E"/>
    <w:rsid w:val="00161982"/>
    <w:rsid w:val="004F3D24"/>
    <w:rsid w:val="00564356"/>
    <w:rsid w:val="006040C9"/>
    <w:rsid w:val="008942DA"/>
    <w:rsid w:val="009328ED"/>
    <w:rsid w:val="009858BC"/>
    <w:rsid w:val="009A7A36"/>
    <w:rsid w:val="00A154AC"/>
    <w:rsid w:val="00AF2367"/>
    <w:rsid w:val="00B621AC"/>
    <w:rsid w:val="00BB239A"/>
    <w:rsid w:val="00BF7098"/>
    <w:rsid w:val="00C14FA2"/>
    <w:rsid w:val="00C705C3"/>
    <w:rsid w:val="00C97227"/>
    <w:rsid w:val="00CD2B3D"/>
    <w:rsid w:val="00E3227E"/>
    <w:rsid w:val="00F26F9E"/>
    <w:rsid w:val="00FD028F"/>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C244F8"/>
  <w15:docId w15:val="{6C5754F9-156E-43C8-B87E-37570FCE5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7227"/>
    <w:pPr>
      <w:autoSpaceDE w:val="0"/>
      <w:autoSpaceDN w:val="0"/>
      <w:adjustRightInd w:val="0"/>
      <w:spacing w:after="0" w:line="240" w:lineRule="auto"/>
    </w:pPr>
    <w:rPr>
      <w:rFonts w:ascii="Times New Roman" w:hAnsi="Times New Roman" w:cs="Times New Roman"/>
      <w:sz w:val="24"/>
      <w:szCs w:val="24"/>
    </w:rPr>
  </w:style>
  <w:style w:type="paragraph" w:styleId="Heading1">
    <w:name w:val="heading 1"/>
    <w:basedOn w:val="Normal"/>
    <w:next w:val="Normal"/>
    <w:link w:val="Heading1Char"/>
    <w:uiPriority w:val="99"/>
    <w:qFormat/>
    <w:rsid w:val="00C97227"/>
    <w:pPr>
      <w:outlineLvl w:val="0"/>
    </w:pPr>
  </w:style>
  <w:style w:type="paragraph" w:styleId="Heading8">
    <w:name w:val="heading 8"/>
    <w:basedOn w:val="Normal"/>
    <w:next w:val="Normal"/>
    <w:link w:val="Heading8Char"/>
    <w:uiPriority w:val="99"/>
    <w:qFormat/>
    <w:rsid w:val="00C97227"/>
    <w:pPr>
      <w:outlineLvl w:val="7"/>
    </w:pPr>
  </w:style>
  <w:style w:type="paragraph" w:styleId="Heading9">
    <w:name w:val="heading 9"/>
    <w:basedOn w:val="Normal"/>
    <w:next w:val="Normal"/>
    <w:link w:val="Heading9Char"/>
    <w:uiPriority w:val="99"/>
    <w:qFormat/>
    <w:rsid w:val="00C97227"/>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C97227"/>
    <w:rPr>
      <w:rFonts w:ascii="Times New Roman" w:hAnsi="Times New Roman" w:cs="Times New Roman"/>
      <w:sz w:val="24"/>
      <w:szCs w:val="24"/>
    </w:rPr>
  </w:style>
  <w:style w:type="character" w:customStyle="1" w:styleId="Heading8Char">
    <w:name w:val="Heading 8 Char"/>
    <w:basedOn w:val="DefaultParagraphFont"/>
    <w:link w:val="Heading8"/>
    <w:uiPriority w:val="99"/>
    <w:rsid w:val="00C97227"/>
    <w:rPr>
      <w:rFonts w:ascii="Times New Roman" w:hAnsi="Times New Roman" w:cs="Times New Roman"/>
      <w:sz w:val="24"/>
      <w:szCs w:val="24"/>
    </w:rPr>
  </w:style>
  <w:style w:type="character" w:customStyle="1" w:styleId="Heading9Char">
    <w:name w:val="Heading 9 Char"/>
    <w:basedOn w:val="DefaultParagraphFont"/>
    <w:link w:val="Heading9"/>
    <w:uiPriority w:val="99"/>
    <w:rsid w:val="00C97227"/>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C97227"/>
    <w:rPr>
      <w:rFonts w:ascii="Tahoma" w:hAnsi="Tahoma" w:cs="Tahoma"/>
      <w:sz w:val="16"/>
      <w:szCs w:val="16"/>
    </w:rPr>
  </w:style>
  <w:style w:type="character" w:customStyle="1" w:styleId="BalloonTextChar">
    <w:name w:val="Balloon Text Char"/>
    <w:basedOn w:val="DefaultParagraphFont"/>
    <w:link w:val="BalloonText"/>
    <w:uiPriority w:val="99"/>
    <w:semiHidden/>
    <w:rsid w:val="00C97227"/>
    <w:rPr>
      <w:rFonts w:ascii="Tahoma" w:hAnsi="Tahoma" w:cs="Tahoma"/>
      <w:sz w:val="16"/>
      <w:szCs w:val="16"/>
    </w:rPr>
  </w:style>
  <w:style w:type="paragraph" w:styleId="Header">
    <w:name w:val="header"/>
    <w:basedOn w:val="Normal"/>
    <w:link w:val="HeaderChar"/>
    <w:unhideWhenUsed/>
    <w:rsid w:val="00AF2367"/>
    <w:pPr>
      <w:tabs>
        <w:tab w:val="center" w:pos="4513"/>
        <w:tab w:val="right" w:pos="9026"/>
      </w:tabs>
    </w:pPr>
  </w:style>
  <w:style w:type="character" w:customStyle="1" w:styleId="HeaderChar">
    <w:name w:val="Header Char"/>
    <w:basedOn w:val="DefaultParagraphFont"/>
    <w:link w:val="Header"/>
    <w:uiPriority w:val="99"/>
    <w:rsid w:val="00AF2367"/>
    <w:rPr>
      <w:rFonts w:ascii="Times New Roman" w:hAnsi="Times New Roman" w:cs="Times New Roman"/>
      <w:sz w:val="24"/>
      <w:szCs w:val="24"/>
    </w:rPr>
  </w:style>
  <w:style w:type="paragraph" w:styleId="Footer">
    <w:name w:val="footer"/>
    <w:basedOn w:val="Normal"/>
    <w:link w:val="FooterChar"/>
    <w:uiPriority w:val="99"/>
    <w:unhideWhenUsed/>
    <w:rsid w:val="00AF2367"/>
    <w:pPr>
      <w:tabs>
        <w:tab w:val="center" w:pos="4513"/>
        <w:tab w:val="right" w:pos="9026"/>
      </w:tabs>
    </w:pPr>
  </w:style>
  <w:style w:type="character" w:customStyle="1" w:styleId="FooterChar">
    <w:name w:val="Footer Char"/>
    <w:basedOn w:val="DefaultParagraphFont"/>
    <w:link w:val="Footer"/>
    <w:uiPriority w:val="99"/>
    <w:rsid w:val="00AF2367"/>
    <w:rPr>
      <w:rFonts w:ascii="Times New Roman" w:hAnsi="Times New Roman" w:cs="Times New Roman"/>
      <w:sz w:val="24"/>
      <w:szCs w:val="24"/>
    </w:rPr>
  </w:style>
  <w:style w:type="character" w:styleId="Hyperlink">
    <w:name w:val="Hyperlink"/>
    <w:basedOn w:val="DefaultParagraphFont"/>
    <w:semiHidden/>
    <w:rsid w:val="00161982"/>
    <w:rPr>
      <w:color w:val="auto"/>
      <w:u w:val="none"/>
    </w:rPr>
  </w:style>
  <w:style w:type="paragraph" w:styleId="Title">
    <w:name w:val="Title"/>
    <w:basedOn w:val="Normal"/>
    <w:next w:val="Normal"/>
    <w:link w:val="TitleChar"/>
    <w:uiPriority w:val="10"/>
    <w:qFormat/>
    <w:rsid w:val="0056435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4356"/>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B621AC"/>
    <w:rPr>
      <w:b/>
      <w:bCs/>
    </w:rPr>
  </w:style>
  <w:style w:type="paragraph" w:styleId="ListParagraph">
    <w:name w:val="List Paragraph"/>
    <w:basedOn w:val="Normal"/>
    <w:uiPriority w:val="34"/>
    <w:qFormat/>
    <w:rsid w:val="009858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eader" Target="header1.xml"/></Relationships>
</file>

<file path=word/_rels/footer3.xml.rels><?xml version="1.0" encoding="UTF-8" standalone="yes"?>
<Relationships xmlns="http://schemas.openxmlformats.org/package/2006/relationships"><Relationship Id="rId1" Type="http://schemas.openxmlformats.org/officeDocument/2006/relationships/hyperlink" Target="https://www.iaea.org/technicalcooperatio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3</Pages>
  <Words>854</Words>
  <Characters>4874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IAEA</Company>
  <LinksUpToDate>false</LinksUpToDate>
  <CharactersWithSpaces>5717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Ticevic, Sabina</dc:creator>
  <cp:lastModifiedBy>Andrés Arau</cp:lastModifiedBy>
  <cp:revision>4</cp:revision>
  <dcterms:created xsi:type="dcterms:W3CDTF">2023-10-12T09:05:00Z</dcterms:created>
  <dcterms:modified xsi:type="dcterms:W3CDTF">2023-10-16T14:07:00Z</dcterms:modified>
</cp:coreProperties>
</file>