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60"/>
      </w:pPr>
      <w:r>
        <w:rPr>
          <w:rFonts w:ascii="Calibri Light" w:cs="Calibri Light" w:eastAsia="Calibri Light" w:hAnsi="Calibri Light"/>
          <w:b/>
          <w:bCs/>
          <w:color w:val="4A3AA8"/>
          <w:sz w:val="88"/>
          <w:szCs w:val="88"/>
        </w:rPr>
        <w:t xml:space="preserve">Nia</w:t>
      </w:r>
    </w:p>
    <w:p>
      <w:pPr>
        <w:pBdr>
          <w:bottom w:val="single" w:color="4A3AA8" w:sz="12" w:space="10"/>
        </w:pBdr>
        <w:spacing w:after="200"/>
      </w:pPr>
      <w:r>
        <w:rPr>
          <w:rFonts w:ascii="Calibri Light" w:cs="Calibri Light" w:eastAsia="Calibri Light" w:hAnsi="Calibri Light"/>
          <w:color w:val="1A1A1A"/>
          <w:sz w:val="40"/>
          <w:szCs w:val="40"/>
        </w:rPr>
        <w:t xml:space="preserve">Descripción técnica de la solución</w:t>
      </w:r>
    </w:p>
    <w:p>
      <w:pPr>
        <w:spacing w:after="120" w:before="240"/>
      </w:pPr>
      <w:r>
        <w:rPr>
          <w:color w:val="5B6072"/>
          <w:sz w:val="24"/>
          <w:szCs w:val="24"/>
        </w:rPr>
        <w:t xml:space="preserve">Agente conversacional para el portal de información mercantil de Infonif</w:t>
      </w:r>
    </w:p>
    <w:p>
      <w:pPr>
        <w:spacing w:after="3200"/>
      </w:pPr>
      <w:r>
        <w:rPr>
          <w:i/>
          <w:iCs/>
          <w:color w:val="5B6072"/>
          <w:sz w:val="21"/>
          <w:szCs w:val="21"/>
        </w:rPr>
        <w:t xml:space="preserve">Qué es, cómo está montada y por qué cada pieza está donde está. Para alguien técnico que no ha visto el código.</w:t>
      </w:r>
    </w:p>
    <w:p>
      <w:pPr>
        <w:spacing w:after="40"/>
      </w:pPr>
      <w:r>
        <w:rPr>
          <w:b/>
          <w:bCs/>
          <w:color w:val="1A1A1A"/>
          <w:sz w:val="22"/>
          <w:szCs w:val="22"/>
        </w:rPr>
        <w:t xml:space="preserve">Gedesco</w:t>
      </w:r>
    </w:p>
    <w:p>
      <w:r>
        <w:rPr>
          <w:color w:val="5B6072"/>
          <w:sz w:val="20"/>
          <w:szCs w:val="20"/>
        </w:rPr>
        <w:t xml:space="preserve">Agosto de 2026</w:t>
      </w:r>
    </w:p>
    <w:p>
      <w:r>
        <w:br w:type="page"/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El problema</w:t>
      </w:r>
    </w:p>
    <w:p>
      <w:pPr>
        <w:spacing w:after="160" w:line="300"/>
        <w:jc w:val="both"/>
      </w:pPr>
      <w:r>
        <w:t xml:space="preserve">Comprar un listado segmentado en Infonif hoy exige que el usuario traduzca lo que quiere al vocabulario del sistema: encontrar los códigos CNAE, dar con los filtros, entender qué campos hay y calcular qué va a costar. El formulario es correcto; el problema es que </w:t>
      </w:r>
      <w:r>
        <w:rPr>
          <w:b/>
          <w:bCs/>
        </w:rPr>
        <w:t xml:space="preserve">el usuario no piensa en CNAE, piensa en «panaderías»</w:t>
      </w:r>
      <w:r>
        <w:t xml:space="preserve">.</w:t>
      </w:r>
    </w:p>
    <w:p>
      <w:pPr>
        <w:spacing w:after="160" w:line="300"/>
        <w:jc w:val="both"/>
      </w:pPr>
      <w:r>
        <w:t xml:space="preserve">Nia hace esa traducción. El usuario describe lo que busca en su idioma y ella resuelve los códigos, cuenta el segmento contra los datos reales y da el precio exacto — todo dentro de una conversación.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Lo que no es</w:t>
      </w:r>
    </w:p>
    <w:p>
      <w:pPr>
        <w:spacing w:after="160" w:line="300"/>
        <w:jc w:val="both"/>
      </w:pPr>
      <w:r>
        <w:t xml:space="preserve">No es un chatbot que responde de memoria. </w:t>
      </w:r>
      <w:r>
        <w:rPr>
          <w:b/>
          <w:bCs/>
        </w:rPr>
        <w:t xml:space="preserve">No emite ni una cifra que no venga de una consulta hecha en ese mismo turno.</w:t>
      </w:r>
      <w:r>
        <w:t xml:space="preserve"> Si no hay dato, lo dice.</w:t>
      </w:r>
    </w:p>
    <w:p>
      <w:pPr>
        <w:spacing w:after="160" w:line="300"/>
        <w:jc w:val="both"/>
      </w:pPr>
      <w:r>
        <w:t xml:space="preserve">Tampoco reemplaza al portal. Es un acompañante: se embebe con una etiqueta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&lt;script&gt;</w:t>
      </w:r>
      <w:r>
        <w:t xml:space="preserve"> y el sitio actual no se toca.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Arquitectura</w:t>
      </w:r>
    </w:p>
    <w:p>
      <w:pPr>
        <w:spacing w:after="160" w:line="300"/>
        <w:jc w:val="both"/>
      </w:pPr>
      <w:r>
        <w:t xml:space="preserve">Un </w:t>
      </w:r>
      <w:r>
        <w:rPr>
          <w:i/>
          <w:iCs/>
        </w:rPr>
        <w:t xml:space="preserve">sidecar</w:t>
      </w:r>
      <w:r>
        <w:t xml:space="preserve">. Nada de lo existente se modifica salvo tres líneas de ASP para incluir el script.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Navegador                     Servidor Nia (Node 22)        Infonif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─────────                     ──────────────────────        ───────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widget (Shadow DOM) ─HTTPS─►  API Fastify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├─ bucle del agente ─────►  Claude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│                            (Anthropic)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└─ capa de datos ────────►  bbdd-api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       │                     .infonif.es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       └─ Redis (local)</w:t>
      </w:r>
    </w:p>
    <w:p>
      <w:pPr>
        <w:spacing w:after="160" w:line="300"/>
        <w:jc w:val="both"/>
      </w:pPr>
      <w:r>
        <w:rPr>
          <w:b/>
          <w:bCs/>
        </w:rPr>
        <w:t xml:space="preserve">API</w:t>
      </w:r>
      <w:r>
        <w:t xml:space="preserve"> — Node 22, TypeScript estricto, Fastify. Escucha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:3000</w:t>
      </w:r>
      <w:r>
        <w:t xml:space="preserve"> y se publica por HTTPS detrás del nginx que ya existe, colgada de un prefijo de ruta. No necesita dominio ni certificado propios.</w:t>
      </w:r>
    </w:p>
    <w:p>
      <w:pPr>
        <w:spacing w:after="160" w:line="300"/>
        <w:jc w:val="both"/>
      </w:pPr>
      <w:r>
        <w:rPr>
          <w:b/>
          <w:bCs/>
        </w:rPr>
        <w:t xml:space="preserve">Widget</w:t>
      </w:r>
      <w:r>
        <w:t xml:space="preserve"> — React 18 compilado a un único fichero de ~167 KB que sirve el propio API. Se monta dentro de un </w:t>
      </w:r>
      <w:r>
        <w:rPr>
          <w:b/>
          <w:bCs/>
        </w:rPr>
        <w:t xml:space="preserve">Shadow DOM</w:t>
      </w:r>
      <w:r>
        <w:t xml:space="preserve">: ni hereda el CSS del portal ni se lo impone. Eso importa porque se inyecta en páginas ASP con años de estilos encima. React viaja dentro del bundle; el portal no necesita cargar nada.</w:t>
      </w:r>
    </w:p>
    <w:p>
      <w:pPr>
        <w:spacing w:after="160" w:line="300"/>
        <w:jc w:val="both"/>
      </w:pPr>
      <w:r>
        <w:rPr>
          <w:b/>
          <w:bCs/>
        </w:rPr>
        <w:t xml:space="preserve">Redis</w:t>
      </w:r>
      <w:r>
        <w:t xml:space="preserve"> — conversaciones, cachés e idempotencia. Local a la máquina.</w:t>
      </w:r>
    </w:p>
    <w:p>
      <w:pPr>
        <w:spacing w:after="160" w:line="300"/>
        <w:jc w:val="both"/>
      </w:pPr>
      <w:r>
        <w:rPr>
          <w:b/>
          <w:bCs/>
        </w:rPr>
        <w:t xml:space="preserve">SQL Server no se usa</w:t>
      </w:r>
      <w:r>
        <w:t xml:space="preserve"> en la prueba de concepto. Todo sale del API REST que ya alimenta al buscador actual.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Separación de capas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datos/     Infonif, Elastic, SQL Server. NO conoce el modelo de lenguaje.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agente/    bucle, herramientas, SSE, prompts. Llama a datos/ por funciones.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comun/     configuración, registro, errores.</w:t>
      </w:r>
    </w:p>
    <w:p>
      <w:pPr>
        <w:spacing w:after="160" w:line="300"/>
        <w:jc w:val="both"/>
      </w:pPr>
      <w:r>
        <w:t xml:space="preserve">La regla es unidireccional: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agente/</w:t>
      </w:r>
      <w:r>
        <w:t xml:space="preserve"> importa de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, nunca al revés. Si una herramienta necesita lógica de negocio, esa lógica vive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; el ejecutor solo orquesta. Así el cálculo de precios o la verificación de derechos se pueden probar sin levantar un modelo.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Cómo funciona un turno</w:t>
      </w:r>
    </w:p>
    <w:p>
      <w:pPr>
        <w:spacing w:after="160" w:line="300"/>
        <w:jc w:val="both"/>
      </w:pPr>
      <w:r>
        <w:t xml:space="preserve">El agente </w:t>
      </w:r>
      <w:r>
        <w:rPr>
          <w:b/>
          <w:bCs/>
        </w:rPr>
        <w:t xml:space="preserve">no tiene un flujo predefinido</w:t>
      </w:r>
      <w:r>
        <w:t xml:space="preserve">. Es un bucle de herramientas: el modelo decide qué necesita saber, el código lo ejecuta y le devuelve el resultado, y así hasta que puede responder. Tope de 8 vueltas.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usuario: «panaderías en Madrid»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├─ vuelta 1: pide resolver_actividad("panaderías")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            → 1071 Fabricación de pan…, 1072 Galletas…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├─ vuelta 2: pide construir_segmento({cnae, provincia})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            → 582 empresas, embudo por criterio, campos disponibles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└─ vuelta 3: sin más herramientas → redacta la respuesta</w:t>
      </w:r>
    </w:p>
    <w:p>
      <w:pPr>
        <w:spacing w:after="160" w:line="300"/>
        <w:jc w:val="both"/>
      </w:pPr>
      <w:r>
        <w:t xml:space="preserve">Lo relevante es que </w:t>
      </w:r>
      <w:r>
        <w:rPr>
          <w:b/>
          <w:bCs/>
        </w:rPr>
        <w:t xml:space="preserve">la segunda llamada depende del resultado de la primera</w:t>
      </w:r>
      <w:r>
        <w:t xml:space="preserve">. Ningún formulario hace eso.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El bucle es propio</w:t>
      </w:r>
    </w:p>
    <w:p>
      <w:pPr>
        <w:spacing w:after="160" w:line="300"/>
        <w:jc w:val="both"/>
      </w:pPr>
      <w:r>
        <w:t xml:space="preserve">Sin LangChain, LangGraph ni ningún framework de agentes. Son unas 150 líneas. La razón: el protocolo de progreso —enseñar al usuario qué está pasando mientras pasa— es el diferenciador del producto, y los frameworks abstraen justo esa capa.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Las herramientas</w:t>
      </w:r>
    </w:p>
    <w:p>
      <w:pPr>
        <w:spacing w:after="160" w:line="300"/>
        <w:jc w:val="both"/>
      </w:pPr>
      <w:r>
        <w:t xml:space="preserve">Nueve, con nombre en español porque su descripción forma parte del prompt: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Herramienta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resolver_actividad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«logística» → códigos CNAE, con empresas por código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construir_segmento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cuenta un segmento y devuelve el embudo por criterio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cotizar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precio exacto del listado y si compensa un plan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buscar_empresa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busca por nombre o NIF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obtener_ficha_publica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datos públicos de una empresa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obtener_magnitudes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cifras financieras, sujetas a derechos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comparar_empresas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compara varias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consultar_saldo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registros disponibles del plan del usuario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recomendar_producto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qué informe cubre lo que se pide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Cada una valida su entrada con </w:t>
      </w:r>
      <w:r>
        <w:rPr>
          <w:b/>
          <w:bCs/>
        </w:rPr>
        <w:t xml:space="preserve">Zod en modo estricto</w:t>
      </w:r>
      <w:r>
        <w:t xml:space="preserve">. El modelo nunca emite SQL ni DSL de Elasticsearch: emite un objeto JSON validado que el código compila a consulta. Un modelo que escribe consultas es un modelo que puede escribir cualquier consulta.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Doble canal</w:t>
      </w:r>
    </w:p>
    <w:p>
      <w:pPr>
        <w:spacing w:after="160" w:line="300"/>
        <w:jc w:val="both"/>
      </w:pPr>
      <w:r>
        <w:t xml:space="preserve">Cada herramienta devuelve dos cosas distintas: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paraElModelo</w:t>
      </w:r>
      <w:r>
        <w:t xml:space="preserve"> — lo que entra en el contexto para que razone.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paraLaUI</w:t>
      </w:r>
      <w:r>
        <w:t xml:space="preserve"> — la tarjeta que ve el usuario.</w:t>
      </w:r>
    </w:p>
    <w:p>
      <w:pPr>
        <w:spacing w:after="160" w:line="300"/>
        <w:jc w:val="both"/>
      </w:pPr>
      <w:r>
        <w:t xml:space="preserve">La separación es deliberada: la tarjeta puede llevar detalle que el modelo no necesita procesar, y el contexto puede llevar avisos que no hay que enseñar.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El protocolo de progreso</w:t>
      </w:r>
    </w:p>
    <w:p>
      <w:pPr>
        <w:spacing w:after="160" w:line="300"/>
        <w:jc w:val="both"/>
      </w:pPr>
      <w:r>
        <w:t xml:space="preserve">Una consulta puede tardar quince segundos entre resolver CNAE y contar el segmento. Una rueda girando quince segundos es una eternidad; ver qué está haciendo, no.</w:t>
      </w:r>
    </w:p>
    <w:p>
      <w:pPr>
        <w:spacing w:after="160" w:line="300"/>
        <w:jc w:val="both"/>
      </w:pPr>
      <w:r>
        <w:t xml:space="preserve">La respuesta va por </w:t>
      </w:r>
      <w:r>
        <w:rPr>
          <w:b/>
          <w:bCs/>
        </w:rPr>
        <w:t xml:space="preserve">Server-Sent Events</w:t>
      </w:r>
      <w:r>
        <w:t xml:space="preserve">, con seis tipos de evento: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Para qué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inicio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identificadores de conversación y turno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status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un paso de la línea de tiempo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texto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fragmento de la respuesta, según se genera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tarjeta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resultado estructurado (segmento, ficha, confirmación)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fin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motivo de parada y consumo de tokens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error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fallo con código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Los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status</w:t>
      </w:r>
      <w:r>
        <w:t xml:space="preserve"> </w:t>
      </w:r>
      <w:r>
        <w:rPr>
          <w:b/>
          <w:bCs/>
        </w:rPr>
        <w:t xml:space="preserve">se actualizan en sitio por su identificador</w:t>
      </w:r>
      <w:r>
        <w:t xml:space="preserve">, no se acumulan: una consulta con cuatro herramientas dejaría veinte renglones de ruido si cada actualización fuese un mensaje nuevo. Las tarjetas igual — llevan una clave, y una tarjeta con la misma clave reemplaza a la anterior en vez de apilarse.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Reglas que están en el código, no en el prompt</w:t>
      </w:r>
    </w:p>
    <w:p>
      <w:pPr>
        <w:spacing w:after="160" w:line="300"/>
        <w:jc w:val="both"/>
      </w:pPr>
      <w:r>
        <w:t xml:space="preserve">Esta distinción es la más importante del diseño. </w:t>
      </w:r>
      <w:r>
        <w:rPr>
          <w:b/>
          <w:bCs/>
        </w:rPr>
        <w:t xml:space="preserve">Un prompt no es un control de acceso.</w:t>
      </w:r>
      <w:r>
        <w:t xml:space="preserve"> Lo que no puede pasar, no pasa porque el código no lo permite.</w:t>
      </w:r>
    </w:p>
    <w:p>
      <w:pPr>
        <w:spacing w:after="160" w:line="300"/>
        <w:jc w:val="both"/>
      </w:pPr>
      <w:r>
        <w:rPr>
          <w:b/>
          <w:bCs/>
        </w:rPr>
        <w:t xml:space="preserve">Los derechos se verifican dentro de la herramienta, antes de devolver el dato.</w:t>
      </w:r>
      <w:r>
        <w:t xml:space="preserve"> Si el usuario no tiene acceso, la herramienta devuelve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{ requiereCompra: true, skuSugerido, precio }</w:t>
      </w:r>
      <w:r>
        <w:t xml:space="preserve">, y </w:t>
      </w:r>
      <w:r>
        <w:rPr>
          <w:b/>
          <w:bCs/>
        </w:rPr>
        <w:t xml:space="preserve">el dato de pago nunca entra en el contexto del modelo</w:t>
      </w:r>
      <w:r>
        <w:t xml:space="preserve">. No se le pide que «no lo mencione»: no lo tiene.</w:t>
      </w:r>
    </w:p>
    <w:p>
      <w:pPr>
        <w:spacing w:after="160" w:line="300"/>
        <w:jc w:val="both"/>
      </w:pPr>
      <w:r>
        <w:rPr>
          <w:b/>
          <w:bCs/>
        </w:rPr>
        <w:t xml:space="preserve">El agente no ejecuta cobros.</w:t>
      </w:r>
      <w:r>
        <w:t xml:space="preserve"> Puede preparar una compra y devolver una tarjeta de confirmación con su URL de pago. Pulsa el usuario. Abona el webhook.</w:t>
      </w:r>
    </w:p>
    <w:p>
      <w:pPr>
        <w:spacing w:after="160" w:line="300"/>
        <w:jc w:val="both"/>
      </w:pPr>
      <w:r>
        <w:rPr>
          <w:b/>
          <w:bCs/>
        </w:rPr>
        <w:t xml:space="preserve">El precio se calcula en servidor y sale siempre del `_count` del API</w:t>
      </w:r>
      <w:r>
        <w:t xml:space="preserve">, que es exacto. Nunca de una estimación. El frontend actual calcula el importe en el navegador y lo manda como parámetro; aquí no, porque el agente no puede fiarse de un precio que decide el cliente.</w:t>
      </w:r>
    </w:p>
    <w:p>
      <w:pPr>
        <w:spacing w:after="160" w:line="300"/>
        <w:jc w:val="both"/>
      </w:pPr>
      <w:r>
        <w:rPr>
          <w:b/>
          <w:bCs/>
        </w:rPr>
        <w:t xml:space="preserve">Nada de recomendaciones de crédito.</w:t>
      </w:r>
      <w:r>
        <w:t xml:space="preserve"> Es el producto que se vende (Informe de Riesgo) y además una decisión automatizada regulada por el artículo 22 del RGPD. Respuesta programada, no criterio del modelo.</w:t>
      </w:r>
    </w:p>
    <w:p>
      <w:pPr>
        <w:spacing w:after="160" w:line="300"/>
        <w:jc w:val="both"/>
      </w:pPr>
      <w:r>
        <w:rPr>
          <w:b/>
          <w:bCs/>
        </w:rPr>
        <w:t xml:space="preserve">Máximo cinco empresas de vista previa.</w:t>
      </w:r>
      <w:r>
        <w:t xml:space="preserve"> El aviso legal del sitio prohíbe reproducir el contenido; el conjunto completo va por descarga tras la compra.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Resolución semántica</w:t>
      </w:r>
    </w:p>
    <w:p>
      <w:pPr>
        <w:spacing w:after="160" w:line="300"/>
        <w:jc w:val="both"/>
      </w:pPr>
      <w:r>
        <w:t xml:space="preserve">Traducir «bodegas» o «talleres» a CNAE se hace en dos pasos: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Términos curados</w:t>
      </w:r>
      <w:r>
        <w:t xml:space="preserve"> — un léxico escrito a mano para lo frecuente. Resuelve sin tocar el modelo y de forma inmediata.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Embeddings</w:t>
      </w:r>
      <w:r>
        <w:t xml:space="preserve"> — si el léxico no acierta, búsqueda vectorial sobre el catálogo CNAE completo.</w:t>
      </w:r>
    </w:p>
    <w:p>
      <w:pPr>
        <w:spacing w:after="160" w:line="300"/>
        <w:jc w:val="both"/>
      </w:pPr>
      <w:r>
        <w:t xml:space="preserve">Los vectores se generan en tiempo de compilación con un modelo local (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multilingual-e5-small</w:t>
      </w:r>
      <w:r>
        <w:t xml:space="preserve">, 384 dimensiones) y </w:t>
      </w:r>
      <w:r>
        <w:rPr>
          <w:b/>
          <w:bCs/>
        </w:rPr>
        <w:t xml:space="preserve">van versionados en el repositorio</w:t>
      </w:r>
      <w:r>
        <w:t xml:space="preserve">: no hay que regenerarlos al desplegar. La búsqueda es en memoria sobre unos 600 documentos.</w:t>
      </w:r>
    </w:p>
    <w:p>
      <w:pPr>
        <w:spacing w:after="160" w:line="300"/>
        <w:jc w:val="both"/>
      </w:pPr>
      <w:r>
        <w:t xml:space="preserve">Si el modelo semántico no está disponible, el sistema </w:t>
      </w:r>
      <w:r>
        <w:rPr>
          <w:b/>
          <w:bCs/>
        </w:rPr>
        <w:t xml:space="preserve">sigue funcionando</w:t>
      </w:r>
      <w:r>
        <w:t xml:space="preserve"> con los términos curados. Se degrada, no se cae.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Sesión y seguridad</w:t>
      </w:r>
    </w:p>
    <w:p>
      <w:pPr>
        <w:spacing w:after="160" w:line="300"/>
        <w:jc w:val="both"/>
      </w:pPr>
      <w:r>
        <w:t xml:space="preserve">El ASP acuña un token contra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POST /internal/mint</w:t>
      </w:r>
      <w:r>
        <w:t xml:space="preserve"> usando un secreto compartido y lo inyecta en la página. Es </w:t>
      </w:r>
      <w:r>
        <w:rPr>
          <w:b/>
          <w:bCs/>
        </w:rPr>
        <w:t xml:space="preserve">HMAC, dura 15 minutos</w:t>
      </w:r>
      <w:r>
        <w:t xml:space="preserve"> y lleva el identificador de usuario.</w:t>
      </w:r>
    </w:p>
    <w:p>
      <w:pPr>
        <w:spacing w:after="160" w:line="300"/>
        <w:jc w:val="both"/>
      </w:pPr>
      <w:r>
        <w:t xml:space="preserve">El widget nunca ve credenciales. El prefijo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/internal/</w:t>
      </w:r>
      <w:r>
        <w:t xml:space="preserve"> no se publica hacia fuera: se bloquea explícitamente en el nginx, porque el host por el que se publica Nia es público. CORS restringido al origen del portal.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Rendimiento</w:t>
      </w:r>
    </w:p>
    <w:p>
      <w:pPr>
        <w:spacing w:after="160" w:line="300"/>
        <w:jc w:val="both"/>
      </w:pPr>
      <w:r>
        <w:rPr>
          <w:b/>
          <w:bCs/>
        </w:rPr>
        <w:t xml:space="preserve">Caché con refresco en segundo plano</w:t>
      </w:r>
      <w:r>
        <w:t xml:space="preserve"> para lo que cambia poco. El resumen de Infonif tarda unos 26 segundos y solo cambia una vez al día, así que se sirve lo cacheado mientras se actualiza por detrás, con cerrojo en Redis para que no lo descarguen todos los nodos a la vez.</w:t>
      </w:r>
    </w:p>
    <w:p>
      <w:pPr>
        <w:spacing w:after="160" w:line="300"/>
        <w:jc w:val="both"/>
      </w:pPr>
      <w:r>
        <w:rPr>
          <w:b/>
          <w:bCs/>
        </w:rPr>
        <w:t xml:space="preserve">El catálogo de campos comprables se descarga en vivo</w:t>
      </w:r>
      <w:r>
        <w:t xml:space="preserve"> en lugar de estar copiado en el código. Ahí no envejecen etiquetas: envejecen </w:t>
      </w:r>
      <w:r>
        <w:rPr>
          <w:b/>
          <w:bCs/>
        </w:rPr>
        <w:t xml:space="preserve">precios</w:t>
      </w:r>
      <w:r>
        <w:t xml:space="preserve">, y un precio caducado es una factura mal emitida. Un cambio de precio queda registrado como aviso.</w:t>
      </w:r>
    </w:p>
    <w:p>
      <w:pPr>
        <w:spacing w:after="160" w:line="300"/>
        <w:jc w:val="both"/>
      </w:pPr>
      <w:r>
        <w:rPr>
          <w:b/>
          <w:bCs/>
        </w:rPr>
        <w:t xml:space="preserve">Caché de prompt</w:t>
      </w:r>
      <w:r>
        <w:t xml:space="preserve"> sobre el bloque de sistema, que es idéntico en todas las conversaciones.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Potencial: el resto de APIs de Infonif</w:t>
      </w:r>
    </w:p>
    <w:p>
      <w:pPr>
        <w:spacing w:after="160" w:line="300"/>
        <w:jc w:val="both"/>
      </w:pPr>
      <w:r>
        <w:t xml:space="preserve">Todo lo descrito hasta aquí se apoya en </w:t>
      </w:r>
      <w:r>
        <w:rPr>
          <w:b/>
          <w:bCs/>
        </w:rPr>
        <w:t xml:space="preserve">una sola fuente</w:t>
      </w:r>
      <w:r>
        <w:t xml:space="preserve">: el API REST que alimenta al buscador de bases de datos. Es la que hacía falta para la prueba de concepto, pero no es la única que existe.</w:t>
      </w:r>
    </w:p>
    <w:p>
      <w:pPr>
        <w:spacing w:after="160" w:line="300"/>
        <w:jc w:val="both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icif-apigw</w:t>
      </w:r>
      <w:r>
        <w:t xml:space="preserve"> es un API Gateway sobre AWS (Serverless, Node) con </w:t>
      </w:r>
      <w:r>
        <w:rPr>
          <w:b/>
          <w:bCs/>
        </w:rPr>
        <w:t xml:space="preserve">31 endpoints</w:t>
      </w:r>
      <w:r>
        <w:t xml:space="preserve"> ya en producción, agrupados en tres familias. Nia todavía no habla con ninguno. Merece la pena mirar qué desbloquearía cada una, porque el coste de integrarlas es bajo y lo que abren no lo es.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`/credito` — la pieza que falta para vender</w:t>
      </w:r>
    </w:p>
    <w:p>
      <w:pPr>
        <w:spacing w:after="160" w:line="300"/>
        <w:jc w:val="both"/>
      </w:pPr>
      <w:r>
        <w:t xml:space="preserve">Seis endpoints: consultar créditos, agregar créditos, historial, consumo del mes, saldo por producto y generación del 460.</w:t>
      </w:r>
    </w:p>
    <w:p>
      <w:pPr>
        <w:spacing w:after="160" w:line="300"/>
        <w:jc w:val="both"/>
      </w:pPr>
      <w:r>
        <w:t xml:space="preserve">Esto es, literalmente, </w:t>
      </w:r>
      <w:r>
        <w:rPr>
          <w:b/>
          <w:bCs/>
        </w:rPr>
        <w:t xml:space="preserve">lo que le falta a Nia para vender</w:t>
      </w:r>
      <w:r>
        <w:t xml:space="preserve">. Hoy la conversación sabe cotizar y sabe preparar una compra, pero el descuento del saldo todavía no está conectado con nada real. Aquí está el mecanismo de verdad, con su historial y su contabilidad.</w:t>
      </w:r>
    </w:p>
    <w:p>
      <w:pPr>
        <w:spacing w:after="160" w:line="300"/>
        <w:jc w:val="both"/>
      </w:pPr>
      <w:r>
        <w:t xml:space="preserve">Integrarlo convierte a Nia de «sabe cuánto cuesta» en «lo ha comprado», que es donde está el valor. Y no habría que inventar el modelo de cobro: es el mismo que ya usa el portal, con las mismas reglas y los mismos límites.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`/dato` — de contar empresas a conocerlas</w:t>
      </w:r>
    </w:p>
    <w:p>
      <w:pPr>
        <w:spacing w:after="160" w:line="300"/>
        <w:jc w:val="both"/>
      </w:pPr>
      <w:r>
        <w:t xml:space="preserve">Siete endpoints: razón social por NIF, perfil de empresa, actos del BORME, cargos, balance resumido, empresas del grupo y depósitos disponibles.</w:t>
      </w:r>
    </w:p>
    <w:p>
      <w:pPr>
        <w:spacing w:after="160" w:line="300"/>
        <w:jc w:val="both"/>
      </w:pPr>
      <w:r>
        <w:t xml:space="preserve">Nia hoy cuenta segmentos y cotiza listados. Con esto respondería a preguntas que ahora no puede tocar: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«¿Quién administra esta empresa?» → cargos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«¿Ha cambiado algo últimamente?» → actos del BORME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«¿De quién depende?» → empresas del grupo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«¿De qué años hay cuentas?» → depósitos disponibles</w:t>
      </w:r>
    </w:p>
    <w:p>
      <w:pPr>
        <w:spacing w:after="160" w:line="300"/>
        <w:jc w:val="both"/>
      </w:pPr>
      <w:r>
        <w:t xml:space="preserve">Son preguntas que un usuario hace de forma natural en mitad de una conversación sobre una empresa, y que hoy obligan a salirse de ella.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`/producto` — entregar lo que se compra</w:t>
      </w:r>
    </w:p>
    <w:p>
      <w:pPr>
        <w:spacing w:after="160" w:line="300"/>
        <w:jc w:val="both"/>
      </w:pPr>
      <w:r>
        <w:t xml:space="preserve">Diecisiete endpoints: solicitar y obtener RAI, informes, depósitos en PDF, titularidad real, partidas del depósito y el bloque RETIR (socios, depósitos, declaración de titularidad real).</w:t>
      </w:r>
    </w:p>
    <w:p>
      <w:pPr>
        <w:spacing w:after="160" w:line="300"/>
        <w:jc w:val="both"/>
      </w:pPr>
      <w:r>
        <w:t xml:space="preserve">Con esta familia el ciclo se cierra dentro del chat: el usuario pregunta, Nia recomienda el producto, lo compra y </w:t>
      </w:r>
      <w:r>
        <w:rPr>
          <w:b/>
          <w:bCs/>
        </w:rPr>
        <w:t xml:space="preserve">lo entrega</w:t>
      </w:r>
      <w:r>
        <w:t xml:space="preserve">, sin mandarlo a otra pantalla.</w:t>
      </w:r>
    </w:p>
    <w:p>
      <w:pPr>
        <w:spacing w:after="160" w:line="300"/>
        <w:jc w:val="both"/>
      </w:pPr>
      <w:r>
        <w:t xml:space="preserve">Con un matiz que se mantiene: que Nia pueda entregar un Informe de Riesgo no significa que pueda opinar sobre el riesgo. El informe lo produce el sistema; la valoración sigue sin ser criterio del modelo.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Dónde encajaría todo esto</w:t>
      </w:r>
    </w:p>
    <w:p>
      <w:pPr>
        <w:spacing w:after="160" w:line="300"/>
        <w:jc w:val="both"/>
      </w:pPr>
      <w:r>
        <w:t xml:space="preserve">Aquí es donde la separación de capas deja de ser una preferencia estética y empieza a pagar.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agente/  ──►  datos/  ──┬──►  bbdd-api.infonif.es     (integrado)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├──►  icif-apigw /dato        (pendiente)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├──►  icif-apigw /producto    (pendiente)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└──►  icif-apigw /credito     (pendiente)</w:t>
      </w:r>
    </w:p>
    <w:p>
      <w:pPr>
        <w:spacing w:after="160" w:line="300"/>
        <w:jc w:val="both"/>
      </w:pPr>
      <w:r>
        <w:t xml:space="preserve">Un API nuevo es </w:t>
      </w:r>
      <w:r>
        <w:rPr>
          <w:b/>
          <w:bCs/>
        </w:rPr>
        <w:t xml:space="preserve">un adaptador más en `datos/`</w:t>
      </w:r>
      <w:r>
        <w:t xml:space="preserve">. El bucle del agente no cambia, el protocolo SSE no cambia, el widget no cambia. Lo único que crece es el catálogo de herramientas, y cada herramienta nueva es un fichero con su esquema Zod y su ejecutor.</w:t>
      </w:r>
    </w:p>
    <w:p>
      <w:pPr>
        <w:spacing w:after="160" w:line="300"/>
        <w:jc w:val="both"/>
      </w:pPr>
      <w:r>
        <w:t xml:space="preserve">Las reglas siguen aplicando sin excepción: los derechos se verifican dentro de la herramienta, el precio se calcula en servidor y el agente sigue sin ejecutar cobros. Añadir una fuente no añade una vía de escape.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Lo que hay que resolver antes</w:t>
      </w:r>
    </w:p>
    <w:p>
      <w:pPr>
        <w:spacing w:after="160" w:line="300"/>
        <w:jc w:val="both"/>
      </w:pPr>
      <w:r>
        <w:t xml:space="preserve">Tres cosas, y ninguna es de diseño:</w:t>
      </w:r>
    </w:p>
    <w:p>
      <w:pPr>
        <w:spacing w:after="160" w:line="300"/>
        <w:jc w:val="both"/>
      </w:pPr>
      <w:r>
        <w:rPr>
          <w:b/>
          <w:bCs/>
        </w:rPr>
        <w:t xml:space="preserve">Autenticación.</w:t>
      </w:r>
      <w:r>
        <w:t xml:space="preserve"> No he encontrado configuración de autorizador ni de clave de API en el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serverless.yml</w:t>
      </w:r>
      <w:r>
        <w:t xml:space="preserve">. Hay que confirmar cómo se acredita quien llama y si ese mecanismo encaja con el puente de sesión que ya usa Nia.</w:t>
      </w:r>
    </w:p>
    <w:p>
      <w:pPr>
        <w:spacing w:after="160" w:line="300"/>
        <w:jc w:val="both"/>
      </w:pPr>
      <w:r>
        <w:rPr>
          <w:b/>
          <w:bCs/>
        </w:rPr>
        <w:t xml:space="preserve">Identidad del usuario.</w:t>
      </w:r>
      <w:r>
        <w:t xml:space="preserve"> Los endpoints de crédito operan sobre un usuario concreto. Hay que verificar que el identificador que viaja en el token de Nia es el mismo que espera el gateway.</w:t>
      </w:r>
    </w:p>
    <w:p>
      <w:pPr>
        <w:spacing w:after="160" w:line="300"/>
        <w:jc w:val="both"/>
      </w:pPr>
      <w:r>
        <w:rPr>
          <w:b/>
          <w:bCs/>
        </w:rPr>
        <w:t xml:space="preserve">Entorno.</w:t>
      </w:r>
      <w:r>
        <w:t xml:space="preserve"> El gateway está en AWS; Nia, en la red interna del cliente. Hay que comprobar la salida y la latencia, que no es lo mismo llamar a un servicio de la LAN que a uno en la nube.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Un canal más: MCP</w:t>
      </w:r>
    </w:p>
    <w:p>
      <w:pPr>
        <w:spacing w:after="160" w:line="300"/>
        <w:jc w:val="both"/>
      </w:pPr>
      <w:r>
        <w:t xml:space="preserve">Existe ya un análisis de viabilidad para exponer estas APIs como servidor </w:t>
      </w:r>
      <w:r>
        <w:rPr>
          <w:b/>
          <w:bCs/>
        </w:rPr>
        <w:t xml:space="preserve">MCP</w:t>
      </w:r>
      <w:r>
        <w:t xml:space="preserve">, de modo que asistentes de terceros —Claude Desktop, Cursor, Copilot, agentes propios de clientes— consulten la información mercantil de Infonif como herramientas.</w:t>
      </w:r>
    </w:p>
    <w:p>
      <w:pPr>
        <w:spacing w:after="160" w:line="300"/>
        <w:jc w:val="both"/>
      </w:pPr>
      <w:r>
        <w:t xml:space="preserve">Conviene señalar que </w:t>
      </w:r>
      <w:r>
        <w:rPr>
          <w:b/>
          <w:bCs/>
        </w:rPr>
        <w:t xml:space="preserve">eso y Nia no compiten: se complementan</w:t>
      </w:r>
      <w:r>
        <w:t xml:space="preserve">, y que el diseño de Nia ya lo tuvo en cuenta. MCP no aporta nada como protocolo </w:t>
      </w:r>
      <w:r>
        <w:rPr>
          <w:i/>
          <w:iCs/>
        </w:rPr>
        <w:t xml:space="preserve">interno</w:t>
      </w:r>
      <w:r>
        <w:t xml:space="preserve"> —entre el agente y la capa de datos, que son el mismo equipo y el mismo despliegue— pero sí como canal </w:t>
      </w:r>
      <w:r>
        <w:rPr>
          <w:b/>
          <w:bCs/>
        </w:rPr>
        <w:t xml:space="preserve">público</w:t>
      </w:r>
      <w:r>
        <w:t xml:space="preserve"> hacia fuera.</w:t>
      </w:r>
    </w:p>
    <w:p>
      <w:pPr>
        <w:spacing w:after="160" w:line="300"/>
        <w:jc w:val="both"/>
      </w:pPr>
      <w:r>
        <w:t xml:space="preserve">Son dos caras de la misma capa de datos: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2313"/>
        <w:gridCol w:w="3663"/>
        <w:gridCol w:w="3662"/>
      </w:tblGrid>
      <w:tr>
        <w:trPr>
          <w:tblHeader/>
        </w:trPr>
        <w:tc>
          <w:tcPr>
            <w:tcW w:type="dxa" w:w="2313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663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Nia</w:t>
            </w:r>
          </w:p>
        </w:tc>
        <w:tc>
          <w:tcPr>
            <w:tcW w:type="dxa" w:w="3662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MCP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Quién lo usa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el cliente final, en el portal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otro agente, en su herramienta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Qué aporta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conversación guiada y venta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acceso programático estándar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Monetización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créditos y euros, la de siempre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consumo medido por clave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Lo que se construya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 para Nia sirve a los dos. Y al revés: cada endpoint que se integre acerca las dos cosas a la vez.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Prioridad sugerida</w:t>
      </w:r>
    </w:p>
    <w:p>
      <w:pPr>
        <w:spacing w:after="160" w:line="300"/>
        <w:jc w:val="both"/>
      </w:pPr>
      <w:r>
        <w:t xml:space="preserve">Si hubiera que ordenarlo, este sería el orden por relación entre valor y esfuerzo: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`/credito`</w:t>
      </w:r>
      <w:r>
        <w:t xml:space="preserve"> — cierra el ciclo de venta, que es lo que convierte la demo en producto, y donde hoy queda trabajo pendiente en cualquier caso.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`/dato`</w:t>
      </w:r>
      <w:r>
        <w:t xml:space="preserve"> — el salto más visible en la conversación, y el de menor riesgo: son consultas de lectura, sin dinero de por medio.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`/producto`</w:t>
      </w:r>
      <w:r>
        <w:t xml:space="preserve"> — el de más recorrido comercial, pero también el que más depende de tener resuelto lo anterior.</w:t>
      </w:r>
    </w:p>
    <w:p>
      <w:pPr>
        <w:spacing w:after="160" w:line="300"/>
        <w:jc w:val="both"/>
      </w:pPr>
      <w:r>
        <w:t xml:space="preserve">Nada de esto está comprometido en el alcance actual. Se documenta porque la pregunta «¿y esto hasta dónde llega?» se va a hacer, y la respuesta corta es: la arquitectura no es el límite.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Estado</w:t>
      </w:r>
    </w:p>
    <w:p>
      <w:pPr>
        <w:spacing w:after="160" w:line="300"/>
        <w:jc w:val="both"/>
      </w:pPr>
      <w:r>
        <w:t xml:space="preserve">Prueba de concepto funcional. Consulta, segmentación y cotización funcionan de punta a punta contra los datos reales de Infonif.</w:t>
      </w:r>
    </w:p>
    <w:p>
      <w:pPr>
        <w:spacing w:after="160" w:line="300"/>
        <w:jc w:val="both"/>
      </w:pPr>
      <w:r>
        <w:t xml:space="preserve">Pendiente: el flujo de compra (Stripe en modo prueba y webhook de abono) y la integración con la ficha de empresa.</w:t>
      </w:r>
    </w:p>
    <w:p>
      <w:pPr>
        <w:spacing w:after="160" w:line="300"/>
        <w:jc w:val="both"/>
      </w:pPr>
      <w:r>
        <w:t xml:space="preserve">Pruebas obligatorias en las dos piezas donde un error cuesta dinero: el compilador de filtros y la verificación de derechos.</w:t>
      </w:r>
    </w:p>
    <w:sectPr>
      <w:footerReference w:type="default" r:id="rId7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072"/>
        <w:sz w:val="16"/>
        <w:szCs w:val="16"/>
      </w:rPr>
      <w:t xml:space="preserve">Nia · Descripción técnica    </w:t>
    </w:r>
    <w:r>
      <w:rPr>
        <w:color w:val="5B60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4A3A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4A3A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Nia — descripción técnica de la solución</dc:title>
  <dc:creator>Gedesco</dc:creator>
  <dc:description>Descripción técnica de la solución Nia para Infonif</dc:description>
  <cp:lastModifiedBy>Un-named</cp:lastModifiedBy>
  <cp:revision>1</cp:revision>
  <dcterms:created xsi:type="dcterms:W3CDTF">2026-08-17T13:15:58.304Z</dcterms:created>
  <dcterms:modified xsi:type="dcterms:W3CDTF">2026-08-17T13:15:58.304Z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