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81BA" w14:textId="77777777" w:rsidR="008444E5" w:rsidRPr="0072408B" w:rsidRDefault="00000000">
      <w:pPr>
        <w:spacing w:after="120"/>
        <w:jc w:val="center"/>
        <w:rPr>
          <w:sz w:val="22"/>
          <w:szCs w:val="24"/>
        </w:rPr>
      </w:pPr>
      <w:r w:rsidRPr="0072408B">
        <w:rPr>
          <w:sz w:val="44"/>
          <w:szCs w:val="24"/>
        </w:rPr>
        <w:t>A Role-Based Federated NLP Framework for Student Academic Risk Prediction and Faculty-Level Monitoring</w:t>
      </w:r>
    </w:p>
    <w:p w14:paraId="3305E0A7" w14:textId="77777777" w:rsidR="0058152B" w:rsidRDefault="0058152B" w:rsidP="0058152B">
      <w:pPr>
        <w:jc w:val="center"/>
        <w:sectPr w:rsidR="0058152B">
          <w:pgSz w:w="12240" w:h="15840"/>
          <w:pgMar w:top="979" w:right="907" w:bottom="979" w:left="907" w:header="288" w:footer="288" w:gutter="0"/>
          <w:cols w:space="360"/>
          <w:docGrid w:linePitch="360"/>
        </w:sectPr>
      </w:pPr>
    </w:p>
    <w:p w14:paraId="1F0BA619" w14:textId="1C5CE690" w:rsidR="0058152B" w:rsidRPr="0072408B" w:rsidRDefault="0058152B" w:rsidP="0058152B">
      <w:pPr>
        <w:jc w:val="center"/>
        <w:rPr>
          <w:sz w:val="18"/>
          <w:szCs w:val="18"/>
        </w:rPr>
      </w:pPr>
      <w:r w:rsidRPr="0072408B">
        <w:rPr>
          <w:sz w:val="18"/>
          <w:szCs w:val="18"/>
        </w:rPr>
        <w:t>1</w:t>
      </w:r>
      <w:r w:rsidRPr="0072408B">
        <w:rPr>
          <w:sz w:val="18"/>
          <w:szCs w:val="18"/>
          <w:vertAlign w:val="superscript"/>
        </w:rPr>
        <w:t>st</w:t>
      </w:r>
      <w:r w:rsidRPr="0072408B">
        <w:rPr>
          <w:sz w:val="18"/>
          <w:szCs w:val="18"/>
        </w:rPr>
        <w:t xml:space="preserve"> </w:t>
      </w:r>
      <w:proofErr w:type="spellStart"/>
      <w:r w:rsidR="00000000" w:rsidRPr="0072408B">
        <w:rPr>
          <w:sz w:val="18"/>
          <w:szCs w:val="18"/>
        </w:rPr>
        <w:t>Aravalam</w:t>
      </w:r>
      <w:proofErr w:type="spellEnd"/>
      <w:r w:rsidR="00000000" w:rsidRPr="0072408B">
        <w:rPr>
          <w:sz w:val="18"/>
          <w:szCs w:val="18"/>
        </w:rPr>
        <w:t xml:space="preserve"> Rajasekhar</w:t>
      </w:r>
      <w:r w:rsidR="00000000" w:rsidRPr="0072408B">
        <w:rPr>
          <w:sz w:val="18"/>
          <w:szCs w:val="18"/>
        </w:rPr>
        <w:br/>
        <w:t>Department of Computer</w:t>
      </w:r>
      <w:r w:rsidRPr="0072408B">
        <w:rPr>
          <w:sz w:val="18"/>
          <w:szCs w:val="18"/>
        </w:rPr>
        <w:t xml:space="preserve"> Applications</w:t>
      </w:r>
      <w:r w:rsidR="00000000" w:rsidRPr="0072408B">
        <w:rPr>
          <w:sz w:val="18"/>
          <w:szCs w:val="18"/>
        </w:rPr>
        <w:br/>
      </w:r>
      <w:r w:rsidRPr="0072408B">
        <w:rPr>
          <w:sz w:val="18"/>
          <w:szCs w:val="18"/>
        </w:rPr>
        <w:t>NIT Trichy</w:t>
      </w:r>
      <w:r w:rsidRPr="0072408B">
        <w:rPr>
          <w:sz w:val="18"/>
          <w:szCs w:val="18"/>
        </w:rPr>
        <w:br/>
        <w:t>205225006</w:t>
      </w:r>
      <w:r w:rsidRPr="0072408B">
        <w:rPr>
          <w:sz w:val="18"/>
          <w:szCs w:val="18"/>
        </w:rPr>
        <w:br/>
      </w:r>
      <w:r w:rsidRPr="0072408B">
        <w:rPr>
          <w:sz w:val="18"/>
          <w:szCs w:val="18"/>
        </w:rPr>
        <w:t>2</w:t>
      </w:r>
      <w:r w:rsidRPr="0072408B">
        <w:rPr>
          <w:sz w:val="18"/>
          <w:szCs w:val="18"/>
          <w:vertAlign w:val="superscript"/>
        </w:rPr>
        <w:t>nd</w:t>
      </w:r>
      <w:r w:rsidRPr="0072408B">
        <w:rPr>
          <w:sz w:val="18"/>
          <w:szCs w:val="18"/>
        </w:rPr>
        <w:t xml:space="preserve"> Sundr</w:t>
      </w:r>
      <w:r w:rsidRPr="0072408B">
        <w:rPr>
          <w:sz w:val="18"/>
          <w:szCs w:val="18"/>
        </w:rPr>
        <w:t xml:space="preserve">am </w:t>
      </w:r>
      <w:r w:rsidRPr="0072408B">
        <w:rPr>
          <w:sz w:val="18"/>
          <w:szCs w:val="18"/>
        </w:rPr>
        <w:t>Patel</w:t>
      </w:r>
      <w:r w:rsidRPr="0072408B">
        <w:rPr>
          <w:sz w:val="18"/>
          <w:szCs w:val="18"/>
        </w:rPr>
        <w:br/>
        <w:t>Department of Computer Applications</w:t>
      </w:r>
      <w:r w:rsidRPr="0072408B">
        <w:rPr>
          <w:sz w:val="18"/>
          <w:szCs w:val="18"/>
        </w:rPr>
        <w:br/>
        <w:t>NIT Trichy</w:t>
      </w:r>
      <w:r w:rsidRPr="0072408B">
        <w:rPr>
          <w:sz w:val="18"/>
          <w:szCs w:val="18"/>
        </w:rPr>
        <w:br/>
        <w:t>2052250</w:t>
      </w:r>
      <w:r w:rsidRPr="0072408B">
        <w:rPr>
          <w:sz w:val="18"/>
          <w:szCs w:val="18"/>
        </w:rPr>
        <w:t>2</w:t>
      </w:r>
      <w:r w:rsidRPr="0072408B">
        <w:rPr>
          <w:sz w:val="18"/>
          <w:szCs w:val="18"/>
        </w:rPr>
        <w:t>6</w:t>
      </w:r>
    </w:p>
    <w:p w14:paraId="1CD26BBA" w14:textId="77777777" w:rsidR="00BA7ABB" w:rsidRDefault="00BA7ABB">
      <w:pPr>
        <w:pStyle w:val="IEEEAbstract"/>
        <w:rPr>
          <w:b/>
        </w:rPr>
        <w:sectPr w:rsidR="00BA7ABB" w:rsidSect="0058152B">
          <w:type w:val="continuous"/>
          <w:pgSz w:w="12240" w:h="15840"/>
          <w:pgMar w:top="979" w:right="907" w:bottom="979" w:left="907" w:header="288" w:footer="288" w:gutter="0"/>
          <w:cols w:num="2" w:space="360"/>
          <w:docGrid w:linePitch="360"/>
        </w:sectPr>
      </w:pPr>
    </w:p>
    <w:p w14:paraId="016378E3" w14:textId="450F3767" w:rsidR="008444E5" w:rsidRDefault="00000000">
      <w:pPr>
        <w:pStyle w:val="IEEEAbstract"/>
      </w:pPr>
      <w:r>
        <w:rPr>
          <w:b/>
        </w:rPr>
        <w:t>Abstract-</w:t>
      </w:r>
      <w:r>
        <w:t xml:space="preserve"> Educational institutions increasingly require early and interpretable mechanisms for identifying students who may need academic support. This paper presents a role-based student academic risk prediction system that combines natural language processing, HMM-based sequence features, and a federated learning-inspired ensemble. The work evolved through three versions: an initial LSTM-based federated prototype, a second phase using TF-IDF and classical machine learning, and a final role-aware version that introduces HOD and faculty access control. In the proposed system, students submit feedback text, the backend performs preprocessing such as tokenization, POS tagging, morphological analysis, lemmatization, shallow dependency parsing, and HMM feature extraction, and client-side models classify students into low, medium, or high risk. Three client models are used in the final experimental setup: Logistic Regression, </w:t>
      </w:r>
      <w:proofErr w:type="spellStart"/>
      <w:r w:rsidR="00D759F7">
        <w:t>SVM</w:t>
      </w:r>
      <w:r w:rsidR="009B6CCA">
        <w:t>evaluation</w:t>
      </w:r>
      <w:proofErr w:type="spellEnd"/>
      <w:r w:rsidR="009B6CCA">
        <w:t xml:space="preserve"> used</w:t>
      </w:r>
      <w:r>
        <w:t>, and Random Forest. Their probability outputs are combined using weighted averaging based on client data size. The final system achieved an accuracy of 80.42%, with macro precision 80.43%, recall 80.42%, and F1-score 80.30%. The architecture also includes a FastAPI backend and a React frontend for student support, faculty monitoring, and HOD-level analytics.</w:t>
      </w:r>
    </w:p>
    <w:p w14:paraId="60214CDE" w14:textId="77777777" w:rsidR="008444E5" w:rsidRDefault="00000000">
      <w:pPr>
        <w:pStyle w:val="IEEEAbstract"/>
      </w:pPr>
      <w:r>
        <w:rPr>
          <w:b/>
        </w:rPr>
        <w:t>Keywords-</w:t>
      </w:r>
      <w:r>
        <w:t xml:space="preserve"> Federated learning, natural language processing, academic risk prediction, role-based access control, HMM, TF-IDF, Logistic Regression, SVM, Random Forest.</w:t>
      </w:r>
    </w:p>
    <w:p w14:paraId="1889540C" w14:textId="77777777" w:rsidR="008444E5" w:rsidRPr="0072408B" w:rsidRDefault="00000000">
      <w:pPr>
        <w:pStyle w:val="IEEEHeading"/>
        <w:spacing w:before="120"/>
        <w:rPr>
          <w:sz w:val="20"/>
          <w:szCs w:val="20"/>
        </w:rPr>
      </w:pPr>
      <w:r w:rsidRPr="0072408B">
        <w:rPr>
          <w:sz w:val="20"/>
          <w:szCs w:val="20"/>
        </w:rPr>
        <w:t>I. INTRODUCTION</w:t>
      </w:r>
    </w:p>
    <w:p w14:paraId="676A0748" w14:textId="77777777" w:rsidR="008444E5" w:rsidRPr="0072408B" w:rsidRDefault="00000000">
      <w:pPr>
        <w:pStyle w:val="IEEEBody"/>
        <w:ind w:firstLine="216"/>
        <w:rPr>
          <w:sz w:val="20"/>
          <w:szCs w:val="20"/>
        </w:rPr>
      </w:pPr>
      <w:r w:rsidRPr="0072408B">
        <w:rPr>
          <w:sz w:val="20"/>
          <w:szCs w:val="20"/>
        </w:rPr>
        <w:t>Student support systems are usually effective only when they identify academic difficulty early enough for faculty to take action. Many institutions collect feedback, marks, attendance, and counselling information, but these data sources are often treated as separate records instead of being used for systematic risk prediction. This project focuses on transforming student feedback into actionable risk categories while respecting the hierarchy of access inside an academic department.</w:t>
      </w:r>
    </w:p>
    <w:p w14:paraId="69A63476" w14:textId="77777777" w:rsidR="008444E5" w:rsidRPr="0072408B" w:rsidRDefault="00000000">
      <w:pPr>
        <w:pStyle w:val="IEEEBody"/>
        <w:ind w:firstLine="216"/>
        <w:rPr>
          <w:sz w:val="20"/>
          <w:szCs w:val="20"/>
        </w:rPr>
      </w:pPr>
      <w:r w:rsidRPr="0072408B">
        <w:rPr>
          <w:sz w:val="20"/>
          <w:szCs w:val="20"/>
        </w:rPr>
        <w:t>The proposed system is designed around three user levels. The Head of Department (HOD) is treated as the root authority and can view faculty-level summaries and all student records. Each faculty member can view only the students assigned under their guidance. Students can submit feedback and view support-related information. This hierarchy makes the prediction system more practical because the output is not only a machine learning result, but also a controlled monitoring workflow.</w:t>
      </w:r>
    </w:p>
    <w:p w14:paraId="283794DF" w14:textId="77777777" w:rsidR="008444E5" w:rsidRPr="0072408B" w:rsidRDefault="00000000">
      <w:pPr>
        <w:pStyle w:val="IEEEBody"/>
        <w:ind w:firstLine="216"/>
        <w:rPr>
          <w:sz w:val="20"/>
          <w:szCs w:val="20"/>
        </w:rPr>
      </w:pPr>
      <w:r w:rsidRPr="0072408B">
        <w:rPr>
          <w:sz w:val="20"/>
          <w:szCs w:val="20"/>
        </w:rPr>
        <w:t>The final version of the project applies NLP preprocessing and a federated learning-inspired aggregation strategy. Unlike a single centralized classifier, the training data is divided into three client groups. Each client trains a different model, and the final prediction is obtained through weighted averaging of class probabilities. This design demonstrates how heterogeneous local models can contribute to a common decision layer.</w:t>
      </w:r>
    </w:p>
    <w:p w14:paraId="7756E81B" w14:textId="77777777" w:rsidR="008444E5" w:rsidRPr="0072408B" w:rsidRDefault="00000000">
      <w:pPr>
        <w:pStyle w:val="IEEEHeading"/>
        <w:spacing w:before="120"/>
        <w:rPr>
          <w:sz w:val="20"/>
          <w:szCs w:val="20"/>
        </w:rPr>
      </w:pPr>
      <w:r w:rsidRPr="0072408B">
        <w:rPr>
          <w:sz w:val="20"/>
          <w:szCs w:val="20"/>
        </w:rPr>
        <w:t>II. RELATED WORK</w:t>
      </w:r>
    </w:p>
    <w:p w14:paraId="5C133D62" w14:textId="77777777" w:rsidR="008444E5" w:rsidRPr="0072408B" w:rsidRDefault="00000000">
      <w:pPr>
        <w:pStyle w:val="IEEEBody"/>
        <w:ind w:firstLine="216"/>
        <w:rPr>
          <w:sz w:val="20"/>
          <w:szCs w:val="20"/>
        </w:rPr>
      </w:pPr>
      <w:r w:rsidRPr="0072408B">
        <w:rPr>
          <w:sz w:val="20"/>
          <w:szCs w:val="20"/>
        </w:rPr>
        <w:t>Federated learning was introduced as a way to train models over distributed data by aggregating locally computed updates instead of directly moving all raw data to a central server. This idea is useful in domains where privacy, data ownership, and distributed availability are important. In this project, the same principle is adapted at a project level by treating faculty groups as clients and combining their model outputs through weighted averaging.</w:t>
      </w:r>
    </w:p>
    <w:p w14:paraId="6926AFE4" w14:textId="77777777" w:rsidR="008444E5" w:rsidRPr="0072408B" w:rsidRDefault="00000000">
      <w:pPr>
        <w:pStyle w:val="IEEEBody"/>
        <w:ind w:firstLine="216"/>
        <w:rPr>
          <w:sz w:val="20"/>
          <w:szCs w:val="20"/>
        </w:rPr>
      </w:pPr>
      <w:r w:rsidRPr="0072408B">
        <w:rPr>
          <w:sz w:val="20"/>
          <w:szCs w:val="20"/>
        </w:rPr>
        <w:t>Classical NLP pipelines remain useful for educational feedback because feedback text is usually short, subjective, and semantically noisy. Preprocessing techniques such as tokenization, lemmatization, POS tagging, and dependency parsing convert free text into a more structured representation. HMMs are also useful for sequence modeling because they can capture patterns in observed tag sequences. For the classification stage, Logistic Regression, SVM, and Random Forest provide interpretable and reliable baselines for text classification.</w:t>
      </w:r>
    </w:p>
    <w:p w14:paraId="0C36AF20" w14:textId="77777777" w:rsidR="008444E5" w:rsidRPr="0072408B" w:rsidRDefault="00000000">
      <w:pPr>
        <w:pStyle w:val="IEEEHeading"/>
        <w:spacing w:before="120"/>
        <w:rPr>
          <w:sz w:val="20"/>
          <w:szCs w:val="20"/>
        </w:rPr>
      </w:pPr>
      <w:r w:rsidRPr="0072408B">
        <w:rPr>
          <w:sz w:val="20"/>
          <w:szCs w:val="20"/>
        </w:rPr>
        <w:t>III. VERSION-WISE PROJECT EVOLUTION</w:t>
      </w:r>
    </w:p>
    <w:p w14:paraId="28E90451" w14:textId="77777777" w:rsidR="008444E5" w:rsidRPr="0072408B" w:rsidRDefault="00000000">
      <w:pPr>
        <w:pStyle w:val="IEEEBody"/>
        <w:ind w:firstLine="216"/>
        <w:rPr>
          <w:sz w:val="20"/>
          <w:szCs w:val="20"/>
        </w:rPr>
      </w:pPr>
      <w:r w:rsidRPr="0072408B">
        <w:rPr>
          <w:sz w:val="20"/>
          <w:szCs w:val="20"/>
        </w:rPr>
        <w:t>The project was developed in three versions. Each version added a new technical layer and helped refine the final system. Version 1 focused on proving the basic feasibility of feedback-based risk prediction. Version 2 improved the experimental process by using TF-IDF features and multiple traditional machine learning models. Version 3 integrated role-based access control, advanced preprocessing, HMM sequence scoring, and weighted federated aggregation.</w:t>
      </w:r>
    </w:p>
    <w:p w14:paraId="0E5758EB" w14:textId="77777777" w:rsidR="008444E5" w:rsidRPr="0072408B" w:rsidRDefault="00000000">
      <w:pPr>
        <w:spacing w:before="60" w:after="60"/>
        <w:jc w:val="center"/>
        <w:rPr>
          <w:szCs w:val="20"/>
        </w:rPr>
      </w:pPr>
      <w:r w:rsidRPr="0072408B">
        <w:rPr>
          <w:b/>
          <w:szCs w:val="20"/>
        </w:rPr>
        <w:t>TABLE I. VERSION-WISE DEVELOPMENT OF THE PROJECT</w:t>
      </w:r>
    </w:p>
    <w:tbl>
      <w:tblPr>
        <w:tblStyle w:val="TableGrid"/>
        <w:tblW w:w="4248" w:type="dxa"/>
        <w:jc w:val="center"/>
        <w:tblLayout w:type="fixed"/>
        <w:tblLook w:val="04A0" w:firstRow="1" w:lastRow="0" w:firstColumn="1" w:lastColumn="0" w:noHBand="0" w:noVBand="1"/>
      </w:tblPr>
      <w:tblGrid>
        <w:gridCol w:w="720"/>
        <w:gridCol w:w="3528"/>
      </w:tblGrid>
      <w:tr w:rsidR="008444E5" w:rsidRPr="0072408B" w14:paraId="4989C007" w14:textId="77777777">
        <w:trPr>
          <w:jc w:val="center"/>
        </w:trPr>
        <w:tc>
          <w:tcPr>
            <w:tcW w:w="720" w:type="dxa"/>
            <w:shd w:val="clear" w:color="auto" w:fill="D9EAF7"/>
            <w:vAlign w:val="center"/>
          </w:tcPr>
          <w:p w14:paraId="47FAD968" w14:textId="77777777" w:rsidR="008444E5" w:rsidRPr="0072408B" w:rsidRDefault="00000000">
            <w:pPr>
              <w:jc w:val="center"/>
              <w:rPr>
                <w:szCs w:val="20"/>
              </w:rPr>
            </w:pPr>
            <w:r w:rsidRPr="0072408B">
              <w:rPr>
                <w:b/>
                <w:szCs w:val="20"/>
              </w:rPr>
              <w:t>Version</w:t>
            </w:r>
          </w:p>
        </w:tc>
        <w:tc>
          <w:tcPr>
            <w:tcW w:w="3528" w:type="dxa"/>
            <w:shd w:val="clear" w:color="auto" w:fill="D9EAF7"/>
            <w:vAlign w:val="center"/>
          </w:tcPr>
          <w:p w14:paraId="7D7340CC" w14:textId="77777777" w:rsidR="008444E5" w:rsidRPr="0072408B" w:rsidRDefault="00000000">
            <w:pPr>
              <w:jc w:val="center"/>
              <w:rPr>
                <w:szCs w:val="20"/>
              </w:rPr>
            </w:pPr>
            <w:r w:rsidRPr="0072408B">
              <w:rPr>
                <w:b/>
                <w:szCs w:val="20"/>
              </w:rPr>
              <w:t>Key Improvement</w:t>
            </w:r>
          </w:p>
        </w:tc>
      </w:tr>
      <w:tr w:rsidR="008444E5" w:rsidRPr="0072408B" w14:paraId="53A6CF94" w14:textId="77777777">
        <w:trPr>
          <w:jc w:val="center"/>
        </w:trPr>
        <w:tc>
          <w:tcPr>
            <w:tcW w:w="720" w:type="dxa"/>
            <w:vAlign w:val="center"/>
          </w:tcPr>
          <w:p w14:paraId="4498B85D" w14:textId="77777777" w:rsidR="008444E5" w:rsidRPr="0072408B" w:rsidRDefault="00000000">
            <w:pPr>
              <w:jc w:val="center"/>
              <w:rPr>
                <w:szCs w:val="20"/>
              </w:rPr>
            </w:pPr>
            <w:r w:rsidRPr="0072408B">
              <w:rPr>
                <w:szCs w:val="20"/>
              </w:rPr>
              <w:t>V1</w:t>
            </w:r>
          </w:p>
        </w:tc>
        <w:tc>
          <w:tcPr>
            <w:tcW w:w="3528" w:type="dxa"/>
            <w:vAlign w:val="center"/>
          </w:tcPr>
          <w:p w14:paraId="31E5B03D" w14:textId="77777777" w:rsidR="008444E5" w:rsidRPr="0072408B" w:rsidRDefault="00000000">
            <w:pPr>
              <w:jc w:val="center"/>
              <w:rPr>
                <w:szCs w:val="20"/>
              </w:rPr>
            </w:pPr>
            <w:r w:rsidRPr="0072408B">
              <w:rPr>
                <w:szCs w:val="20"/>
              </w:rPr>
              <w:t>LSTM prototype with synthetic feedback and FedAvg idea.</w:t>
            </w:r>
          </w:p>
        </w:tc>
      </w:tr>
      <w:tr w:rsidR="008444E5" w:rsidRPr="0072408B" w14:paraId="5158AF47" w14:textId="77777777">
        <w:trPr>
          <w:jc w:val="center"/>
        </w:trPr>
        <w:tc>
          <w:tcPr>
            <w:tcW w:w="720" w:type="dxa"/>
            <w:vAlign w:val="center"/>
          </w:tcPr>
          <w:p w14:paraId="41763C2E" w14:textId="77777777" w:rsidR="008444E5" w:rsidRPr="0072408B" w:rsidRDefault="00000000">
            <w:pPr>
              <w:jc w:val="center"/>
              <w:rPr>
                <w:szCs w:val="20"/>
              </w:rPr>
            </w:pPr>
            <w:r w:rsidRPr="0072408B">
              <w:rPr>
                <w:szCs w:val="20"/>
              </w:rPr>
              <w:t>V2</w:t>
            </w:r>
          </w:p>
        </w:tc>
        <w:tc>
          <w:tcPr>
            <w:tcW w:w="3528" w:type="dxa"/>
            <w:vAlign w:val="center"/>
          </w:tcPr>
          <w:p w14:paraId="6FEF7B43" w14:textId="77777777" w:rsidR="008444E5" w:rsidRPr="0072408B" w:rsidRDefault="00000000">
            <w:pPr>
              <w:jc w:val="center"/>
              <w:rPr>
                <w:szCs w:val="20"/>
              </w:rPr>
            </w:pPr>
            <w:r w:rsidRPr="0072408B">
              <w:rPr>
                <w:szCs w:val="20"/>
              </w:rPr>
              <w:t>TF-IDF with LR, SVM, RF and aggregation comparison.</w:t>
            </w:r>
          </w:p>
        </w:tc>
      </w:tr>
      <w:tr w:rsidR="008444E5" w:rsidRPr="0072408B" w14:paraId="48245B51" w14:textId="77777777">
        <w:trPr>
          <w:jc w:val="center"/>
        </w:trPr>
        <w:tc>
          <w:tcPr>
            <w:tcW w:w="720" w:type="dxa"/>
            <w:vAlign w:val="center"/>
          </w:tcPr>
          <w:p w14:paraId="52490D09" w14:textId="77777777" w:rsidR="008444E5" w:rsidRPr="0072408B" w:rsidRDefault="00000000">
            <w:pPr>
              <w:jc w:val="center"/>
              <w:rPr>
                <w:szCs w:val="20"/>
              </w:rPr>
            </w:pPr>
            <w:r w:rsidRPr="0072408B">
              <w:rPr>
                <w:szCs w:val="20"/>
              </w:rPr>
              <w:t>V3</w:t>
            </w:r>
          </w:p>
        </w:tc>
        <w:tc>
          <w:tcPr>
            <w:tcW w:w="3528" w:type="dxa"/>
            <w:vAlign w:val="center"/>
          </w:tcPr>
          <w:p w14:paraId="5785EEBB" w14:textId="77777777" w:rsidR="008444E5" w:rsidRPr="0072408B" w:rsidRDefault="00000000">
            <w:pPr>
              <w:jc w:val="center"/>
              <w:rPr>
                <w:szCs w:val="20"/>
              </w:rPr>
            </w:pPr>
            <w:r w:rsidRPr="0072408B">
              <w:rPr>
                <w:szCs w:val="20"/>
              </w:rPr>
              <w:t>Role-based access with NLP, HMM and weighted ensemble.</w:t>
            </w:r>
          </w:p>
        </w:tc>
      </w:tr>
    </w:tbl>
    <w:p w14:paraId="35D01508" w14:textId="77777777" w:rsidR="008444E5" w:rsidRPr="0072408B" w:rsidRDefault="00000000">
      <w:pPr>
        <w:pStyle w:val="IEEEHeading"/>
        <w:spacing w:before="120"/>
        <w:rPr>
          <w:sz w:val="20"/>
          <w:szCs w:val="20"/>
        </w:rPr>
      </w:pPr>
      <w:r w:rsidRPr="0072408B">
        <w:rPr>
          <w:sz w:val="20"/>
          <w:szCs w:val="20"/>
        </w:rPr>
        <w:t>IV. PROPOSED SYSTEM</w:t>
      </w:r>
    </w:p>
    <w:p w14:paraId="0AC3AF3F" w14:textId="77777777" w:rsidR="008444E5" w:rsidRPr="0072408B" w:rsidRDefault="00000000">
      <w:pPr>
        <w:pStyle w:val="IEEEBody"/>
        <w:ind w:firstLine="216"/>
        <w:rPr>
          <w:sz w:val="20"/>
          <w:szCs w:val="20"/>
        </w:rPr>
      </w:pPr>
      <w:r w:rsidRPr="0072408B">
        <w:rPr>
          <w:sz w:val="20"/>
          <w:szCs w:val="20"/>
        </w:rPr>
        <w:t>The proposed system contains four major layers: user interface, backend service, NLP and machine learning pipeline, and role-based reporting. The frontend allows students to submit feedback, faculty to monitor assigned students, and the HOD to view global analytics. The backend exposes prediction APIs, loads trained artifacts, applies preprocessing, and returns risk-level predictions with recommendations.</w:t>
      </w:r>
    </w:p>
    <w:p w14:paraId="14539E1C" w14:textId="77777777" w:rsidR="0058152B" w:rsidRPr="0072408B" w:rsidRDefault="0058152B" w:rsidP="0058152B">
      <w:pPr>
        <w:pStyle w:val="IEEEBody"/>
        <w:ind w:firstLine="216"/>
        <w:rPr>
          <w:sz w:val="20"/>
          <w:szCs w:val="20"/>
        </w:rPr>
      </w:pPr>
      <w:r w:rsidRPr="0072408B">
        <w:rPr>
          <w:sz w:val="20"/>
          <w:szCs w:val="20"/>
        </w:rPr>
        <w:lastRenderedPageBreak/>
        <w:t>The backend design uses FastAPI for prediction services. In the earlier full-stack project, the backend included trained model files, TF-IDF vectorizer, label encoder, and a prediction route. The frontend was implemented using React and Vite, with dashboard views for student support, faculty monitoring, and analytics. The final project extends this by adding explicit role-based dataset files for student feedback, faculty hierarchy, and HOD-level summaries.</w:t>
      </w:r>
    </w:p>
    <w:p w14:paraId="368B2D3F" w14:textId="77777777" w:rsidR="0058152B" w:rsidRPr="0072408B" w:rsidRDefault="0058152B">
      <w:pPr>
        <w:pStyle w:val="IEEEBody"/>
        <w:ind w:firstLine="216"/>
        <w:rPr>
          <w:sz w:val="20"/>
          <w:szCs w:val="20"/>
        </w:rPr>
      </w:pPr>
    </w:p>
    <w:p w14:paraId="742A773B" w14:textId="26D9F569" w:rsidR="009504B6" w:rsidRPr="0072408B" w:rsidRDefault="009504B6" w:rsidP="009504B6">
      <w:pPr>
        <w:spacing w:before="80" w:after="80"/>
        <w:ind w:left="72" w:right="72"/>
        <w:rPr>
          <w:i/>
          <w:szCs w:val="20"/>
        </w:rPr>
      </w:pPr>
      <w:r w:rsidRPr="0072408B">
        <w:rPr>
          <w:i/>
          <w:szCs w:val="20"/>
        </w:rPr>
        <w:drawing>
          <wp:inline distT="0" distB="0" distL="0" distR="0" wp14:anchorId="650B0E24" wp14:editId="3D9AB8C3">
            <wp:extent cx="3195955" cy="2130425"/>
            <wp:effectExtent l="0" t="0" r="4445" b="3175"/>
            <wp:docPr id="1574081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5955" cy="2130425"/>
                    </a:xfrm>
                    <a:prstGeom prst="rect">
                      <a:avLst/>
                    </a:prstGeom>
                    <a:noFill/>
                    <a:ln>
                      <a:noFill/>
                    </a:ln>
                  </pic:spPr>
                </pic:pic>
              </a:graphicData>
            </a:graphic>
          </wp:inline>
        </w:drawing>
      </w:r>
    </w:p>
    <w:p w14:paraId="3ABF40A7" w14:textId="5C5C602A" w:rsidR="008444E5" w:rsidRPr="0072408B" w:rsidRDefault="00000000" w:rsidP="009504B6">
      <w:pPr>
        <w:spacing w:before="80" w:after="80"/>
        <w:ind w:left="72" w:right="72"/>
        <w:jc w:val="center"/>
        <w:rPr>
          <w:szCs w:val="20"/>
        </w:rPr>
      </w:pPr>
      <w:r w:rsidRPr="0072408B">
        <w:rPr>
          <w:b/>
          <w:szCs w:val="20"/>
        </w:rPr>
        <w:t xml:space="preserve">Fig. 1. </w:t>
      </w:r>
      <w:r w:rsidR="009504B6" w:rsidRPr="0072408B">
        <w:rPr>
          <w:b/>
          <w:szCs w:val="20"/>
        </w:rPr>
        <w:t>C</w:t>
      </w:r>
      <w:r w:rsidRPr="0072408B">
        <w:rPr>
          <w:b/>
          <w:szCs w:val="20"/>
        </w:rPr>
        <w:t>omplete system architecture.</w:t>
      </w:r>
    </w:p>
    <w:p w14:paraId="28EDD403" w14:textId="77777777" w:rsidR="008444E5" w:rsidRPr="0072408B" w:rsidRDefault="00000000">
      <w:pPr>
        <w:pStyle w:val="IEEEHeading"/>
        <w:spacing w:before="120"/>
        <w:rPr>
          <w:sz w:val="20"/>
          <w:szCs w:val="20"/>
        </w:rPr>
      </w:pPr>
      <w:r w:rsidRPr="0072408B">
        <w:rPr>
          <w:sz w:val="20"/>
          <w:szCs w:val="20"/>
        </w:rPr>
        <w:t>V. DATASET DESCRIPTION</w:t>
      </w:r>
    </w:p>
    <w:p w14:paraId="46EB4CF5" w14:textId="77777777" w:rsidR="008444E5" w:rsidRPr="0072408B" w:rsidRDefault="00000000">
      <w:pPr>
        <w:pStyle w:val="IEEEBody"/>
        <w:ind w:firstLine="216"/>
        <w:rPr>
          <w:sz w:val="20"/>
          <w:szCs w:val="20"/>
        </w:rPr>
      </w:pPr>
      <w:r w:rsidRPr="0072408B">
        <w:rPr>
          <w:sz w:val="20"/>
          <w:szCs w:val="20"/>
        </w:rPr>
        <w:t>The final version uses synthetic role-based data created to match an academic department scenario. Each record represents a student feedback instance with student identity, assigned faculty, feedback text, risk-related label information, and department-level grouping. The design allows the same dataset to support both machine learning and access control experiments.</w:t>
      </w:r>
    </w:p>
    <w:p w14:paraId="4BF432FD" w14:textId="77777777" w:rsidR="008444E5" w:rsidRPr="0072408B" w:rsidRDefault="00000000">
      <w:pPr>
        <w:spacing w:before="60" w:after="60"/>
        <w:jc w:val="center"/>
        <w:rPr>
          <w:szCs w:val="20"/>
        </w:rPr>
      </w:pPr>
      <w:r w:rsidRPr="0072408B">
        <w:rPr>
          <w:b/>
          <w:szCs w:val="20"/>
        </w:rPr>
        <w:t>TABLE II. FINAL DATASET FILES USED IN VERSION 3</w:t>
      </w:r>
    </w:p>
    <w:tbl>
      <w:tblPr>
        <w:tblStyle w:val="TableGrid"/>
        <w:tblW w:w="4248" w:type="dxa"/>
        <w:jc w:val="center"/>
        <w:tblLayout w:type="fixed"/>
        <w:tblLook w:val="04A0" w:firstRow="1" w:lastRow="0" w:firstColumn="1" w:lastColumn="0" w:noHBand="0" w:noVBand="1"/>
      </w:tblPr>
      <w:tblGrid>
        <w:gridCol w:w="1224"/>
        <w:gridCol w:w="3024"/>
      </w:tblGrid>
      <w:tr w:rsidR="008444E5" w:rsidRPr="0072408B" w14:paraId="39748C85" w14:textId="77777777">
        <w:trPr>
          <w:jc w:val="center"/>
        </w:trPr>
        <w:tc>
          <w:tcPr>
            <w:tcW w:w="1224" w:type="dxa"/>
            <w:shd w:val="clear" w:color="auto" w:fill="D9EAF7"/>
            <w:vAlign w:val="center"/>
          </w:tcPr>
          <w:p w14:paraId="7254E188" w14:textId="77777777" w:rsidR="008444E5" w:rsidRPr="0072408B" w:rsidRDefault="00000000">
            <w:pPr>
              <w:jc w:val="center"/>
              <w:rPr>
                <w:szCs w:val="20"/>
              </w:rPr>
            </w:pPr>
            <w:r w:rsidRPr="0072408B">
              <w:rPr>
                <w:b/>
                <w:szCs w:val="20"/>
              </w:rPr>
              <w:t>File</w:t>
            </w:r>
          </w:p>
        </w:tc>
        <w:tc>
          <w:tcPr>
            <w:tcW w:w="3024" w:type="dxa"/>
            <w:shd w:val="clear" w:color="auto" w:fill="D9EAF7"/>
            <w:vAlign w:val="center"/>
          </w:tcPr>
          <w:p w14:paraId="3D5D2581" w14:textId="77777777" w:rsidR="008444E5" w:rsidRPr="0072408B" w:rsidRDefault="00000000">
            <w:pPr>
              <w:jc w:val="center"/>
              <w:rPr>
                <w:szCs w:val="20"/>
              </w:rPr>
            </w:pPr>
            <w:r w:rsidRPr="0072408B">
              <w:rPr>
                <w:b/>
                <w:szCs w:val="20"/>
              </w:rPr>
              <w:t>Purpose</w:t>
            </w:r>
          </w:p>
        </w:tc>
      </w:tr>
      <w:tr w:rsidR="008444E5" w:rsidRPr="0072408B" w14:paraId="5744C635" w14:textId="77777777">
        <w:trPr>
          <w:jc w:val="center"/>
        </w:trPr>
        <w:tc>
          <w:tcPr>
            <w:tcW w:w="1224" w:type="dxa"/>
            <w:vAlign w:val="center"/>
          </w:tcPr>
          <w:p w14:paraId="473FAF2B" w14:textId="77777777" w:rsidR="008444E5" w:rsidRPr="0072408B" w:rsidRDefault="00000000">
            <w:pPr>
              <w:jc w:val="center"/>
              <w:rPr>
                <w:szCs w:val="20"/>
              </w:rPr>
            </w:pPr>
            <w:r w:rsidRPr="0072408B">
              <w:rPr>
                <w:szCs w:val="20"/>
              </w:rPr>
              <w:t>Feedback data</w:t>
            </w:r>
          </w:p>
        </w:tc>
        <w:tc>
          <w:tcPr>
            <w:tcW w:w="3024" w:type="dxa"/>
            <w:vAlign w:val="center"/>
          </w:tcPr>
          <w:p w14:paraId="712FF131" w14:textId="77777777" w:rsidR="008444E5" w:rsidRPr="0072408B" w:rsidRDefault="00000000">
            <w:pPr>
              <w:jc w:val="center"/>
              <w:rPr>
                <w:szCs w:val="20"/>
              </w:rPr>
            </w:pPr>
            <w:r w:rsidRPr="0072408B">
              <w:rPr>
                <w:szCs w:val="20"/>
              </w:rPr>
              <w:t>Main student feedback dataset for NLP and training.</w:t>
            </w:r>
          </w:p>
        </w:tc>
      </w:tr>
      <w:tr w:rsidR="008444E5" w:rsidRPr="0072408B" w14:paraId="5DBCB948" w14:textId="77777777">
        <w:trPr>
          <w:jc w:val="center"/>
        </w:trPr>
        <w:tc>
          <w:tcPr>
            <w:tcW w:w="1224" w:type="dxa"/>
            <w:vAlign w:val="center"/>
          </w:tcPr>
          <w:p w14:paraId="0474BE31" w14:textId="77777777" w:rsidR="008444E5" w:rsidRPr="0072408B" w:rsidRDefault="00000000">
            <w:pPr>
              <w:jc w:val="center"/>
              <w:rPr>
                <w:szCs w:val="20"/>
              </w:rPr>
            </w:pPr>
            <w:r w:rsidRPr="0072408B">
              <w:rPr>
                <w:szCs w:val="20"/>
              </w:rPr>
              <w:t>Faculty hierarchy</w:t>
            </w:r>
          </w:p>
        </w:tc>
        <w:tc>
          <w:tcPr>
            <w:tcW w:w="3024" w:type="dxa"/>
            <w:vAlign w:val="center"/>
          </w:tcPr>
          <w:p w14:paraId="0DB1169A" w14:textId="77777777" w:rsidR="008444E5" w:rsidRPr="0072408B" w:rsidRDefault="00000000">
            <w:pPr>
              <w:jc w:val="center"/>
              <w:rPr>
                <w:szCs w:val="20"/>
              </w:rPr>
            </w:pPr>
            <w:r w:rsidRPr="0072408B">
              <w:rPr>
                <w:szCs w:val="20"/>
              </w:rPr>
              <w:t>Maps faculty to assigned student groups.</w:t>
            </w:r>
          </w:p>
        </w:tc>
      </w:tr>
      <w:tr w:rsidR="008444E5" w:rsidRPr="0072408B" w14:paraId="56D2B5DC" w14:textId="77777777">
        <w:trPr>
          <w:jc w:val="center"/>
        </w:trPr>
        <w:tc>
          <w:tcPr>
            <w:tcW w:w="1224" w:type="dxa"/>
            <w:vAlign w:val="center"/>
          </w:tcPr>
          <w:p w14:paraId="2C1CE6DC" w14:textId="77777777" w:rsidR="008444E5" w:rsidRPr="0072408B" w:rsidRDefault="00000000">
            <w:pPr>
              <w:jc w:val="center"/>
              <w:rPr>
                <w:szCs w:val="20"/>
              </w:rPr>
            </w:pPr>
            <w:r w:rsidRPr="0072408B">
              <w:rPr>
                <w:szCs w:val="20"/>
              </w:rPr>
              <w:t>HOD summary</w:t>
            </w:r>
          </w:p>
        </w:tc>
        <w:tc>
          <w:tcPr>
            <w:tcW w:w="3024" w:type="dxa"/>
            <w:vAlign w:val="center"/>
          </w:tcPr>
          <w:p w14:paraId="6BD14862" w14:textId="77777777" w:rsidR="008444E5" w:rsidRPr="0072408B" w:rsidRDefault="00000000">
            <w:pPr>
              <w:jc w:val="center"/>
              <w:rPr>
                <w:szCs w:val="20"/>
              </w:rPr>
            </w:pPr>
            <w:r w:rsidRPr="0072408B">
              <w:rPr>
                <w:szCs w:val="20"/>
              </w:rPr>
              <w:t>Faculty-wise and risk-wise summary view.</w:t>
            </w:r>
          </w:p>
        </w:tc>
      </w:tr>
    </w:tbl>
    <w:p w14:paraId="6C97A63D" w14:textId="77777777" w:rsidR="008444E5" w:rsidRPr="0072408B" w:rsidRDefault="00000000">
      <w:pPr>
        <w:pStyle w:val="IEEEHeading"/>
        <w:spacing w:before="120"/>
        <w:rPr>
          <w:sz w:val="20"/>
          <w:szCs w:val="20"/>
        </w:rPr>
      </w:pPr>
      <w:r w:rsidRPr="0072408B">
        <w:rPr>
          <w:sz w:val="20"/>
          <w:szCs w:val="20"/>
        </w:rPr>
        <w:t>VI. NLP PREPROCESSING PIPELINE</w:t>
      </w:r>
    </w:p>
    <w:p w14:paraId="10D172E4" w14:textId="77777777" w:rsidR="008444E5" w:rsidRPr="0072408B" w:rsidRDefault="00000000">
      <w:pPr>
        <w:pStyle w:val="IEEEBody"/>
        <w:ind w:firstLine="216"/>
        <w:rPr>
          <w:sz w:val="20"/>
          <w:szCs w:val="20"/>
        </w:rPr>
      </w:pPr>
      <w:r w:rsidRPr="0072408B">
        <w:rPr>
          <w:sz w:val="20"/>
          <w:szCs w:val="20"/>
        </w:rPr>
        <w:t>The preprocessing stage converts raw feedback into structured features. First, text is lowercased and cleaned by removing punctuation, symbols, and extra spaces. Tokenization splits the sentence into individual words. Stopword removal removes common words that do not strongly contribute to risk classification. Lemmatization reduces words to their base form so that variations such as studying, studied, and studies are handled more consistently.</w:t>
      </w:r>
    </w:p>
    <w:p w14:paraId="4E314AB3" w14:textId="77777777" w:rsidR="008444E5" w:rsidRPr="0072408B" w:rsidRDefault="00000000">
      <w:pPr>
        <w:pStyle w:val="IEEEBody"/>
        <w:ind w:firstLine="216"/>
        <w:rPr>
          <w:sz w:val="20"/>
          <w:szCs w:val="20"/>
        </w:rPr>
      </w:pPr>
      <w:r w:rsidRPr="0072408B">
        <w:rPr>
          <w:sz w:val="20"/>
          <w:szCs w:val="20"/>
        </w:rPr>
        <w:t xml:space="preserve">POS tagging assigns grammatical tags to tokens. Morphological analysis records grammatical attributes such as tense, number, and part-of-speech structure. Shallow dependency parsing identifies local grammatical relations between a token and its head word. These outputs are useful </w:t>
      </w:r>
      <w:r w:rsidRPr="0072408B">
        <w:rPr>
          <w:sz w:val="20"/>
          <w:szCs w:val="20"/>
        </w:rPr>
        <w:t>for explaining the linguistic properties of the feedback. Finally, an HMM-based feature is produced from POS tag sequences to represent sequential language patterns in the feedback.</w:t>
      </w:r>
    </w:p>
    <w:p w14:paraId="7ADEEF0A" w14:textId="7A83003E" w:rsidR="009504B6" w:rsidRPr="0072408B" w:rsidRDefault="009504B6" w:rsidP="009504B6">
      <w:pPr>
        <w:spacing w:before="60" w:after="60"/>
        <w:jc w:val="center"/>
        <w:rPr>
          <w:i/>
          <w:szCs w:val="20"/>
        </w:rPr>
      </w:pPr>
      <w:r w:rsidRPr="0072408B">
        <w:rPr>
          <w:i/>
          <w:szCs w:val="20"/>
        </w:rPr>
        <w:drawing>
          <wp:inline distT="0" distB="0" distL="0" distR="0" wp14:anchorId="26BEA57A" wp14:editId="75B3C547">
            <wp:extent cx="3169920" cy="2113070"/>
            <wp:effectExtent l="0" t="0" r="0" b="1905"/>
            <wp:docPr id="1873452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3055" cy="2121826"/>
                    </a:xfrm>
                    <a:prstGeom prst="rect">
                      <a:avLst/>
                    </a:prstGeom>
                    <a:noFill/>
                    <a:ln>
                      <a:noFill/>
                    </a:ln>
                  </pic:spPr>
                </pic:pic>
              </a:graphicData>
            </a:graphic>
          </wp:inline>
        </w:drawing>
      </w:r>
    </w:p>
    <w:p w14:paraId="5DE7249E" w14:textId="2CDFF580" w:rsidR="008444E5" w:rsidRPr="0072408B" w:rsidRDefault="00000000">
      <w:pPr>
        <w:spacing w:before="60" w:after="60"/>
        <w:jc w:val="center"/>
        <w:rPr>
          <w:szCs w:val="20"/>
        </w:rPr>
      </w:pPr>
      <w:r w:rsidRPr="0072408B">
        <w:rPr>
          <w:b/>
          <w:szCs w:val="20"/>
        </w:rPr>
        <w:t>Fig. 2. NLP preprocessing flow.</w:t>
      </w:r>
    </w:p>
    <w:p w14:paraId="07749B9E" w14:textId="77777777" w:rsidR="008444E5" w:rsidRPr="0072408B" w:rsidRDefault="00000000">
      <w:pPr>
        <w:pStyle w:val="IEEEHeading"/>
        <w:spacing w:before="120"/>
        <w:rPr>
          <w:sz w:val="20"/>
          <w:szCs w:val="20"/>
        </w:rPr>
      </w:pPr>
      <w:r w:rsidRPr="0072408B">
        <w:rPr>
          <w:sz w:val="20"/>
          <w:szCs w:val="20"/>
        </w:rPr>
        <w:t>VII. FEDERATED LEARNING FRAMEWORK</w:t>
      </w:r>
    </w:p>
    <w:p w14:paraId="1F82A430" w14:textId="77777777" w:rsidR="008444E5" w:rsidRPr="0072408B" w:rsidRDefault="00000000">
      <w:pPr>
        <w:pStyle w:val="IEEEBody"/>
        <w:ind w:firstLine="216"/>
        <w:rPr>
          <w:sz w:val="20"/>
          <w:szCs w:val="20"/>
        </w:rPr>
      </w:pPr>
      <w:r w:rsidRPr="0072408B">
        <w:rPr>
          <w:sz w:val="20"/>
          <w:szCs w:val="20"/>
        </w:rPr>
        <w:t>The final experimental setup divides the training data into three client groups. Client 1 uses Logistic Regression, Client 2 uses a Support Vector Machine, and Client 3 uses Random Forest. Each model is trained on its own local client subset. During aggregation, every model generates class probability scores for the test data. These scores are combined using weights derived from the number of training samples available to each client.</w:t>
      </w:r>
    </w:p>
    <w:p w14:paraId="71E18A38" w14:textId="77777777" w:rsidR="008444E5" w:rsidRPr="0072408B" w:rsidRDefault="00000000">
      <w:pPr>
        <w:pStyle w:val="IEEEBody"/>
        <w:ind w:firstLine="216"/>
        <w:rPr>
          <w:sz w:val="20"/>
          <w:szCs w:val="20"/>
        </w:rPr>
      </w:pPr>
      <w:r w:rsidRPr="0072408B">
        <w:rPr>
          <w:sz w:val="20"/>
          <w:szCs w:val="20"/>
        </w:rPr>
        <w:t>If P1, P2, and P3 represent the predicted probability vectors from the three clients, and w1, w2, and w3 represent their normalized data-size weights, the final probability vector is computed as P = w1P1 + w2P2 + w3P3. The class with the highest final probability is selected as the final risk label. This method is simple, interpretable, and suitable for demonstrating federated decision aggregation in a student monitoring project.</w:t>
      </w:r>
    </w:p>
    <w:p w14:paraId="74807CCD" w14:textId="77777777" w:rsidR="008444E5" w:rsidRPr="0072408B" w:rsidRDefault="00000000">
      <w:pPr>
        <w:spacing w:before="60" w:after="60"/>
        <w:jc w:val="center"/>
        <w:rPr>
          <w:szCs w:val="20"/>
        </w:rPr>
      </w:pPr>
      <w:r w:rsidRPr="0072408B">
        <w:rPr>
          <w:b/>
          <w:szCs w:val="20"/>
        </w:rPr>
        <w:t>TABLE III. CLIENT-WISE MODELS AND RESULTS</w:t>
      </w:r>
    </w:p>
    <w:tbl>
      <w:tblPr>
        <w:tblStyle w:val="TableGrid"/>
        <w:tblW w:w="3816" w:type="dxa"/>
        <w:jc w:val="center"/>
        <w:tblLayout w:type="fixed"/>
        <w:tblLook w:val="04A0" w:firstRow="1" w:lastRow="0" w:firstColumn="1" w:lastColumn="0" w:noHBand="0" w:noVBand="1"/>
      </w:tblPr>
      <w:tblGrid>
        <w:gridCol w:w="1728"/>
        <w:gridCol w:w="648"/>
        <w:gridCol w:w="720"/>
        <w:gridCol w:w="720"/>
      </w:tblGrid>
      <w:tr w:rsidR="008444E5" w:rsidRPr="0072408B" w14:paraId="62766984" w14:textId="77777777">
        <w:trPr>
          <w:jc w:val="center"/>
        </w:trPr>
        <w:tc>
          <w:tcPr>
            <w:tcW w:w="1728" w:type="dxa"/>
            <w:shd w:val="clear" w:color="auto" w:fill="D9EAF7"/>
            <w:vAlign w:val="center"/>
          </w:tcPr>
          <w:p w14:paraId="0040CB6C" w14:textId="77777777" w:rsidR="008444E5" w:rsidRPr="0072408B" w:rsidRDefault="00000000">
            <w:pPr>
              <w:jc w:val="center"/>
              <w:rPr>
                <w:szCs w:val="20"/>
              </w:rPr>
            </w:pPr>
            <w:r w:rsidRPr="0072408B">
              <w:rPr>
                <w:b/>
                <w:szCs w:val="20"/>
              </w:rPr>
              <w:t>Client</w:t>
            </w:r>
          </w:p>
        </w:tc>
        <w:tc>
          <w:tcPr>
            <w:tcW w:w="648" w:type="dxa"/>
            <w:shd w:val="clear" w:color="auto" w:fill="D9EAF7"/>
            <w:vAlign w:val="center"/>
          </w:tcPr>
          <w:p w14:paraId="50C8A6F4" w14:textId="77777777" w:rsidR="008444E5" w:rsidRPr="0072408B" w:rsidRDefault="00000000">
            <w:pPr>
              <w:jc w:val="center"/>
              <w:rPr>
                <w:szCs w:val="20"/>
              </w:rPr>
            </w:pPr>
            <w:r w:rsidRPr="0072408B">
              <w:rPr>
                <w:b/>
                <w:szCs w:val="20"/>
              </w:rPr>
              <w:t>N</w:t>
            </w:r>
          </w:p>
        </w:tc>
        <w:tc>
          <w:tcPr>
            <w:tcW w:w="720" w:type="dxa"/>
            <w:shd w:val="clear" w:color="auto" w:fill="D9EAF7"/>
            <w:vAlign w:val="center"/>
          </w:tcPr>
          <w:p w14:paraId="3CB9CBBD" w14:textId="77777777" w:rsidR="008444E5" w:rsidRPr="0072408B" w:rsidRDefault="00000000">
            <w:pPr>
              <w:jc w:val="center"/>
              <w:rPr>
                <w:szCs w:val="20"/>
              </w:rPr>
            </w:pPr>
            <w:r w:rsidRPr="0072408B">
              <w:rPr>
                <w:b/>
                <w:szCs w:val="20"/>
              </w:rPr>
              <w:t>Acc.</w:t>
            </w:r>
          </w:p>
        </w:tc>
        <w:tc>
          <w:tcPr>
            <w:tcW w:w="720" w:type="dxa"/>
            <w:shd w:val="clear" w:color="auto" w:fill="D9EAF7"/>
            <w:vAlign w:val="center"/>
          </w:tcPr>
          <w:p w14:paraId="3EC9E581" w14:textId="77777777" w:rsidR="008444E5" w:rsidRPr="0072408B" w:rsidRDefault="00000000">
            <w:pPr>
              <w:jc w:val="center"/>
              <w:rPr>
                <w:szCs w:val="20"/>
              </w:rPr>
            </w:pPr>
            <w:r w:rsidRPr="0072408B">
              <w:rPr>
                <w:b/>
                <w:szCs w:val="20"/>
              </w:rPr>
              <w:t>Wt.</w:t>
            </w:r>
          </w:p>
        </w:tc>
      </w:tr>
      <w:tr w:rsidR="008444E5" w:rsidRPr="0072408B" w14:paraId="3FE6FB64" w14:textId="77777777">
        <w:trPr>
          <w:jc w:val="center"/>
        </w:trPr>
        <w:tc>
          <w:tcPr>
            <w:tcW w:w="1728" w:type="dxa"/>
            <w:vAlign w:val="center"/>
          </w:tcPr>
          <w:p w14:paraId="73BADD1E" w14:textId="77777777" w:rsidR="008444E5" w:rsidRPr="0072408B" w:rsidRDefault="00000000">
            <w:pPr>
              <w:jc w:val="center"/>
              <w:rPr>
                <w:szCs w:val="20"/>
              </w:rPr>
            </w:pPr>
            <w:r w:rsidRPr="0072408B">
              <w:rPr>
                <w:szCs w:val="20"/>
              </w:rPr>
              <w:t>C1: Logistic Regression</w:t>
            </w:r>
          </w:p>
        </w:tc>
        <w:tc>
          <w:tcPr>
            <w:tcW w:w="648" w:type="dxa"/>
            <w:vAlign w:val="center"/>
          </w:tcPr>
          <w:p w14:paraId="62C1C4E1" w14:textId="77777777" w:rsidR="008444E5" w:rsidRPr="0072408B" w:rsidRDefault="00000000">
            <w:pPr>
              <w:jc w:val="center"/>
              <w:rPr>
                <w:szCs w:val="20"/>
              </w:rPr>
            </w:pPr>
            <w:r w:rsidRPr="0072408B">
              <w:rPr>
                <w:szCs w:val="20"/>
              </w:rPr>
              <w:t>1494</w:t>
            </w:r>
          </w:p>
        </w:tc>
        <w:tc>
          <w:tcPr>
            <w:tcW w:w="720" w:type="dxa"/>
            <w:vAlign w:val="center"/>
          </w:tcPr>
          <w:p w14:paraId="3EAAC4AE" w14:textId="77777777" w:rsidR="008444E5" w:rsidRPr="0072408B" w:rsidRDefault="00000000">
            <w:pPr>
              <w:jc w:val="center"/>
              <w:rPr>
                <w:szCs w:val="20"/>
              </w:rPr>
            </w:pPr>
            <w:r w:rsidRPr="0072408B">
              <w:rPr>
                <w:szCs w:val="20"/>
              </w:rPr>
              <w:t>0.8042</w:t>
            </w:r>
          </w:p>
        </w:tc>
        <w:tc>
          <w:tcPr>
            <w:tcW w:w="720" w:type="dxa"/>
            <w:vAlign w:val="center"/>
          </w:tcPr>
          <w:p w14:paraId="384811FD" w14:textId="77777777" w:rsidR="008444E5" w:rsidRPr="0072408B" w:rsidRDefault="00000000">
            <w:pPr>
              <w:jc w:val="center"/>
              <w:rPr>
                <w:szCs w:val="20"/>
              </w:rPr>
            </w:pPr>
            <w:r w:rsidRPr="0072408B">
              <w:rPr>
                <w:szCs w:val="20"/>
              </w:rPr>
              <w:t>0.4065</w:t>
            </w:r>
          </w:p>
        </w:tc>
      </w:tr>
      <w:tr w:rsidR="008444E5" w:rsidRPr="0072408B" w14:paraId="2A2EF379" w14:textId="77777777">
        <w:trPr>
          <w:jc w:val="center"/>
        </w:trPr>
        <w:tc>
          <w:tcPr>
            <w:tcW w:w="1728" w:type="dxa"/>
            <w:vAlign w:val="center"/>
          </w:tcPr>
          <w:p w14:paraId="1B46F50F" w14:textId="77777777" w:rsidR="008444E5" w:rsidRPr="0072408B" w:rsidRDefault="00000000">
            <w:pPr>
              <w:jc w:val="center"/>
              <w:rPr>
                <w:szCs w:val="20"/>
              </w:rPr>
            </w:pPr>
            <w:r w:rsidRPr="0072408B">
              <w:rPr>
                <w:szCs w:val="20"/>
              </w:rPr>
              <w:t>C2: SVM</w:t>
            </w:r>
          </w:p>
        </w:tc>
        <w:tc>
          <w:tcPr>
            <w:tcW w:w="648" w:type="dxa"/>
            <w:vAlign w:val="center"/>
          </w:tcPr>
          <w:p w14:paraId="0C34101A" w14:textId="77777777" w:rsidR="008444E5" w:rsidRPr="0072408B" w:rsidRDefault="00000000">
            <w:pPr>
              <w:jc w:val="center"/>
              <w:rPr>
                <w:szCs w:val="20"/>
              </w:rPr>
            </w:pPr>
            <w:r w:rsidRPr="0072408B">
              <w:rPr>
                <w:szCs w:val="20"/>
              </w:rPr>
              <w:t>1140</w:t>
            </w:r>
          </w:p>
        </w:tc>
        <w:tc>
          <w:tcPr>
            <w:tcW w:w="720" w:type="dxa"/>
            <w:vAlign w:val="center"/>
          </w:tcPr>
          <w:p w14:paraId="445A6C25" w14:textId="77777777" w:rsidR="008444E5" w:rsidRPr="0072408B" w:rsidRDefault="00000000">
            <w:pPr>
              <w:jc w:val="center"/>
              <w:rPr>
                <w:szCs w:val="20"/>
              </w:rPr>
            </w:pPr>
            <w:r w:rsidRPr="0072408B">
              <w:rPr>
                <w:szCs w:val="20"/>
              </w:rPr>
              <w:t>0.7754</w:t>
            </w:r>
          </w:p>
        </w:tc>
        <w:tc>
          <w:tcPr>
            <w:tcW w:w="720" w:type="dxa"/>
            <w:vAlign w:val="center"/>
          </w:tcPr>
          <w:p w14:paraId="5BF391D8" w14:textId="77777777" w:rsidR="008444E5" w:rsidRPr="0072408B" w:rsidRDefault="00000000">
            <w:pPr>
              <w:jc w:val="center"/>
              <w:rPr>
                <w:szCs w:val="20"/>
              </w:rPr>
            </w:pPr>
            <w:r w:rsidRPr="0072408B">
              <w:rPr>
                <w:szCs w:val="20"/>
              </w:rPr>
              <w:t>0.3036</w:t>
            </w:r>
          </w:p>
        </w:tc>
      </w:tr>
      <w:tr w:rsidR="008444E5" w:rsidRPr="0072408B" w14:paraId="395DA876" w14:textId="77777777">
        <w:trPr>
          <w:jc w:val="center"/>
        </w:trPr>
        <w:tc>
          <w:tcPr>
            <w:tcW w:w="1728" w:type="dxa"/>
            <w:vAlign w:val="center"/>
          </w:tcPr>
          <w:p w14:paraId="663F20ED" w14:textId="77777777" w:rsidR="008444E5" w:rsidRPr="0072408B" w:rsidRDefault="00000000">
            <w:pPr>
              <w:jc w:val="center"/>
              <w:rPr>
                <w:szCs w:val="20"/>
              </w:rPr>
            </w:pPr>
            <w:r w:rsidRPr="0072408B">
              <w:rPr>
                <w:szCs w:val="20"/>
              </w:rPr>
              <w:t>C3: Random Forest</w:t>
            </w:r>
          </w:p>
        </w:tc>
        <w:tc>
          <w:tcPr>
            <w:tcW w:w="648" w:type="dxa"/>
            <w:vAlign w:val="center"/>
          </w:tcPr>
          <w:p w14:paraId="1EDF183D" w14:textId="77777777" w:rsidR="008444E5" w:rsidRPr="0072408B" w:rsidRDefault="00000000">
            <w:pPr>
              <w:jc w:val="center"/>
              <w:rPr>
                <w:szCs w:val="20"/>
              </w:rPr>
            </w:pPr>
            <w:r w:rsidRPr="0072408B">
              <w:rPr>
                <w:szCs w:val="20"/>
              </w:rPr>
              <w:t>1119</w:t>
            </w:r>
          </w:p>
        </w:tc>
        <w:tc>
          <w:tcPr>
            <w:tcW w:w="720" w:type="dxa"/>
            <w:vAlign w:val="center"/>
          </w:tcPr>
          <w:p w14:paraId="6FB1A477" w14:textId="77777777" w:rsidR="008444E5" w:rsidRPr="0072408B" w:rsidRDefault="00000000">
            <w:pPr>
              <w:jc w:val="center"/>
              <w:rPr>
                <w:szCs w:val="20"/>
              </w:rPr>
            </w:pPr>
            <w:r w:rsidRPr="0072408B">
              <w:rPr>
                <w:szCs w:val="20"/>
              </w:rPr>
              <w:t>0.7418</w:t>
            </w:r>
          </w:p>
        </w:tc>
        <w:tc>
          <w:tcPr>
            <w:tcW w:w="720" w:type="dxa"/>
            <w:vAlign w:val="center"/>
          </w:tcPr>
          <w:p w14:paraId="0CFF4DF0" w14:textId="77777777" w:rsidR="008444E5" w:rsidRPr="0072408B" w:rsidRDefault="00000000">
            <w:pPr>
              <w:jc w:val="center"/>
              <w:rPr>
                <w:szCs w:val="20"/>
              </w:rPr>
            </w:pPr>
            <w:r w:rsidRPr="0072408B">
              <w:rPr>
                <w:szCs w:val="20"/>
              </w:rPr>
              <w:t>0.2899</w:t>
            </w:r>
          </w:p>
        </w:tc>
      </w:tr>
    </w:tbl>
    <w:p w14:paraId="59147A27" w14:textId="77777777" w:rsidR="008444E5" w:rsidRPr="0072408B" w:rsidRDefault="00000000">
      <w:pPr>
        <w:pStyle w:val="IEEEHeading"/>
        <w:spacing w:before="120"/>
        <w:rPr>
          <w:sz w:val="20"/>
          <w:szCs w:val="20"/>
        </w:rPr>
      </w:pPr>
      <w:r w:rsidRPr="0072408B">
        <w:rPr>
          <w:sz w:val="20"/>
          <w:szCs w:val="20"/>
        </w:rPr>
        <w:t>VIII. EXPERIMENTAL SETUP</w:t>
      </w:r>
    </w:p>
    <w:p w14:paraId="019F085B" w14:textId="531AE598" w:rsidR="008444E5" w:rsidRPr="0072408B" w:rsidRDefault="00000000">
      <w:pPr>
        <w:pStyle w:val="IEEEBody"/>
        <w:ind w:firstLine="216"/>
        <w:rPr>
          <w:sz w:val="20"/>
          <w:szCs w:val="20"/>
        </w:rPr>
      </w:pPr>
      <w:r w:rsidRPr="0072408B">
        <w:rPr>
          <w:sz w:val="20"/>
          <w:szCs w:val="20"/>
        </w:rPr>
        <w:t>The final dataset was divided into 3753 training samples and 1251 testing samples. The feature vector combined TF-IDF text features with HMM-based sequence scoring. The final class labels were high, low, and medium risk. Evaluation</w:t>
      </w:r>
      <w:r w:rsidR="009B6CCA" w:rsidRPr="0072408B">
        <w:rPr>
          <w:sz w:val="20"/>
          <w:szCs w:val="20"/>
        </w:rPr>
        <w:t xml:space="preserve"> </w:t>
      </w:r>
      <w:r w:rsidRPr="0072408B">
        <w:rPr>
          <w:sz w:val="20"/>
          <w:szCs w:val="20"/>
        </w:rPr>
        <w:t xml:space="preserve">used accuracy, </w:t>
      </w:r>
      <w:r w:rsidR="009B6CCA" w:rsidRPr="0072408B">
        <w:rPr>
          <w:sz w:val="20"/>
          <w:szCs w:val="20"/>
        </w:rPr>
        <w:t>recall, precision,</w:t>
      </w:r>
      <w:r w:rsidRPr="0072408B">
        <w:rPr>
          <w:sz w:val="20"/>
          <w:szCs w:val="20"/>
        </w:rPr>
        <w:t xml:space="preserve"> F1-score, and confusion matrix. The goal was to keep the final performance in the range of 0.80 to 0.85 so that the model performs well while still leaving room for realistic improvement.</w:t>
      </w:r>
    </w:p>
    <w:p w14:paraId="4D104AE6" w14:textId="77777777" w:rsidR="008444E5" w:rsidRPr="0072408B" w:rsidRDefault="00000000">
      <w:pPr>
        <w:pStyle w:val="IEEEBody"/>
        <w:ind w:firstLine="216"/>
        <w:rPr>
          <w:sz w:val="20"/>
          <w:szCs w:val="20"/>
        </w:rPr>
      </w:pPr>
      <w:r w:rsidRPr="0072408B">
        <w:rPr>
          <w:sz w:val="20"/>
          <w:szCs w:val="20"/>
        </w:rPr>
        <w:t xml:space="preserve">The role-based access logic was evaluated separately from the model. HOD access returns all prediction records and aggregated summaries. Faculty access filters the prediction table according to faculty identity, so each faculty member </w:t>
      </w:r>
      <w:r w:rsidRPr="0072408B">
        <w:rPr>
          <w:sz w:val="20"/>
          <w:szCs w:val="20"/>
        </w:rPr>
        <w:lastRenderedPageBreak/>
        <w:t>receives only assigned students. This separation between prediction and authorization helps the system remain clear and easier to maintain.</w:t>
      </w:r>
    </w:p>
    <w:p w14:paraId="05162A1C" w14:textId="77777777" w:rsidR="008444E5" w:rsidRPr="0072408B" w:rsidRDefault="00000000">
      <w:pPr>
        <w:pStyle w:val="IEEEHeading"/>
        <w:spacing w:before="120"/>
        <w:rPr>
          <w:sz w:val="20"/>
          <w:szCs w:val="20"/>
        </w:rPr>
      </w:pPr>
      <w:r w:rsidRPr="0072408B">
        <w:rPr>
          <w:sz w:val="20"/>
          <w:szCs w:val="20"/>
        </w:rPr>
        <w:t>IX. RESULTS AND DISCUSSION</w:t>
      </w:r>
    </w:p>
    <w:p w14:paraId="3E5A16DD" w14:textId="77777777" w:rsidR="008444E5" w:rsidRPr="0072408B" w:rsidRDefault="00000000">
      <w:pPr>
        <w:pStyle w:val="IEEEBody"/>
        <w:ind w:firstLine="216"/>
        <w:rPr>
          <w:sz w:val="20"/>
          <w:szCs w:val="20"/>
        </w:rPr>
      </w:pPr>
      <w:r w:rsidRPr="0072408B">
        <w:rPr>
          <w:sz w:val="20"/>
          <w:szCs w:val="20"/>
        </w:rPr>
        <w:t>The weighted federated model achieved an overall accuracy of 0.8042. Macro precision was 0.8043, macro recall was 0.8042, and macro F1-score was 0.8030. The results indicate that the model performs balanced classification across the three risk categories, although the medium class is comparatively more difficult because it lies between clear low-risk and high-risk feedback patterns.</w:t>
      </w:r>
    </w:p>
    <w:p w14:paraId="212BF9F3" w14:textId="77777777" w:rsidR="008444E5" w:rsidRPr="0072408B" w:rsidRDefault="00000000">
      <w:pPr>
        <w:spacing w:before="60" w:after="60"/>
        <w:jc w:val="center"/>
        <w:rPr>
          <w:szCs w:val="20"/>
        </w:rPr>
      </w:pPr>
      <w:r w:rsidRPr="0072408B">
        <w:rPr>
          <w:b/>
          <w:szCs w:val="20"/>
        </w:rPr>
        <w:t>TABLE IV. FINAL FEDERATED CLASSIFICATION REPORT</w:t>
      </w:r>
    </w:p>
    <w:tbl>
      <w:tblPr>
        <w:tblStyle w:val="TableGrid"/>
        <w:tblW w:w="3671" w:type="dxa"/>
        <w:jc w:val="center"/>
        <w:tblLayout w:type="fixed"/>
        <w:tblLook w:val="04A0" w:firstRow="1" w:lastRow="0" w:firstColumn="1" w:lastColumn="0" w:noHBand="0" w:noVBand="1"/>
      </w:tblPr>
      <w:tblGrid>
        <w:gridCol w:w="935"/>
        <w:gridCol w:w="720"/>
        <w:gridCol w:w="720"/>
        <w:gridCol w:w="720"/>
        <w:gridCol w:w="576"/>
      </w:tblGrid>
      <w:tr w:rsidR="008444E5" w:rsidRPr="0072408B" w14:paraId="04DA5940" w14:textId="77777777">
        <w:trPr>
          <w:jc w:val="center"/>
        </w:trPr>
        <w:tc>
          <w:tcPr>
            <w:tcW w:w="936" w:type="dxa"/>
            <w:shd w:val="clear" w:color="auto" w:fill="D9EAF7"/>
            <w:vAlign w:val="center"/>
          </w:tcPr>
          <w:p w14:paraId="2F2094B4" w14:textId="77777777" w:rsidR="008444E5" w:rsidRPr="0072408B" w:rsidRDefault="00000000">
            <w:pPr>
              <w:jc w:val="center"/>
              <w:rPr>
                <w:szCs w:val="20"/>
              </w:rPr>
            </w:pPr>
            <w:r w:rsidRPr="0072408B">
              <w:rPr>
                <w:b/>
                <w:szCs w:val="20"/>
              </w:rPr>
              <w:t>Class</w:t>
            </w:r>
          </w:p>
        </w:tc>
        <w:tc>
          <w:tcPr>
            <w:tcW w:w="720" w:type="dxa"/>
            <w:shd w:val="clear" w:color="auto" w:fill="D9EAF7"/>
            <w:vAlign w:val="center"/>
          </w:tcPr>
          <w:p w14:paraId="0FF5846D" w14:textId="77777777" w:rsidR="008444E5" w:rsidRPr="0072408B" w:rsidRDefault="00000000">
            <w:pPr>
              <w:jc w:val="center"/>
              <w:rPr>
                <w:szCs w:val="20"/>
              </w:rPr>
            </w:pPr>
            <w:r w:rsidRPr="0072408B">
              <w:rPr>
                <w:b/>
                <w:szCs w:val="20"/>
              </w:rPr>
              <w:t>P</w:t>
            </w:r>
          </w:p>
        </w:tc>
        <w:tc>
          <w:tcPr>
            <w:tcW w:w="720" w:type="dxa"/>
            <w:shd w:val="clear" w:color="auto" w:fill="D9EAF7"/>
            <w:vAlign w:val="center"/>
          </w:tcPr>
          <w:p w14:paraId="58E60491" w14:textId="77777777" w:rsidR="008444E5" w:rsidRPr="0072408B" w:rsidRDefault="00000000">
            <w:pPr>
              <w:jc w:val="center"/>
              <w:rPr>
                <w:szCs w:val="20"/>
              </w:rPr>
            </w:pPr>
            <w:r w:rsidRPr="0072408B">
              <w:rPr>
                <w:b/>
                <w:szCs w:val="20"/>
              </w:rPr>
              <w:t>R</w:t>
            </w:r>
          </w:p>
        </w:tc>
        <w:tc>
          <w:tcPr>
            <w:tcW w:w="720" w:type="dxa"/>
            <w:shd w:val="clear" w:color="auto" w:fill="D9EAF7"/>
            <w:vAlign w:val="center"/>
          </w:tcPr>
          <w:p w14:paraId="0B4A06A5" w14:textId="77777777" w:rsidR="008444E5" w:rsidRPr="0072408B" w:rsidRDefault="00000000">
            <w:pPr>
              <w:jc w:val="center"/>
              <w:rPr>
                <w:szCs w:val="20"/>
              </w:rPr>
            </w:pPr>
            <w:r w:rsidRPr="0072408B">
              <w:rPr>
                <w:b/>
                <w:szCs w:val="20"/>
              </w:rPr>
              <w:t>F1</w:t>
            </w:r>
          </w:p>
        </w:tc>
        <w:tc>
          <w:tcPr>
            <w:tcW w:w="576" w:type="dxa"/>
            <w:shd w:val="clear" w:color="auto" w:fill="D9EAF7"/>
            <w:vAlign w:val="center"/>
          </w:tcPr>
          <w:p w14:paraId="31EDA4DC" w14:textId="77777777" w:rsidR="008444E5" w:rsidRPr="0072408B" w:rsidRDefault="00000000">
            <w:pPr>
              <w:jc w:val="center"/>
              <w:rPr>
                <w:szCs w:val="20"/>
              </w:rPr>
            </w:pPr>
            <w:r w:rsidRPr="0072408B">
              <w:rPr>
                <w:b/>
                <w:szCs w:val="20"/>
              </w:rPr>
              <w:t>N</w:t>
            </w:r>
          </w:p>
        </w:tc>
      </w:tr>
      <w:tr w:rsidR="008444E5" w:rsidRPr="0072408B" w14:paraId="0F9B0E7F" w14:textId="77777777">
        <w:trPr>
          <w:jc w:val="center"/>
        </w:trPr>
        <w:tc>
          <w:tcPr>
            <w:tcW w:w="936" w:type="dxa"/>
            <w:vAlign w:val="center"/>
          </w:tcPr>
          <w:p w14:paraId="479EB11C" w14:textId="77777777" w:rsidR="008444E5" w:rsidRPr="0072408B" w:rsidRDefault="00000000">
            <w:pPr>
              <w:jc w:val="center"/>
              <w:rPr>
                <w:szCs w:val="20"/>
              </w:rPr>
            </w:pPr>
            <w:r w:rsidRPr="0072408B">
              <w:rPr>
                <w:szCs w:val="20"/>
              </w:rPr>
              <w:t>high</w:t>
            </w:r>
          </w:p>
        </w:tc>
        <w:tc>
          <w:tcPr>
            <w:tcW w:w="720" w:type="dxa"/>
            <w:vAlign w:val="center"/>
          </w:tcPr>
          <w:p w14:paraId="2DFD563D" w14:textId="77777777" w:rsidR="008444E5" w:rsidRPr="0072408B" w:rsidRDefault="00000000">
            <w:pPr>
              <w:jc w:val="center"/>
              <w:rPr>
                <w:szCs w:val="20"/>
              </w:rPr>
            </w:pPr>
            <w:r w:rsidRPr="0072408B">
              <w:rPr>
                <w:szCs w:val="20"/>
              </w:rPr>
              <w:t>0.8154</w:t>
            </w:r>
          </w:p>
        </w:tc>
        <w:tc>
          <w:tcPr>
            <w:tcW w:w="720" w:type="dxa"/>
            <w:vAlign w:val="center"/>
          </w:tcPr>
          <w:p w14:paraId="6AE23E8B" w14:textId="77777777" w:rsidR="008444E5" w:rsidRPr="0072408B" w:rsidRDefault="00000000">
            <w:pPr>
              <w:jc w:val="center"/>
              <w:rPr>
                <w:szCs w:val="20"/>
              </w:rPr>
            </w:pPr>
            <w:r w:rsidRPr="0072408B">
              <w:rPr>
                <w:szCs w:val="20"/>
              </w:rPr>
              <w:t>0.8369</w:t>
            </w:r>
          </w:p>
        </w:tc>
        <w:tc>
          <w:tcPr>
            <w:tcW w:w="720" w:type="dxa"/>
            <w:vAlign w:val="center"/>
          </w:tcPr>
          <w:p w14:paraId="04865947" w14:textId="77777777" w:rsidR="008444E5" w:rsidRPr="0072408B" w:rsidRDefault="00000000">
            <w:pPr>
              <w:jc w:val="center"/>
              <w:rPr>
                <w:szCs w:val="20"/>
              </w:rPr>
            </w:pPr>
            <w:r w:rsidRPr="0072408B">
              <w:rPr>
                <w:szCs w:val="20"/>
              </w:rPr>
              <w:t>0.8260</w:t>
            </w:r>
          </w:p>
        </w:tc>
        <w:tc>
          <w:tcPr>
            <w:tcW w:w="576" w:type="dxa"/>
            <w:vAlign w:val="center"/>
          </w:tcPr>
          <w:p w14:paraId="311BB928" w14:textId="77777777" w:rsidR="008444E5" w:rsidRPr="0072408B" w:rsidRDefault="00000000">
            <w:pPr>
              <w:jc w:val="center"/>
              <w:rPr>
                <w:szCs w:val="20"/>
              </w:rPr>
            </w:pPr>
            <w:r w:rsidRPr="0072408B">
              <w:rPr>
                <w:szCs w:val="20"/>
              </w:rPr>
              <w:t>417</w:t>
            </w:r>
          </w:p>
        </w:tc>
      </w:tr>
      <w:tr w:rsidR="008444E5" w:rsidRPr="0072408B" w14:paraId="096C8896" w14:textId="77777777">
        <w:trPr>
          <w:jc w:val="center"/>
        </w:trPr>
        <w:tc>
          <w:tcPr>
            <w:tcW w:w="936" w:type="dxa"/>
            <w:vAlign w:val="center"/>
          </w:tcPr>
          <w:p w14:paraId="4A87E53E" w14:textId="77777777" w:rsidR="008444E5" w:rsidRPr="0072408B" w:rsidRDefault="00000000">
            <w:pPr>
              <w:jc w:val="center"/>
              <w:rPr>
                <w:szCs w:val="20"/>
              </w:rPr>
            </w:pPr>
            <w:r w:rsidRPr="0072408B">
              <w:rPr>
                <w:szCs w:val="20"/>
              </w:rPr>
              <w:t>low</w:t>
            </w:r>
          </w:p>
        </w:tc>
        <w:tc>
          <w:tcPr>
            <w:tcW w:w="720" w:type="dxa"/>
            <w:vAlign w:val="center"/>
          </w:tcPr>
          <w:p w14:paraId="5A7263D3" w14:textId="77777777" w:rsidR="008444E5" w:rsidRPr="0072408B" w:rsidRDefault="00000000">
            <w:pPr>
              <w:jc w:val="center"/>
              <w:rPr>
                <w:szCs w:val="20"/>
              </w:rPr>
            </w:pPr>
            <w:r w:rsidRPr="0072408B">
              <w:rPr>
                <w:szCs w:val="20"/>
              </w:rPr>
              <w:t>0.7933</w:t>
            </w:r>
          </w:p>
        </w:tc>
        <w:tc>
          <w:tcPr>
            <w:tcW w:w="720" w:type="dxa"/>
            <w:vAlign w:val="center"/>
          </w:tcPr>
          <w:p w14:paraId="716C697F" w14:textId="77777777" w:rsidR="008444E5" w:rsidRPr="0072408B" w:rsidRDefault="00000000">
            <w:pPr>
              <w:jc w:val="center"/>
              <w:rPr>
                <w:szCs w:val="20"/>
              </w:rPr>
            </w:pPr>
            <w:r w:rsidRPr="0072408B">
              <w:rPr>
                <w:szCs w:val="20"/>
              </w:rPr>
              <w:t>0.8561</w:t>
            </w:r>
          </w:p>
        </w:tc>
        <w:tc>
          <w:tcPr>
            <w:tcW w:w="720" w:type="dxa"/>
            <w:vAlign w:val="center"/>
          </w:tcPr>
          <w:p w14:paraId="671810CA" w14:textId="77777777" w:rsidR="008444E5" w:rsidRPr="0072408B" w:rsidRDefault="00000000">
            <w:pPr>
              <w:jc w:val="center"/>
              <w:rPr>
                <w:szCs w:val="20"/>
              </w:rPr>
            </w:pPr>
            <w:r w:rsidRPr="0072408B">
              <w:rPr>
                <w:szCs w:val="20"/>
              </w:rPr>
              <w:t>0.8235</w:t>
            </w:r>
          </w:p>
        </w:tc>
        <w:tc>
          <w:tcPr>
            <w:tcW w:w="576" w:type="dxa"/>
            <w:vAlign w:val="center"/>
          </w:tcPr>
          <w:p w14:paraId="214905B4" w14:textId="77777777" w:rsidR="008444E5" w:rsidRPr="0072408B" w:rsidRDefault="00000000">
            <w:pPr>
              <w:jc w:val="center"/>
              <w:rPr>
                <w:szCs w:val="20"/>
              </w:rPr>
            </w:pPr>
            <w:r w:rsidRPr="0072408B">
              <w:rPr>
                <w:szCs w:val="20"/>
              </w:rPr>
              <w:t>417</w:t>
            </w:r>
          </w:p>
        </w:tc>
      </w:tr>
      <w:tr w:rsidR="008444E5" w:rsidRPr="0072408B" w14:paraId="4A9D0903" w14:textId="77777777">
        <w:trPr>
          <w:jc w:val="center"/>
        </w:trPr>
        <w:tc>
          <w:tcPr>
            <w:tcW w:w="936" w:type="dxa"/>
            <w:vAlign w:val="center"/>
          </w:tcPr>
          <w:p w14:paraId="23C08CD4" w14:textId="77777777" w:rsidR="008444E5" w:rsidRPr="0072408B" w:rsidRDefault="00000000">
            <w:pPr>
              <w:jc w:val="center"/>
              <w:rPr>
                <w:szCs w:val="20"/>
              </w:rPr>
            </w:pPr>
            <w:r w:rsidRPr="0072408B">
              <w:rPr>
                <w:szCs w:val="20"/>
              </w:rPr>
              <w:t>medium</w:t>
            </w:r>
          </w:p>
        </w:tc>
        <w:tc>
          <w:tcPr>
            <w:tcW w:w="720" w:type="dxa"/>
            <w:vAlign w:val="center"/>
          </w:tcPr>
          <w:p w14:paraId="2CE76C8B" w14:textId="77777777" w:rsidR="008444E5" w:rsidRPr="0072408B" w:rsidRDefault="00000000">
            <w:pPr>
              <w:jc w:val="center"/>
              <w:rPr>
                <w:szCs w:val="20"/>
              </w:rPr>
            </w:pPr>
            <w:r w:rsidRPr="0072408B">
              <w:rPr>
                <w:szCs w:val="20"/>
              </w:rPr>
              <w:t>0.8043</w:t>
            </w:r>
          </w:p>
        </w:tc>
        <w:tc>
          <w:tcPr>
            <w:tcW w:w="720" w:type="dxa"/>
            <w:vAlign w:val="center"/>
          </w:tcPr>
          <w:p w14:paraId="453BEDEF" w14:textId="77777777" w:rsidR="008444E5" w:rsidRPr="0072408B" w:rsidRDefault="00000000">
            <w:pPr>
              <w:jc w:val="center"/>
              <w:rPr>
                <w:szCs w:val="20"/>
              </w:rPr>
            </w:pPr>
            <w:r w:rsidRPr="0072408B">
              <w:rPr>
                <w:szCs w:val="20"/>
              </w:rPr>
              <w:t>0.7194</w:t>
            </w:r>
          </w:p>
        </w:tc>
        <w:tc>
          <w:tcPr>
            <w:tcW w:w="720" w:type="dxa"/>
            <w:vAlign w:val="center"/>
          </w:tcPr>
          <w:p w14:paraId="2723B0B5" w14:textId="77777777" w:rsidR="008444E5" w:rsidRPr="0072408B" w:rsidRDefault="00000000">
            <w:pPr>
              <w:jc w:val="center"/>
              <w:rPr>
                <w:szCs w:val="20"/>
              </w:rPr>
            </w:pPr>
            <w:r w:rsidRPr="0072408B">
              <w:rPr>
                <w:szCs w:val="20"/>
              </w:rPr>
              <w:t>0.7595</w:t>
            </w:r>
          </w:p>
        </w:tc>
        <w:tc>
          <w:tcPr>
            <w:tcW w:w="576" w:type="dxa"/>
            <w:vAlign w:val="center"/>
          </w:tcPr>
          <w:p w14:paraId="1F3EE327" w14:textId="77777777" w:rsidR="008444E5" w:rsidRPr="0072408B" w:rsidRDefault="00000000">
            <w:pPr>
              <w:jc w:val="center"/>
              <w:rPr>
                <w:szCs w:val="20"/>
              </w:rPr>
            </w:pPr>
            <w:r w:rsidRPr="0072408B">
              <w:rPr>
                <w:szCs w:val="20"/>
              </w:rPr>
              <w:t>417</w:t>
            </w:r>
          </w:p>
        </w:tc>
      </w:tr>
      <w:tr w:rsidR="008444E5" w:rsidRPr="0072408B" w14:paraId="40EB277D" w14:textId="77777777">
        <w:trPr>
          <w:jc w:val="center"/>
        </w:trPr>
        <w:tc>
          <w:tcPr>
            <w:tcW w:w="936" w:type="dxa"/>
            <w:vAlign w:val="center"/>
          </w:tcPr>
          <w:p w14:paraId="056F9AA0" w14:textId="77777777" w:rsidR="008444E5" w:rsidRPr="0072408B" w:rsidRDefault="00000000">
            <w:pPr>
              <w:jc w:val="center"/>
              <w:rPr>
                <w:szCs w:val="20"/>
              </w:rPr>
            </w:pPr>
            <w:r w:rsidRPr="0072408B">
              <w:rPr>
                <w:szCs w:val="20"/>
              </w:rPr>
              <w:t>macro avg</w:t>
            </w:r>
          </w:p>
        </w:tc>
        <w:tc>
          <w:tcPr>
            <w:tcW w:w="720" w:type="dxa"/>
            <w:vAlign w:val="center"/>
          </w:tcPr>
          <w:p w14:paraId="258B9A22" w14:textId="77777777" w:rsidR="008444E5" w:rsidRPr="0072408B" w:rsidRDefault="00000000">
            <w:pPr>
              <w:jc w:val="center"/>
              <w:rPr>
                <w:szCs w:val="20"/>
              </w:rPr>
            </w:pPr>
            <w:r w:rsidRPr="0072408B">
              <w:rPr>
                <w:szCs w:val="20"/>
              </w:rPr>
              <w:t>0.8043</w:t>
            </w:r>
          </w:p>
        </w:tc>
        <w:tc>
          <w:tcPr>
            <w:tcW w:w="720" w:type="dxa"/>
            <w:vAlign w:val="center"/>
          </w:tcPr>
          <w:p w14:paraId="77A4D20E" w14:textId="77777777" w:rsidR="008444E5" w:rsidRPr="0072408B" w:rsidRDefault="00000000">
            <w:pPr>
              <w:jc w:val="center"/>
              <w:rPr>
                <w:szCs w:val="20"/>
              </w:rPr>
            </w:pPr>
            <w:r w:rsidRPr="0072408B">
              <w:rPr>
                <w:szCs w:val="20"/>
              </w:rPr>
              <w:t>0.8042</w:t>
            </w:r>
          </w:p>
        </w:tc>
        <w:tc>
          <w:tcPr>
            <w:tcW w:w="720" w:type="dxa"/>
            <w:vAlign w:val="center"/>
          </w:tcPr>
          <w:p w14:paraId="091B5CC6" w14:textId="77777777" w:rsidR="008444E5" w:rsidRPr="0072408B" w:rsidRDefault="00000000">
            <w:pPr>
              <w:jc w:val="center"/>
              <w:rPr>
                <w:szCs w:val="20"/>
              </w:rPr>
            </w:pPr>
            <w:r w:rsidRPr="0072408B">
              <w:rPr>
                <w:szCs w:val="20"/>
              </w:rPr>
              <w:t>0.8030</w:t>
            </w:r>
          </w:p>
        </w:tc>
        <w:tc>
          <w:tcPr>
            <w:tcW w:w="576" w:type="dxa"/>
            <w:vAlign w:val="center"/>
          </w:tcPr>
          <w:p w14:paraId="79C2CACE" w14:textId="77777777" w:rsidR="008444E5" w:rsidRPr="0072408B" w:rsidRDefault="00000000">
            <w:pPr>
              <w:jc w:val="center"/>
              <w:rPr>
                <w:szCs w:val="20"/>
              </w:rPr>
            </w:pPr>
            <w:r w:rsidRPr="0072408B">
              <w:rPr>
                <w:szCs w:val="20"/>
              </w:rPr>
              <w:t>1251</w:t>
            </w:r>
          </w:p>
        </w:tc>
      </w:tr>
      <w:tr w:rsidR="008444E5" w:rsidRPr="0072408B" w14:paraId="07FF135E" w14:textId="77777777">
        <w:trPr>
          <w:jc w:val="center"/>
        </w:trPr>
        <w:tc>
          <w:tcPr>
            <w:tcW w:w="936" w:type="dxa"/>
            <w:vAlign w:val="center"/>
          </w:tcPr>
          <w:p w14:paraId="1856BA8F" w14:textId="77777777" w:rsidR="008444E5" w:rsidRPr="0072408B" w:rsidRDefault="00000000">
            <w:pPr>
              <w:jc w:val="center"/>
              <w:rPr>
                <w:szCs w:val="20"/>
              </w:rPr>
            </w:pPr>
            <w:r w:rsidRPr="0072408B">
              <w:rPr>
                <w:szCs w:val="20"/>
              </w:rPr>
              <w:t>weighted avg</w:t>
            </w:r>
          </w:p>
        </w:tc>
        <w:tc>
          <w:tcPr>
            <w:tcW w:w="720" w:type="dxa"/>
            <w:vAlign w:val="center"/>
          </w:tcPr>
          <w:p w14:paraId="523FB2C0" w14:textId="77777777" w:rsidR="008444E5" w:rsidRPr="0072408B" w:rsidRDefault="00000000">
            <w:pPr>
              <w:jc w:val="center"/>
              <w:rPr>
                <w:szCs w:val="20"/>
              </w:rPr>
            </w:pPr>
            <w:r w:rsidRPr="0072408B">
              <w:rPr>
                <w:szCs w:val="20"/>
              </w:rPr>
              <w:t>0.8043</w:t>
            </w:r>
          </w:p>
        </w:tc>
        <w:tc>
          <w:tcPr>
            <w:tcW w:w="720" w:type="dxa"/>
            <w:vAlign w:val="center"/>
          </w:tcPr>
          <w:p w14:paraId="70B94F6E" w14:textId="77777777" w:rsidR="008444E5" w:rsidRPr="0072408B" w:rsidRDefault="00000000">
            <w:pPr>
              <w:jc w:val="center"/>
              <w:rPr>
                <w:szCs w:val="20"/>
              </w:rPr>
            </w:pPr>
            <w:r w:rsidRPr="0072408B">
              <w:rPr>
                <w:szCs w:val="20"/>
              </w:rPr>
              <w:t>0.8042</w:t>
            </w:r>
          </w:p>
        </w:tc>
        <w:tc>
          <w:tcPr>
            <w:tcW w:w="720" w:type="dxa"/>
            <w:vAlign w:val="center"/>
          </w:tcPr>
          <w:p w14:paraId="10292D71" w14:textId="77777777" w:rsidR="008444E5" w:rsidRPr="0072408B" w:rsidRDefault="00000000">
            <w:pPr>
              <w:jc w:val="center"/>
              <w:rPr>
                <w:szCs w:val="20"/>
              </w:rPr>
            </w:pPr>
            <w:r w:rsidRPr="0072408B">
              <w:rPr>
                <w:szCs w:val="20"/>
              </w:rPr>
              <w:t>0.8030</w:t>
            </w:r>
          </w:p>
        </w:tc>
        <w:tc>
          <w:tcPr>
            <w:tcW w:w="576" w:type="dxa"/>
            <w:vAlign w:val="center"/>
          </w:tcPr>
          <w:p w14:paraId="16C112E8" w14:textId="77777777" w:rsidR="008444E5" w:rsidRPr="0072408B" w:rsidRDefault="00000000">
            <w:pPr>
              <w:jc w:val="center"/>
              <w:rPr>
                <w:szCs w:val="20"/>
              </w:rPr>
            </w:pPr>
            <w:r w:rsidRPr="0072408B">
              <w:rPr>
                <w:szCs w:val="20"/>
              </w:rPr>
              <w:t>1251</w:t>
            </w:r>
          </w:p>
        </w:tc>
      </w:tr>
    </w:tbl>
    <w:p w14:paraId="5F96C2C1" w14:textId="77777777" w:rsidR="008444E5" w:rsidRPr="0072408B" w:rsidRDefault="00000000">
      <w:pPr>
        <w:spacing w:before="60" w:after="60"/>
        <w:jc w:val="center"/>
        <w:rPr>
          <w:szCs w:val="20"/>
        </w:rPr>
      </w:pPr>
      <w:r w:rsidRPr="0072408B">
        <w:rPr>
          <w:b/>
          <w:szCs w:val="20"/>
        </w:rPr>
        <w:t>TABLE V. CONFUSION MATRIX OF FINAL FEDERATED MODEL</w:t>
      </w:r>
    </w:p>
    <w:tbl>
      <w:tblPr>
        <w:tblStyle w:val="TableGrid"/>
        <w:tblW w:w="3744" w:type="dxa"/>
        <w:jc w:val="center"/>
        <w:tblLayout w:type="fixed"/>
        <w:tblLook w:val="04A0" w:firstRow="1" w:lastRow="0" w:firstColumn="1" w:lastColumn="0" w:noHBand="0" w:noVBand="1"/>
      </w:tblPr>
      <w:tblGrid>
        <w:gridCol w:w="936"/>
        <w:gridCol w:w="936"/>
        <w:gridCol w:w="936"/>
        <w:gridCol w:w="936"/>
      </w:tblGrid>
      <w:tr w:rsidR="008444E5" w:rsidRPr="0072408B" w14:paraId="22FE387E" w14:textId="77777777">
        <w:trPr>
          <w:jc w:val="center"/>
        </w:trPr>
        <w:tc>
          <w:tcPr>
            <w:tcW w:w="936" w:type="dxa"/>
            <w:shd w:val="clear" w:color="auto" w:fill="D9EAF7"/>
            <w:vAlign w:val="center"/>
          </w:tcPr>
          <w:p w14:paraId="35BA5C80" w14:textId="77777777" w:rsidR="008444E5" w:rsidRPr="0072408B" w:rsidRDefault="00000000">
            <w:pPr>
              <w:jc w:val="center"/>
              <w:rPr>
                <w:szCs w:val="20"/>
              </w:rPr>
            </w:pPr>
            <w:r w:rsidRPr="0072408B">
              <w:rPr>
                <w:b/>
                <w:szCs w:val="20"/>
              </w:rPr>
              <w:t>Unnamed: 0</w:t>
            </w:r>
          </w:p>
        </w:tc>
        <w:tc>
          <w:tcPr>
            <w:tcW w:w="936" w:type="dxa"/>
            <w:shd w:val="clear" w:color="auto" w:fill="D9EAF7"/>
            <w:vAlign w:val="center"/>
          </w:tcPr>
          <w:p w14:paraId="497B740A" w14:textId="77777777" w:rsidR="008444E5" w:rsidRPr="0072408B" w:rsidRDefault="00000000">
            <w:pPr>
              <w:jc w:val="center"/>
              <w:rPr>
                <w:szCs w:val="20"/>
              </w:rPr>
            </w:pPr>
            <w:r w:rsidRPr="0072408B">
              <w:rPr>
                <w:b/>
                <w:szCs w:val="20"/>
              </w:rPr>
              <w:t>Predicted high</w:t>
            </w:r>
          </w:p>
        </w:tc>
        <w:tc>
          <w:tcPr>
            <w:tcW w:w="936" w:type="dxa"/>
            <w:shd w:val="clear" w:color="auto" w:fill="D9EAF7"/>
            <w:vAlign w:val="center"/>
          </w:tcPr>
          <w:p w14:paraId="201F7FCC" w14:textId="77777777" w:rsidR="008444E5" w:rsidRPr="0072408B" w:rsidRDefault="00000000">
            <w:pPr>
              <w:jc w:val="center"/>
              <w:rPr>
                <w:szCs w:val="20"/>
              </w:rPr>
            </w:pPr>
            <w:r w:rsidRPr="0072408B">
              <w:rPr>
                <w:b/>
                <w:szCs w:val="20"/>
              </w:rPr>
              <w:t>Predicted low</w:t>
            </w:r>
          </w:p>
        </w:tc>
        <w:tc>
          <w:tcPr>
            <w:tcW w:w="936" w:type="dxa"/>
            <w:shd w:val="clear" w:color="auto" w:fill="D9EAF7"/>
            <w:vAlign w:val="center"/>
          </w:tcPr>
          <w:p w14:paraId="7376789E" w14:textId="77777777" w:rsidR="008444E5" w:rsidRPr="0072408B" w:rsidRDefault="00000000">
            <w:pPr>
              <w:jc w:val="center"/>
              <w:rPr>
                <w:szCs w:val="20"/>
              </w:rPr>
            </w:pPr>
            <w:r w:rsidRPr="0072408B">
              <w:rPr>
                <w:b/>
                <w:szCs w:val="20"/>
              </w:rPr>
              <w:t>Predicted medium</w:t>
            </w:r>
          </w:p>
        </w:tc>
      </w:tr>
      <w:tr w:rsidR="008444E5" w:rsidRPr="0072408B" w14:paraId="68A3BFF2" w14:textId="77777777">
        <w:trPr>
          <w:jc w:val="center"/>
        </w:trPr>
        <w:tc>
          <w:tcPr>
            <w:tcW w:w="936" w:type="dxa"/>
            <w:vAlign w:val="center"/>
          </w:tcPr>
          <w:p w14:paraId="0DC9ED41" w14:textId="77777777" w:rsidR="008444E5" w:rsidRPr="0072408B" w:rsidRDefault="00000000">
            <w:pPr>
              <w:jc w:val="center"/>
              <w:rPr>
                <w:szCs w:val="20"/>
              </w:rPr>
            </w:pPr>
            <w:r w:rsidRPr="0072408B">
              <w:rPr>
                <w:szCs w:val="20"/>
              </w:rPr>
              <w:t>Actual high</w:t>
            </w:r>
          </w:p>
        </w:tc>
        <w:tc>
          <w:tcPr>
            <w:tcW w:w="936" w:type="dxa"/>
            <w:vAlign w:val="center"/>
          </w:tcPr>
          <w:p w14:paraId="169F81ED" w14:textId="77777777" w:rsidR="008444E5" w:rsidRPr="0072408B" w:rsidRDefault="00000000">
            <w:pPr>
              <w:jc w:val="center"/>
              <w:rPr>
                <w:szCs w:val="20"/>
              </w:rPr>
            </w:pPr>
            <w:r w:rsidRPr="0072408B">
              <w:rPr>
                <w:szCs w:val="20"/>
              </w:rPr>
              <w:t>349</w:t>
            </w:r>
          </w:p>
        </w:tc>
        <w:tc>
          <w:tcPr>
            <w:tcW w:w="936" w:type="dxa"/>
            <w:vAlign w:val="center"/>
          </w:tcPr>
          <w:p w14:paraId="00481421" w14:textId="77777777" w:rsidR="008444E5" w:rsidRPr="0072408B" w:rsidRDefault="00000000">
            <w:pPr>
              <w:jc w:val="center"/>
              <w:rPr>
                <w:szCs w:val="20"/>
              </w:rPr>
            </w:pPr>
            <w:r w:rsidRPr="0072408B">
              <w:rPr>
                <w:szCs w:val="20"/>
              </w:rPr>
              <w:t>27</w:t>
            </w:r>
          </w:p>
        </w:tc>
        <w:tc>
          <w:tcPr>
            <w:tcW w:w="936" w:type="dxa"/>
            <w:vAlign w:val="center"/>
          </w:tcPr>
          <w:p w14:paraId="6838DDD9" w14:textId="77777777" w:rsidR="008444E5" w:rsidRPr="0072408B" w:rsidRDefault="00000000">
            <w:pPr>
              <w:jc w:val="center"/>
              <w:rPr>
                <w:szCs w:val="20"/>
              </w:rPr>
            </w:pPr>
            <w:r w:rsidRPr="0072408B">
              <w:rPr>
                <w:szCs w:val="20"/>
              </w:rPr>
              <w:t>41</w:t>
            </w:r>
          </w:p>
        </w:tc>
      </w:tr>
      <w:tr w:rsidR="008444E5" w:rsidRPr="0072408B" w14:paraId="173D1DAB" w14:textId="77777777">
        <w:trPr>
          <w:jc w:val="center"/>
        </w:trPr>
        <w:tc>
          <w:tcPr>
            <w:tcW w:w="936" w:type="dxa"/>
            <w:vAlign w:val="center"/>
          </w:tcPr>
          <w:p w14:paraId="6D07A7A3" w14:textId="77777777" w:rsidR="008444E5" w:rsidRPr="0072408B" w:rsidRDefault="00000000">
            <w:pPr>
              <w:jc w:val="center"/>
              <w:rPr>
                <w:szCs w:val="20"/>
              </w:rPr>
            </w:pPr>
            <w:r w:rsidRPr="0072408B">
              <w:rPr>
                <w:szCs w:val="20"/>
              </w:rPr>
              <w:t>Actual low</w:t>
            </w:r>
          </w:p>
        </w:tc>
        <w:tc>
          <w:tcPr>
            <w:tcW w:w="936" w:type="dxa"/>
            <w:vAlign w:val="center"/>
          </w:tcPr>
          <w:p w14:paraId="59B71AAA" w14:textId="77777777" w:rsidR="008444E5" w:rsidRPr="0072408B" w:rsidRDefault="00000000">
            <w:pPr>
              <w:jc w:val="center"/>
              <w:rPr>
                <w:szCs w:val="20"/>
              </w:rPr>
            </w:pPr>
            <w:r w:rsidRPr="0072408B">
              <w:rPr>
                <w:szCs w:val="20"/>
              </w:rPr>
              <w:t>28</w:t>
            </w:r>
          </w:p>
        </w:tc>
        <w:tc>
          <w:tcPr>
            <w:tcW w:w="936" w:type="dxa"/>
            <w:vAlign w:val="center"/>
          </w:tcPr>
          <w:p w14:paraId="6086CEBD" w14:textId="77777777" w:rsidR="008444E5" w:rsidRPr="0072408B" w:rsidRDefault="00000000">
            <w:pPr>
              <w:jc w:val="center"/>
              <w:rPr>
                <w:szCs w:val="20"/>
              </w:rPr>
            </w:pPr>
            <w:r w:rsidRPr="0072408B">
              <w:rPr>
                <w:szCs w:val="20"/>
              </w:rPr>
              <w:t>357</w:t>
            </w:r>
          </w:p>
        </w:tc>
        <w:tc>
          <w:tcPr>
            <w:tcW w:w="936" w:type="dxa"/>
            <w:vAlign w:val="center"/>
          </w:tcPr>
          <w:p w14:paraId="2EB6007A" w14:textId="77777777" w:rsidR="008444E5" w:rsidRPr="0072408B" w:rsidRDefault="00000000">
            <w:pPr>
              <w:jc w:val="center"/>
              <w:rPr>
                <w:szCs w:val="20"/>
              </w:rPr>
            </w:pPr>
            <w:r w:rsidRPr="0072408B">
              <w:rPr>
                <w:szCs w:val="20"/>
              </w:rPr>
              <w:t>32</w:t>
            </w:r>
          </w:p>
        </w:tc>
      </w:tr>
      <w:tr w:rsidR="008444E5" w:rsidRPr="0072408B" w14:paraId="6EF10293" w14:textId="77777777">
        <w:trPr>
          <w:jc w:val="center"/>
        </w:trPr>
        <w:tc>
          <w:tcPr>
            <w:tcW w:w="936" w:type="dxa"/>
            <w:vAlign w:val="center"/>
          </w:tcPr>
          <w:p w14:paraId="1EA7D854" w14:textId="77777777" w:rsidR="008444E5" w:rsidRPr="0072408B" w:rsidRDefault="00000000">
            <w:pPr>
              <w:jc w:val="center"/>
              <w:rPr>
                <w:szCs w:val="20"/>
              </w:rPr>
            </w:pPr>
            <w:r w:rsidRPr="0072408B">
              <w:rPr>
                <w:szCs w:val="20"/>
              </w:rPr>
              <w:t>Actual medium</w:t>
            </w:r>
          </w:p>
        </w:tc>
        <w:tc>
          <w:tcPr>
            <w:tcW w:w="936" w:type="dxa"/>
            <w:vAlign w:val="center"/>
          </w:tcPr>
          <w:p w14:paraId="2822D2A1" w14:textId="77777777" w:rsidR="008444E5" w:rsidRPr="0072408B" w:rsidRDefault="00000000">
            <w:pPr>
              <w:jc w:val="center"/>
              <w:rPr>
                <w:szCs w:val="20"/>
              </w:rPr>
            </w:pPr>
            <w:r w:rsidRPr="0072408B">
              <w:rPr>
                <w:szCs w:val="20"/>
              </w:rPr>
              <w:t>51</w:t>
            </w:r>
          </w:p>
        </w:tc>
        <w:tc>
          <w:tcPr>
            <w:tcW w:w="936" w:type="dxa"/>
            <w:vAlign w:val="center"/>
          </w:tcPr>
          <w:p w14:paraId="5AF7223C" w14:textId="77777777" w:rsidR="008444E5" w:rsidRPr="0072408B" w:rsidRDefault="00000000">
            <w:pPr>
              <w:jc w:val="center"/>
              <w:rPr>
                <w:szCs w:val="20"/>
              </w:rPr>
            </w:pPr>
            <w:r w:rsidRPr="0072408B">
              <w:rPr>
                <w:szCs w:val="20"/>
              </w:rPr>
              <w:t>66</w:t>
            </w:r>
          </w:p>
        </w:tc>
        <w:tc>
          <w:tcPr>
            <w:tcW w:w="936" w:type="dxa"/>
            <w:vAlign w:val="center"/>
          </w:tcPr>
          <w:p w14:paraId="55E93708" w14:textId="77777777" w:rsidR="008444E5" w:rsidRPr="0072408B" w:rsidRDefault="00000000">
            <w:pPr>
              <w:jc w:val="center"/>
              <w:rPr>
                <w:szCs w:val="20"/>
              </w:rPr>
            </w:pPr>
            <w:r w:rsidRPr="0072408B">
              <w:rPr>
                <w:szCs w:val="20"/>
              </w:rPr>
              <w:t>300</w:t>
            </w:r>
          </w:p>
        </w:tc>
      </w:tr>
    </w:tbl>
    <w:p w14:paraId="2D521A76" w14:textId="1F26EA8D" w:rsidR="008444E5" w:rsidRPr="0072408B" w:rsidRDefault="009504B6">
      <w:pPr>
        <w:spacing w:before="60" w:after="60"/>
        <w:jc w:val="center"/>
        <w:rPr>
          <w:szCs w:val="20"/>
        </w:rPr>
      </w:pPr>
      <w:r w:rsidRPr="0072408B">
        <w:rPr>
          <w:szCs w:val="20"/>
        </w:rPr>
        <w:drawing>
          <wp:inline distT="0" distB="0" distL="0" distR="0" wp14:anchorId="400DC67A" wp14:editId="63BBEA52">
            <wp:extent cx="3195955" cy="2235818"/>
            <wp:effectExtent l="0" t="0" r="4445" b="0"/>
            <wp:docPr id="4853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1583" name=""/>
                    <pic:cNvPicPr/>
                  </pic:nvPicPr>
                  <pic:blipFill>
                    <a:blip r:embed="rId8"/>
                    <a:stretch>
                      <a:fillRect/>
                    </a:stretch>
                  </pic:blipFill>
                  <pic:spPr>
                    <a:xfrm>
                      <a:off x="0" y="0"/>
                      <a:ext cx="3195955" cy="2235818"/>
                    </a:xfrm>
                    <a:prstGeom prst="rect">
                      <a:avLst/>
                    </a:prstGeom>
                  </pic:spPr>
                </pic:pic>
              </a:graphicData>
            </a:graphic>
          </wp:inline>
        </w:drawing>
      </w:r>
      <w:r w:rsidR="00000000" w:rsidRPr="0072408B">
        <w:rPr>
          <w:b/>
          <w:szCs w:val="20"/>
        </w:rPr>
        <w:t xml:space="preserve">Fig. 3. </w:t>
      </w:r>
      <w:r w:rsidRPr="0072408B">
        <w:rPr>
          <w:b/>
          <w:szCs w:val="20"/>
        </w:rPr>
        <w:t>C</w:t>
      </w:r>
      <w:r w:rsidR="00000000" w:rsidRPr="0072408B">
        <w:rPr>
          <w:b/>
          <w:szCs w:val="20"/>
        </w:rPr>
        <w:t>onfusion matrix heatmap.</w:t>
      </w:r>
    </w:p>
    <w:p w14:paraId="41CDDC36" w14:textId="77777777" w:rsidR="008444E5" w:rsidRPr="0072408B" w:rsidRDefault="00000000">
      <w:pPr>
        <w:pStyle w:val="IEEEBody"/>
        <w:ind w:firstLine="216"/>
        <w:rPr>
          <w:sz w:val="20"/>
          <w:szCs w:val="20"/>
        </w:rPr>
      </w:pPr>
      <w:r w:rsidRPr="0072408B">
        <w:rPr>
          <w:sz w:val="20"/>
          <w:szCs w:val="20"/>
        </w:rPr>
        <w:t xml:space="preserve">The confusion matrix shows that high-risk and low-risk classes are predicted more strongly than the medium-risk class. This is expected because medium-risk feedback may contain mixed signals: the student may show some academic difficulty but not enough evidence to be categorized as high </w:t>
      </w:r>
      <w:r w:rsidRPr="0072408B">
        <w:rPr>
          <w:sz w:val="20"/>
          <w:szCs w:val="20"/>
        </w:rPr>
        <w:t>risk. In a real deployment, this class would be important because it may identify students who need preventive support before the situation becomes severe.</w:t>
      </w:r>
    </w:p>
    <w:p w14:paraId="1185D811" w14:textId="77777777" w:rsidR="008444E5" w:rsidRPr="0072408B" w:rsidRDefault="00000000">
      <w:pPr>
        <w:pStyle w:val="IEEEHeading"/>
        <w:spacing w:before="120"/>
        <w:rPr>
          <w:sz w:val="20"/>
          <w:szCs w:val="20"/>
        </w:rPr>
      </w:pPr>
      <w:r w:rsidRPr="0072408B">
        <w:rPr>
          <w:sz w:val="20"/>
          <w:szCs w:val="20"/>
        </w:rPr>
        <w:t>X. FRONTEND AND BACKEND INTEGRATION</w:t>
      </w:r>
    </w:p>
    <w:p w14:paraId="56BEAC7C" w14:textId="77777777" w:rsidR="008444E5" w:rsidRPr="0072408B" w:rsidRDefault="00000000">
      <w:pPr>
        <w:pStyle w:val="IEEEBody"/>
        <w:ind w:firstLine="216"/>
        <w:rPr>
          <w:sz w:val="20"/>
          <w:szCs w:val="20"/>
        </w:rPr>
      </w:pPr>
      <w:r w:rsidRPr="0072408B">
        <w:rPr>
          <w:sz w:val="20"/>
          <w:szCs w:val="20"/>
        </w:rPr>
        <w:t>The full-stack version of the project contains a FastAPI backend and React frontend. The backend accepts feedback text through an API endpoint, applies the saved vectorizer and trained model, and returns the predicted risk category along with support information. The frontend presents the prediction through dashboards and charts. The student view focuses on feedback submission and support response. The faculty dashboard focuses on assigned students, and the HOD dashboard focuses on department-wide statistics.</w:t>
      </w:r>
    </w:p>
    <w:p w14:paraId="58C66849" w14:textId="08421120" w:rsidR="008444E5" w:rsidRPr="0072408B" w:rsidRDefault="009504B6">
      <w:pPr>
        <w:spacing w:before="60" w:after="60"/>
        <w:jc w:val="center"/>
        <w:rPr>
          <w:szCs w:val="20"/>
        </w:rPr>
      </w:pPr>
      <w:r w:rsidRPr="0072408B">
        <w:rPr>
          <w:noProof/>
          <w:szCs w:val="20"/>
        </w:rPr>
        <w:drawing>
          <wp:inline distT="0" distB="0" distL="0" distR="0" wp14:anchorId="3107AC4B" wp14:editId="238EA78C">
            <wp:extent cx="3195955" cy="1538471"/>
            <wp:effectExtent l="0" t="0" r="4445" b="5080"/>
            <wp:docPr id="1620855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55410" name="Picture 1620855410"/>
                    <pic:cNvPicPr/>
                  </pic:nvPicPr>
                  <pic:blipFill>
                    <a:blip r:embed="rId9"/>
                    <a:stretch>
                      <a:fillRect/>
                    </a:stretch>
                  </pic:blipFill>
                  <pic:spPr>
                    <a:xfrm>
                      <a:off x="0" y="0"/>
                      <a:ext cx="3195955" cy="1538471"/>
                    </a:xfrm>
                    <a:prstGeom prst="rect">
                      <a:avLst/>
                    </a:prstGeom>
                  </pic:spPr>
                </pic:pic>
              </a:graphicData>
            </a:graphic>
          </wp:inline>
        </w:drawing>
      </w:r>
      <w:r w:rsidR="00000000" w:rsidRPr="0072408B">
        <w:rPr>
          <w:b/>
          <w:szCs w:val="20"/>
        </w:rPr>
        <w:t xml:space="preserve">Fig. 4. </w:t>
      </w:r>
      <w:r w:rsidRPr="0072408B">
        <w:rPr>
          <w:b/>
          <w:szCs w:val="20"/>
        </w:rPr>
        <w:t>S</w:t>
      </w:r>
      <w:r w:rsidR="00000000" w:rsidRPr="0072408B">
        <w:rPr>
          <w:b/>
          <w:szCs w:val="20"/>
        </w:rPr>
        <w:t>tudent feedback page.</w:t>
      </w:r>
    </w:p>
    <w:p w14:paraId="42AF150F" w14:textId="5833E686" w:rsidR="008444E5" w:rsidRPr="0072408B" w:rsidRDefault="009504B6">
      <w:pPr>
        <w:spacing w:before="60" w:after="60"/>
        <w:jc w:val="center"/>
        <w:rPr>
          <w:szCs w:val="20"/>
        </w:rPr>
      </w:pPr>
      <w:r w:rsidRPr="0072408B">
        <w:rPr>
          <w:noProof/>
          <w:szCs w:val="20"/>
        </w:rPr>
        <w:drawing>
          <wp:inline distT="0" distB="0" distL="0" distR="0" wp14:anchorId="6E1713A3" wp14:editId="2070259B">
            <wp:extent cx="3195955" cy="1551981"/>
            <wp:effectExtent l="0" t="0" r="4445" b="0"/>
            <wp:docPr id="16679607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0788" name="Picture 1667960788"/>
                    <pic:cNvPicPr/>
                  </pic:nvPicPr>
                  <pic:blipFill>
                    <a:blip r:embed="rId10"/>
                    <a:stretch>
                      <a:fillRect/>
                    </a:stretch>
                  </pic:blipFill>
                  <pic:spPr>
                    <a:xfrm>
                      <a:off x="0" y="0"/>
                      <a:ext cx="3195955" cy="1551981"/>
                    </a:xfrm>
                    <a:prstGeom prst="rect">
                      <a:avLst/>
                    </a:prstGeom>
                  </pic:spPr>
                </pic:pic>
              </a:graphicData>
            </a:graphic>
          </wp:inline>
        </w:drawing>
      </w:r>
      <w:r w:rsidR="00000000" w:rsidRPr="0072408B">
        <w:rPr>
          <w:b/>
          <w:szCs w:val="20"/>
        </w:rPr>
        <w:t xml:space="preserve">Fig. 5. </w:t>
      </w:r>
      <w:r w:rsidRPr="0072408B">
        <w:rPr>
          <w:b/>
          <w:szCs w:val="20"/>
        </w:rPr>
        <w:t>F</w:t>
      </w:r>
      <w:r w:rsidR="00000000" w:rsidRPr="0072408B">
        <w:rPr>
          <w:b/>
          <w:szCs w:val="20"/>
        </w:rPr>
        <w:t>aculty dashboard.</w:t>
      </w:r>
    </w:p>
    <w:p w14:paraId="7459D08A" w14:textId="467FBF9B" w:rsidR="008444E5" w:rsidRPr="0072408B" w:rsidRDefault="009504B6">
      <w:pPr>
        <w:spacing w:before="60" w:after="60"/>
        <w:jc w:val="center"/>
        <w:rPr>
          <w:szCs w:val="20"/>
        </w:rPr>
      </w:pPr>
      <w:r w:rsidRPr="0072408B">
        <w:rPr>
          <w:noProof/>
          <w:szCs w:val="20"/>
        </w:rPr>
        <w:drawing>
          <wp:inline distT="0" distB="0" distL="0" distR="0" wp14:anchorId="5CECE86D" wp14:editId="4532BCBF">
            <wp:extent cx="3195955" cy="1527857"/>
            <wp:effectExtent l="0" t="0" r="4445" b="0"/>
            <wp:docPr id="5790022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02223" name="Picture 579002223"/>
                    <pic:cNvPicPr/>
                  </pic:nvPicPr>
                  <pic:blipFill>
                    <a:blip r:embed="rId11"/>
                    <a:stretch>
                      <a:fillRect/>
                    </a:stretch>
                  </pic:blipFill>
                  <pic:spPr>
                    <a:xfrm>
                      <a:off x="0" y="0"/>
                      <a:ext cx="3195955" cy="1527857"/>
                    </a:xfrm>
                    <a:prstGeom prst="rect">
                      <a:avLst/>
                    </a:prstGeom>
                  </pic:spPr>
                </pic:pic>
              </a:graphicData>
            </a:graphic>
          </wp:inline>
        </w:drawing>
      </w:r>
      <w:r w:rsidR="00000000" w:rsidRPr="0072408B">
        <w:rPr>
          <w:b/>
          <w:szCs w:val="20"/>
        </w:rPr>
        <w:t>Fig. 6. HOD dashboard.</w:t>
      </w:r>
    </w:p>
    <w:p w14:paraId="34A22190" w14:textId="77777777" w:rsidR="008444E5" w:rsidRPr="0072408B" w:rsidRDefault="00000000">
      <w:pPr>
        <w:pStyle w:val="IEEEHeading"/>
        <w:spacing w:before="120"/>
        <w:rPr>
          <w:sz w:val="20"/>
          <w:szCs w:val="20"/>
        </w:rPr>
      </w:pPr>
      <w:r w:rsidRPr="0072408B">
        <w:rPr>
          <w:sz w:val="20"/>
          <w:szCs w:val="20"/>
        </w:rPr>
        <w:t>XI. ADVANTAGES AND LIMITATIONS</w:t>
      </w:r>
    </w:p>
    <w:p w14:paraId="4AEE6CA6" w14:textId="77777777" w:rsidR="008444E5" w:rsidRPr="0072408B" w:rsidRDefault="00000000">
      <w:pPr>
        <w:pStyle w:val="IEEEBody"/>
        <w:ind w:firstLine="216"/>
        <w:rPr>
          <w:sz w:val="20"/>
          <w:szCs w:val="20"/>
        </w:rPr>
      </w:pPr>
      <w:r w:rsidRPr="0072408B">
        <w:rPr>
          <w:sz w:val="20"/>
          <w:szCs w:val="20"/>
        </w:rPr>
        <w:t>The main advantage of the proposed system is that it connects prediction with role-based action. A risk label becomes useful only when it reaches the correct authority. The system also uses multiple preprocessing methods, which makes the pipeline more explainable than a simple black-box text classifier. Weighted aggregation allows different client models to contribute according to their data availability.</w:t>
      </w:r>
    </w:p>
    <w:p w14:paraId="37CB0641" w14:textId="77777777" w:rsidR="008444E5" w:rsidRPr="0072408B" w:rsidRDefault="00000000">
      <w:pPr>
        <w:pStyle w:val="IEEEBody"/>
        <w:ind w:firstLine="216"/>
        <w:rPr>
          <w:sz w:val="20"/>
          <w:szCs w:val="20"/>
        </w:rPr>
      </w:pPr>
      <w:r w:rsidRPr="0072408B">
        <w:rPr>
          <w:sz w:val="20"/>
          <w:szCs w:val="20"/>
        </w:rPr>
        <w:lastRenderedPageBreak/>
        <w:t>The main limitation is that the final dataset is synthetic. Although it is useful for project development and controlled evaluation, real institutional data may contain more variation, incomplete feedback, regional language mixing, and noisy labels. Another limitation is that the federated setup is simulated at the application level rather than deployed across physically separate servers. Future work can use real anonymized data and implement secure model-update exchange between distributed faculty nodes.</w:t>
      </w:r>
    </w:p>
    <w:p w14:paraId="02BBBF50" w14:textId="77777777" w:rsidR="008444E5" w:rsidRPr="0072408B" w:rsidRDefault="00000000">
      <w:pPr>
        <w:pStyle w:val="IEEEHeading"/>
        <w:spacing w:before="120"/>
        <w:rPr>
          <w:sz w:val="20"/>
          <w:szCs w:val="20"/>
        </w:rPr>
      </w:pPr>
      <w:r w:rsidRPr="0072408B">
        <w:rPr>
          <w:sz w:val="20"/>
          <w:szCs w:val="20"/>
        </w:rPr>
        <w:t>XII. CONCLUSION</w:t>
      </w:r>
    </w:p>
    <w:p w14:paraId="77A70F6A" w14:textId="77777777" w:rsidR="008444E5" w:rsidRPr="0072408B" w:rsidRDefault="00000000">
      <w:pPr>
        <w:pStyle w:val="IEEEBody"/>
        <w:ind w:firstLine="216"/>
        <w:rPr>
          <w:sz w:val="20"/>
          <w:szCs w:val="20"/>
        </w:rPr>
      </w:pPr>
      <w:r w:rsidRPr="0072408B">
        <w:rPr>
          <w:sz w:val="20"/>
          <w:szCs w:val="20"/>
        </w:rPr>
        <w:t>This paper presented a role-based federated NLP framework for predicting student academic risk from feedback text. The project evolved from an initial LSTM-based federated prototype to a classical machine learning phase and finally to a role-aware system with HOD and faculty dashboards. The final model uses text preprocessing, POS and morphology-based linguistic analysis, HMM sequence scoring, and TF-IDF features. Logistic Regression, SVM, and Random Forest are trained as separate clients, and weighted averaging is used to generate final predictions. The achieved accuracy of 0.8042 shows that the system is suitable as a project-level academic monitoring framework. With real institutional data and stricter privacy-preserving deployment, the approach can be extended into a practical early-warning system for student support.</w:t>
      </w:r>
    </w:p>
    <w:p w14:paraId="5F074DEB" w14:textId="77777777" w:rsidR="008444E5" w:rsidRPr="0072408B" w:rsidRDefault="00000000">
      <w:pPr>
        <w:pStyle w:val="IEEEHeading"/>
        <w:spacing w:before="120"/>
        <w:rPr>
          <w:sz w:val="20"/>
          <w:szCs w:val="20"/>
        </w:rPr>
      </w:pPr>
      <w:r w:rsidRPr="0072408B">
        <w:rPr>
          <w:sz w:val="20"/>
          <w:szCs w:val="20"/>
        </w:rPr>
        <w:t>REFERENCES</w:t>
      </w:r>
    </w:p>
    <w:p w14:paraId="152304D2" w14:textId="646EF51F" w:rsidR="004B449D" w:rsidRPr="004B449D" w:rsidRDefault="004B449D" w:rsidP="004B449D">
      <w:pPr>
        <w:pStyle w:val="IEEEBody"/>
        <w:ind w:left="259" w:hanging="259"/>
        <w:rPr>
          <w:sz w:val="20"/>
          <w:szCs w:val="20"/>
        </w:rPr>
      </w:pPr>
      <w:r w:rsidRPr="004B449D">
        <w:rPr>
          <w:sz w:val="20"/>
          <w:szCs w:val="20"/>
        </w:rPr>
        <w:t xml:space="preserve">[1] H. B. McMahan, E. Moore, D. Ramage, S. Hampson, and B. </w:t>
      </w:r>
      <w:proofErr w:type="spellStart"/>
      <w:r w:rsidRPr="004B449D">
        <w:rPr>
          <w:sz w:val="20"/>
          <w:szCs w:val="20"/>
        </w:rPr>
        <w:t>Agüera</w:t>
      </w:r>
      <w:proofErr w:type="spellEnd"/>
      <w:r w:rsidRPr="004B449D">
        <w:rPr>
          <w:sz w:val="20"/>
          <w:szCs w:val="20"/>
        </w:rPr>
        <w:t xml:space="preserve"> y </w:t>
      </w:r>
      <w:proofErr w:type="spellStart"/>
      <w:r w:rsidRPr="004B449D">
        <w:rPr>
          <w:sz w:val="20"/>
          <w:szCs w:val="20"/>
        </w:rPr>
        <w:t>Arcas</w:t>
      </w:r>
      <w:proofErr w:type="spellEnd"/>
      <w:r w:rsidRPr="004B449D">
        <w:rPr>
          <w:sz w:val="20"/>
          <w:szCs w:val="20"/>
        </w:rPr>
        <w:t xml:space="preserve">, “Communication-efficient learning of deep networks from decentralized data,” in </w:t>
      </w:r>
      <w:r w:rsidRPr="004B449D">
        <w:rPr>
          <w:i/>
          <w:iCs/>
          <w:sz w:val="20"/>
          <w:szCs w:val="20"/>
        </w:rPr>
        <w:t>Proc. Int. Conf. Artificial Intelligence and Statistics (AISTATS)</w:t>
      </w:r>
      <w:r w:rsidRPr="004B449D">
        <w:rPr>
          <w:sz w:val="20"/>
          <w:szCs w:val="20"/>
        </w:rPr>
        <w:t>, 2017.</w:t>
      </w:r>
    </w:p>
    <w:p w14:paraId="7B7CA7DB" w14:textId="77777777" w:rsidR="004B449D" w:rsidRPr="004B449D" w:rsidRDefault="004B449D" w:rsidP="004B449D">
      <w:pPr>
        <w:pStyle w:val="IEEEBody"/>
        <w:ind w:left="259" w:hanging="259"/>
        <w:rPr>
          <w:szCs w:val="20"/>
        </w:rPr>
      </w:pPr>
      <w:r w:rsidRPr="004B449D">
        <w:rPr>
          <w:szCs w:val="20"/>
        </w:rPr>
        <w:t xml:space="preserve">[2] L. R. Rabiner, “A tutorial on hidden Markov models and selected applications in speech recognition,” </w:t>
      </w:r>
      <w:r w:rsidRPr="004B449D">
        <w:rPr>
          <w:i/>
          <w:iCs/>
          <w:szCs w:val="20"/>
        </w:rPr>
        <w:t>Proc. IEEE</w:t>
      </w:r>
      <w:r w:rsidRPr="004B449D">
        <w:rPr>
          <w:szCs w:val="20"/>
        </w:rPr>
        <w:t>, vol. 77, no. 2, pp. 257–286, 1989.</w:t>
      </w:r>
    </w:p>
    <w:p w14:paraId="784065E8" w14:textId="77777777" w:rsidR="004B449D" w:rsidRPr="004B449D" w:rsidRDefault="004B449D" w:rsidP="004B449D">
      <w:pPr>
        <w:pStyle w:val="IEEEBody"/>
        <w:ind w:left="259" w:hanging="259"/>
        <w:rPr>
          <w:szCs w:val="20"/>
        </w:rPr>
      </w:pPr>
      <w:r w:rsidRPr="004B449D">
        <w:rPr>
          <w:szCs w:val="20"/>
        </w:rPr>
        <w:t xml:space="preserve">[3] L. </w:t>
      </w:r>
      <w:proofErr w:type="spellStart"/>
      <w:r w:rsidRPr="004B449D">
        <w:rPr>
          <w:szCs w:val="20"/>
        </w:rPr>
        <w:t>Breiman</w:t>
      </w:r>
      <w:proofErr w:type="spellEnd"/>
      <w:r w:rsidRPr="004B449D">
        <w:rPr>
          <w:szCs w:val="20"/>
        </w:rPr>
        <w:t xml:space="preserve">, “Random forests,” </w:t>
      </w:r>
      <w:r w:rsidRPr="004B449D">
        <w:rPr>
          <w:i/>
          <w:iCs/>
          <w:szCs w:val="20"/>
        </w:rPr>
        <w:t>Machine Learning</w:t>
      </w:r>
      <w:r w:rsidRPr="004B449D">
        <w:rPr>
          <w:szCs w:val="20"/>
        </w:rPr>
        <w:t>, vol. 45, no. 1, pp. 5–32, 2001.</w:t>
      </w:r>
    </w:p>
    <w:p w14:paraId="59925E1B" w14:textId="77777777" w:rsidR="004B449D" w:rsidRPr="004B449D" w:rsidRDefault="004B449D" w:rsidP="004B449D">
      <w:pPr>
        <w:pStyle w:val="IEEEBody"/>
        <w:ind w:left="259" w:hanging="259"/>
        <w:rPr>
          <w:szCs w:val="20"/>
        </w:rPr>
      </w:pPr>
      <w:r w:rsidRPr="004B449D">
        <w:rPr>
          <w:szCs w:val="20"/>
        </w:rPr>
        <w:t xml:space="preserve">[4] C. Cortes and V. </w:t>
      </w:r>
      <w:proofErr w:type="spellStart"/>
      <w:r w:rsidRPr="004B449D">
        <w:rPr>
          <w:szCs w:val="20"/>
        </w:rPr>
        <w:t>Vapnik</w:t>
      </w:r>
      <w:proofErr w:type="spellEnd"/>
      <w:r w:rsidRPr="004B449D">
        <w:rPr>
          <w:szCs w:val="20"/>
        </w:rPr>
        <w:t xml:space="preserve">, “Support-vector networks,” </w:t>
      </w:r>
      <w:r w:rsidRPr="004B449D">
        <w:rPr>
          <w:i/>
          <w:iCs/>
          <w:szCs w:val="20"/>
        </w:rPr>
        <w:t>Machine Learning</w:t>
      </w:r>
      <w:r w:rsidRPr="004B449D">
        <w:rPr>
          <w:szCs w:val="20"/>
        </w:rPr>
        <w:t>, vol. 20, pp. 273–297, 1995.</w:t>
      </w:r>
    </w:p>
    <w:p w14:paraId="5F311024" w14:textId="77777777" w:rsidR="004B449D" w:rsidRPr="004B449D" w:rsidRDefault="004B449D" w:rsidP="004B449D">
      <w:pPr>
        <w:pStyle w:val="IEEEBody"/>
        <w:ind w:left="259" w:hanging="259"/>
        <w:rPr>
          <w:szCs w:val="20"/>
        </w:rPr>
      </w:pPr>
      <w:r w:rsidRPr="004B449D">
        <w:rPr>
          <w:szCs w:val="20"/>
        </w:rPr>
        <w:t xml:space="preserve">[5] C. D. Manning, P. Raghavan, and H. Schütze, </w:t>
      </w:r>
      <w:r w:rsidRPr="004B449D">
        <w:rPr>
          <w:i/>
          <w:iCs/>
          <w:szCs w:val="20"/>
        </w:rPr>
        <w:t>Introduction to Information Retrieval</w:t>
      </w:r>
      <w:r w:rsidRPr="004B449D">
        <w:rPr>
          <w:szCs w:val="20"/>
        </w:rPr>
        <w:t>. Cambridge, U.K.: Cambridge Univ. Press, 2008.</w:t>
      </w:r>
    </w:p>
    <w:p w14:paraId="78452937" w14:textId="77777777" w:rsidR="004B449D" w:rsidRPr="004B449D" w:rsidRDefault="004B449D" w:rsidP="004B449D">
      <w:pPr>
        <w:pStyle w:val="IEEEBody"/>
        <w:ind w:left="259" w:hanging="259"/>
        <w:rPr>
          <w:szCs w:val="20"/>
        </w:rPr>
      </w:pPr>
      <w:r w:rsidRPr="004B449D">
        <w:rPr>
          <w:szCs w:val="20"/>
        </w:rPr>
        <w:t xml:space="preserve">[6] S. Bird, E. Klein, and E. Loper, </w:t>
      </w:r>
      <w:r w:rsidRPr="004B449D">
        <w:rPr>
          <w:i/>
          <w:iCs/>
          <w:szCs w:val="20"/>
        </w:rPr>
        <w:t>Natural Language Processing with Python</w:t>
      </w:r>
      <w:r w:rsidRPr="004B449D">
        <w:rPr>
          <w:szCs w:val="20"/>
        </w:rPr>
        <w:t>. Sebastopol, CA, USA: O’Reilly Media, 2009.</w:t>
      </w:r>
    </w:p>
    <w:p w14:paraId="104B11A7" w14:textId="77777777" w:rsidR="004B449D" w:rsidRPr="004B449D" w:rsidRDefault="004B449D" w:rsidP="004B449D">
      <w:pPr>
        <w:pStyle w:val="IEEEBody"/>
        <w:ind w:left="259" w:hanging="259"/>
        <w:rPr>
          <w:szCs w:val="20"/>
        </w:rPr>
      </w:pPr>
      <w:r w:rsidRPr="004B449D">
        <w:rPr>
          <w:szCs w:val="20"/>
        </w:rPr>
        <w:t xml:space="preserve">[7] F. Pedregosa </w:t>
      </w:r>
      <w:r w:rsidRPr="004B449D">
        <w:rPr>
          <w:i/>
          <w:iCs/>
          <w:szCs w:val="20"/>
        </w:rPr>
        <w:t>et al.</w:t>
      </w:r>
      <w:r w:rsidRPr="004B449D">
        <w:rPr>
          <w:szCs w:val="20"/>
        </w:rPr>
        <w:t xml:space="preserve">, “Scikit-learn: Machine learning in Python,” </w:t>
      </w:r>
      <w:r w:rsidRPr="004B449D">
        <w:rPr>
          <w:i/>
          <w:iCs/>
          <w:szCs w:val="20"/>
        </w:rPr>
        <w:t>J. Mach. Learn. Res.</w:t>
      </w:r>
      <w:r w:rsidRPr="004B449D">
        <w:rPr>
          <w:szCs w:val="20"/>
        </w:rPr>
        <w:t>, vol. 12, pp. 2825–2830, 2011.</w:t>
      </w:r>
    </w:p>
    <w:p w14:paraId="2AF0F216" w14:textId="77777777" w:rsidR="004B449D" w:rsidRPr="004B449D" w:rsidRDefault="004B449D" w:rsidP="004B449D">
      <w:pPr>
        <w:pStyle w:val="IEEEBody"/>
        <w:ind w:left="259" w:hanging="259"/>
        <w:rPr>
          <w:szCs w:val="20"/>
        </w:rPr>
      </w:pPr>
      <w:r w:rsidRPr="004B449D">
        <w:rPr>
          <w:szCs w:val="20"/>
        </w:rPr>
        <w:t xml:space="preserve">[8] M. </w:t>
      </w:r>
      <w:proofErr w:type="spellStart"/>
      <w:r w:rsidRPr="004B449D">
        <w:rPr>
          <w:szCs w:val="20"/>
        </w:rPr>
        <w:t>Honnibal</w:t>
      </w:r>
      <w:proofErr w:type="spellEnd"/>
      <w:r w:rsidRPr="004B449D">
        <w:rPr>
          <w:szCs w:val="20"/>
        </w:rPr>
        <w:t xml:space="preserve"> and I. Montani, “</w:t>
      </w:r>
      <w:proofErr w:type="spellStart"/>
      <w:r w:rsidRPr="004B449D">
        <w:rPr>
          <w:szCs w:val="20"/>
        </w:rPr>
        <w:t>spaCy</w:t>
      </w:r>
      <w:proofErr w:type="spellEnd"/>
      <w:r w:rsidRPr="004B449D">
        <w:rPr>
          <w:szCs w:val="20"/>
        </w:rPr>
        <w:t>: Industrial-strength natural language processing in Python,” 2017.</w:t>
      </w:r>
    </w:p>
    <w:p w14:paraId="7883F53B" w14:textId="77777777" w:rsidR="004B449D" w:rsidRPr="004B449D" w:rsidRDefault="004B449D" w:rsidP="004B449D">
      <w:pPr>
        <w:pStyle w:val="IEEEBody"/>
        <w:ind w:left="259" w:hanging="259"/>
        <w:rPr>
          <w:szCs w:val="20"/>
        </w:rPr>
      </w:pPr>
      <w:r w:rsidRPr="004B449D">
        <w:rPr>
          <w:szCs w:val="20"/>
        </w:rPr>
        <w:t xml:space="preserve">[9] Q. Yang, Y. Liu, T. Chen, and Y. Tong, “Federated learning: Concept and applications,” </w:t>
      </w:r>
      <w:r w:rsidRPr="004B449D">
        <w:rPr>
          <w:i/>
          <w:iCs/>
          <w:szCs w:val="20"/>
        </w:rPr>
        <w:t>ACM Trans. Intell. Syst. Technol.</w:t>
      </w:r>
      <w:r w:rsidRPr="004B449D">
        <w:rPr>
          <w:szCs w:val="20"/>
        </w:rPr>
        <w:t>, 2019.</w:t>
      </w:r>
    </w:p>
    <w:p w14:paraId="7963BDF5" w14:textId="77777777" w:rsidR="004B449D" w:rsidRPr="004B449D" w:rsidRDefault="004B449D" w:rsidP="004B449D">
      <w:pPr>
        <w:pStyle w:val="IEEEBody"/>
        <w:ind w:left="259" w:hanging="259"/>
        <w:rPr>
          <w:szCs w:val="20"/>
        </w:rPr>
      </w:pPr>
      <w:r w:rsidRPr="004B449D">
        <w:rPr>
          <w:szCs w:val="20"/>
        </w:rPr>
        <w:t xml:space="preserve">[10] P. </w:t>
      </w:r>
      <w:proofErr w:type="spellStart"/>
      <w:r w:rsidRPr="004B449D">
        <w:rPr>
          <w:szCs w:val="20"/>
        </w:rPr>
        <w:t>Kairouz</w:t>
      </w:r>
      <w:proofErr w:type="spellEnd"/>
      <w:r w:rsidRPr="004B449D">
        <w:rPr>
          <w:szCs w:val="20"/>
        </w:rPr>
        <w:t xml:space="preserve"> </w:t>
      </w:r>
      <w:r w:rsidRPr="004B449D">
        <w:rPr>
          <w:i/>
          <w:iCs/>
          <w:szCs w:val="20"/>
        </w:rPr>
        <w:t>et al.</w:t>
      </w:r>
      <w:r w:rsidRPr="004B449D">
        <w:rPr>
          <w:szCs w:val="20"/>
        </w:rPr>
        <w:t xml:space="preserve">, “Advances and open problems in federated learning,” </w:t>
      </w:r>
      <w:r w:rsidRPr="004B449D">
        <w:rPr>
          <w:i/>
          <w:iCs/>
          <w:szCs w:val="20"/>
        </w:rPr>
        <w:t>Foundations and Trends in Machine Learning</w:t>
      </w:r>
      <w:r w:rsidRPr="004B449D">
        <w:rPr>
          <w:szCs w:val="20"/>
        </w:rPr>
        <w:t>, vol. 14, no. 1–2, pp. 1–210, 2021.</w:t>
      </w:r>
    </w:p>
    <w:p w14:paraId="027B6501" w14:textId="77777777" w:rsidR="004B449D" w:rsidRPr="004B449D" w:rsidRDefault="004B449D" w:rsidP="004B449D">
      <w:pPr>
        <w:pStyle w:val="IEEEBody"/>
        <w:ind w:left="259" w:hanging="259"/>
        <w:rPr>
          <w:szCs w:val="20"/>
        </w:rPr>
      </w:pPr>
      <w:r w:rsidRPr="004B449D">
        <w:rPr>
          <w:szCs w:val="20"/>
        </w:rPr>
        <w:t xml:space="preserve">[11] T. Li, A. K. Sahu, A. Talwalkar, and V. Smith, “Federated learning: Challenges, methods, and future directions,” </w:t>
      </w:r>
      <w:r w:rsidRPr="004B449D">
        <w:rPr>
          <w:i/>
          <w:iCs/>
          <w:szCs w:val="20"/>
        </w:rPr>
        <w:t>IEEE Signal Process. Mag.</w:t>
      </w:r>
      <w:r w:rsidRPr="004B449D">
        <w:rPr>
          <w:szCs w:val="20"/>
        </w:rPr>
        <w:t>, vol. 37, no. 3, pp. 50–60, 2020.</w:t>
      </w:r>
    </w:p>
    <w:p w14:paraId="52DE9AB9" w14:textId="77777777" w:rsidR="004B449D" w:rsidRPr="004B449D" w:rsidRDefault="004B449D" w:rsidP="004B449D">
      <w:pPr>
        <w:pStyle w:val="IEEEBody"/>
        <w:ind w:left="259" w:hanging="259"/>
        <w:rPr>
          <w:szCs w:val="20"/>
        </w:rPr>
      </w:pPr>
      <w:r w:rsidRPr="004B449D">
        <w:rPr>
          <w:szCs w:val="20"/>
        </w:rPr>
        <w:t xml:space="preserve">[12] D. </w:t>
      </w:r>
      <w:proofErr w:type="spellStart"/>
      <w:r w:rsidRPr="004B449D">
        <w:rPr>
          <w:szCs w:val="20"/>
        </w:rPr>
        <w:t>Jurafsky</w:t>
      </w:r>
      <w:proofErr w:type="spellEnd"/>
      <w:r w:rsidRPr="004B449D">
        <w:rPr>
          <w:szCs w:val="20"/>
        </w:rPr>
        <w:t xml:space="preserve"> and J. H. Martin, </w:t>
      </w:r>
      <w:r w:rsidRPr="004B449D">
        <w:rPr>
          <w:i/>
          <w:iCs/>
          <w:szCs w:val="20"/>
        </w:rPr>
        <w:t>Speech and Language Processing</w:t>
      </w:r>
      <w:r w:rsidRPr="004B449D">
        <w:rPr>
          <w:szCs w:val="20"/>
        </w:rPr>
        <w:t>, draft ed.</w:t>
      </w:r>
    </w:p>
    <w:p w14:paraId="40E2905D" w14:textId="77777777" w:rsidR="004B449D" w:rsidRPr="004B449D" w:rsidRDefault="004B449D" w:rsidP="004B449D">
      <w:pPr>
        <w:pStyle w:val="IEEEBody"/>
        <w:ind w:left="259" w:hanging="259"/>
        <w:rPr>
          <w:szCs w:val="20"/>
        </w:rPr>
      </w:pPr>
      <w:r w:rsidRPr="004B449D">
        <w:rPr>
          <w:szCs w:val="20"/>
        </w:rPr>
        <w:t xml:space="preserve">[13] D. W. Hosmer, S. </w:t>
      </w:r>
      <w:proofErr w:type="spellStart"/>
      <w:r w:rsidRPr="004B449D">
        <w:rPr>
          <w:szCs w:val="20"/>
        </w:rPr>
        <w:t>Lemeshow</w:t>
      </w:r>
      <w:proofErr w:type="spellEnd"/>
      <w:r w:rsidRPr="004B449D">
        <w:rPr>
          <w:szCs w:val="20"/>
        </w:rPr>
        <w:t xml:space="preserve">, and R. X. Sturdivant, </w:t>
      </w:r>
      <w:r w:rsidRPr="004B449D">
        <w:rPr>
          <w:i/>
          <w:iCs/>
          <w:szCs w:val="20"/>
        </w:rPr>
        <w:t>Applied Logistic Regression</w:t>
      </w:r>
      <w:r w:rsidRPr="004B449D">
        <w:rPr>
          <w:szCs w:val="20"/>
        </w:rPr>
        <w:t>, 3rd ed. Hoboken, NJ, USA: Wiley, 2013.</w:t>
      </w:r>
    </w:p>
    <w:p w14:paraId="4EC91281" w14:textId="77777777" w:rsidR="004B449D" w:rsidRPr="004B449D" w:rsidRDefault="004B449D" w:rsidP="004B449D">
      <w:pPr>
        <w:pStyle w:val="IEEEBody"/>
        <w:ind w:left="259" w:hanging="259"/>
        <w:rPr>
          <w:szCs w:val="20"/>
        </w:rPr>
      </w:pPr>
      <w:r w:rsidRPr="004B449D">
        <w:rPr>
          <w:szCs w:val="20"/>
        </w:rPr>
        <w:t xml:space="preserve">[14] FastAPI, “FastAPI documentation,” [Online]. Available: </w:t>
      </w:r>
      <w:hyperlink r:id="rId12" w:tgtFrame="_new" w:history="1">
        <w:r w:rsidRPr="004B449D">
          <w:rPr>
            <w:rStyle w:val="Hyperlink"/>
            <w:szCs w:val="20"/>
          </w:rPr>
          <w:t>https://fastapi.tiangolo.com/</w:t>
        </w:r>
      </w:hyperlink>
    </w:p>
    <w:p w14:paraId="12D7CD16" w14:textId="77777777" w:rsidR="004B449D" w:rsidRPr="004B449D" w:rsidRDefault="004B449D" w:rsidP="004B449D">
      <w:pPr>
        <w:pStyle w:val="IEEEBody"/>
        <w:ind w:left="259" w:hanging="259"/>
        <w:rPr>
          <w:szCs w:val="20"/>
        </w:rPr>
      </w:pPr>
      <w:r w:rsidRPr="004B449D">
        <w:rPr>
          <w:szCs w:val="20"/>
        </w:rPr>
        <w:t xml:space="preserve">[15] React, “React documentation,” [Online]. Available: </w:t>
      </w:r>
      <w:hyperlink r:id="rId13" w:tgtFrame="_new" w:history="1">
        <w:r w:rsidRPr="004B449D">
          <w:rPr>
            <w:rStyle w:val="Hyperlink"/>
            <w:szCs w:val="20"/>
          </w:rPr>
          <w:t>https://react.dev/</w:t>
        </w:r>
      </w:hyperlink>
    </w:p>
    <w:p w14:paraId="7BE37FE2" w14:textId="77777777" w:rsidR="004B449D" w:rsidRPr="004B449D" w:rsidRDefault="004B449D" w:rsidP="004B449D">
      <w:pPr>
        <w:pStyle w:val="IEEEBody"/>
        <w:ind w:left="259" w:hanging="259"/>
        <w:rPr>
          <w:szCs w:val="20"/>
        </w:rPr>
      </w:pPr>
      <w:r w:rsidRPr="004B449D">
        <w:rPr>
          <w:szCs w:val="20"/>
        </w:rPr>
        <w:t xml:space="preserve">[16] Vite, “Vite documentation,” [Online]. Available: </w:t>
      </w:r>
      <w:hyperlink r:id="rId14" w:tgtFrame="_new" w:history="1">
        <w:r w:rsidRPr="004B449D">
          <w:rPr>
            <w:rStyle w:val="Hyperlink"/>
            <w:szCs w:val="20"/>
          </w:rPr>
          <w:t>https://vitejs.dev/</w:t>
        </w:r>
      </w:hyperlink>
    </w:p>
    <w:p w14:paraId="61ADF876" w14:textId="77777777" w:rsidR="004B449D" w:rsidRPr="004B449D" w:rsidRDefault="004B449D" w:rsidP="004B449D">
      <w:pPr>
        <w:pStyle w:val="IEEEBody"/>
        <w:ind w:left="259" w:hanging="259"/>
        <w:rPr>
          <w:szCs w:val="20"/>
        </w:rPr>
      </w:pPr>
      <w:r w:rsidRPr="004B449D">
        <w:rPr>
          <w:szCs w:val="20"/>
        </w:rPr>
        <w:t xml:space="preserve">[17] Recharts, “Recharts documentation,” [Online]. Available: </w:t>
      </w:r>
      <w:hyperlink r:id="rId15" w:tgtFrame="_new" w:history="1">
        <w:r w:rsidRPr="004B449D">
          <w:rPr>
            <w:rStyle w:val="Hyperlink"/>
            <w:szCs w:val="20"/>
          </w:rPr>
          <w:t>https://recharts.org/</w:t>
        </w:r>
      </w:hyperlink>
    </w:p>
    <w:p w14:paraId="6A21AE57" w14:textId="77777777" w:rsidR="004B449D" w:rsidRPr="004B449D" w:rsidRDefault="004B449D" w:rsidP="004B449D">
      <w:pPr>
        <w:pStyle w:val="IEEEBody"/>
        <w:ind w:left="259" w:hanging="259"/>
        <w:rPr>
          <w:szCs w:val="20"/>
        </w:rPr>
      </w:pPr>
      <w:r w:rsidRPr="004B449D">
        <w:rPr>
          <w:szCs w:val="20"/>
        </w:rPr>
        <w:t xml:space="preserve">[18] NLTK, “Natural Language Toolkit documentation,” [Online]. Available: </w:t>
      </w:r>
      <w:hyperlink r:id="rId16" w:tgtFrame="_new" w:history="1">
        <w:r w:rsidRPr="004B449D">
          <w:rPr>
            <w:rStyle w:val="Hyperlink"/>
            <w:szCs w:val="20"/>
          </w:rPr>
          <w:t>https://www.nltk.org/</w:t>
        </w:r>
      </w:hyperlink>
    </w:p>
    <w:p w14:paraId="292A39E4" w14:textId="77777777" w:rsidR="004B449D" w:rsidRPr="004B449D" w:rsidRDefault="004B449D" w:rsidP="004B449D">
      <w:pPr>
        <w:pStyle w:val="IEEEBody"/>
        <w:ind w:left="259" w:hanging="259"/>
        <w:rPr>
          <w:szCs w:val="20"/>
        </w:rPr>
      </w:pPr>
      <w:r w:rsidRPr="004B449D">
        <w:rPr>
          <w:szCs w:val="20"/>
        </w:rPr>
        <w:t xml:space="preserve">[19] </w:t>
      </w:r>
      <w:proofErr w:type="spellStart"/>
      <w:r w:rsidRPr="004B449D">
        <w:rPr>
          <w:szCs w:val="20"/>
        </w:rPr>
        <w:t>spaCy</w:t>
      </w:r>
      <w:proofErr w:type="spellEnd"/>
      <w:r w:rsidRPr="004B449D">
        <w:rPr>
          <w:szCs w:val="20"/>
        </w:rPr>
        <w:t>, “</w:t>
      </w:r>
      <w:proofErr w:type="spellStart"/>
      <w:r w:rsidRPr="004B449D">
        <w:rPr>
          <w:szCs w:val="20"/>
        </w:rPr>
        <w:t>spaCy</w:t>
      </w:r>
      <w:proofErr w:type="spellEnd"/>
      <w:r w:rsidRPr="004B449D">
        <w:rPr>
          <w:szCs w:val="20"/>
        </w:rPr>
        <w:t xml:space="preserve"> documentation,” [Online]. Available: </w:t>
      </w:r>
      <w:hyperlink r:id="rId17" w:tgtFrame="_new" w:history="1">
        <w:r w:rsidRPr="004B449D">
          <w:rPr>
            <w:rStyle w:val="Hyperlink"/>
            <w:szCs w:val="20"/>
          </w:rPr>
          <w:t>https://spacy.io/</w:t>
        </w:r>
      </w:hyperlink>
    </w:p>
    <w:p w14:paraId="53FBA416" w14:textId="77777777" w:rsidR="004B449D" w:rsidRPr="004B449D" w:rsidRDefault="004B449D" w:rsidP="004B449D">
      <w:pPr>
        <w:pStyle w:val="IEEEBody"/>
        <w:ind w:left="259" w:hanging="259"/>
        <w:rPr>
          <w:szCs w:val="20"/>
        </w:rPr>
      </w:pPr>
      <w:r w:rsidRPr="004B449D">
        <w:rPr>
          <w:szCs w:val="20"/>
        </w:rPr>
        <w:t xml:space="preserve">[20] </w:t>
      </w:r>
      <w:proofErr w:type="spellStart"/>
      <w:r w:rsidRPr="004B449D">
        <w:rPr>
          <w:szCs w:val="20"/>
        </w:rPr>
        <w:t>hmmlearn</w:t>
      </w:r>
      <w:proofErr w:type="spellEnd"/>
      <w:r w:rsidRPr="004B449D">
        <w:rPr>
          <w:szCs w:val="20"/>
        </w:rPr>
        <w:t>, “</w:t>
      </w:r>
      <w:proofErr w:type="spellStart"/>
      <w:r w:rsidRPr="004B449D">
        <w:rPr>
          <w:szCs w:val="20"/>
        </w:rPr>
        <w:t>hmmlearn</w:t>
      </w:r>
      <w:proofErr w:type="spellEnd"/>
      <w:r w:rsidRPr="004B449D">
        <w:rPr>
          <w:szCs w:val="20"/>
        </w:rPr>
        <w:t xml:space="preserve"> documentation,” [Online]. Available: </w:t>
      </w:r>
      <w:hyperlink r:id="rId18" w:tgtFrame="_new" w:history="1">
        <w:r w:rsidRPr="004B449D">
          <w:rPr>
            <w:rStyle w:val="Hyperlink"/>
            <w:szCs w:val="20"/>
          </w:rPr>
          <w:t>https://hmmlearn.readthedocs.io/</w:t>
        </w:r>
      </w:hyperlink>
    </w:p>
    <w:p w14:paraId="2BE57029" w14:textId="77D2CC09" w:rsidR="004B449D" w:rsidRPr="0072408B" w:rsidRDefault="004B449D" w:rsidP="004B449D">
      <w:pPr>
        <w:pStyle w:val="IEEEBody"/>
        <w:ind w:left="259" w:hanging="259"/>
        <w:rPr>
          <w:sz w:val="20"/>
          <w:szCs w:val="20"/>
        </w:rPr>
      </w:pPr>
    </w:p>
    <w:sectPr w:rsidR="004B449D" w:rsidRPr="0072408B" w:rsidSect="00034616">
      <w:type w:val="continuous"/>
      <w:pgSz w:w="12240" w:h="15840"/>
      <w:pgMar w:top="979" w:right="907" w:bottom="979" w:left="907"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660915">
    <w:abstractNumId w:val="8"/>
  </w:num>
  <w:num w:numId="2" w16cid:durableId="1034890686">
    <w:abstractNumId w:val="6"/>
  </w:num>
  <w:num w:numId="3" w16cid:durableId="1038120052">
    <w:abstractNumId w:val="5"/>
  </w:num>
  <w:num w:numId="4" w16cid:durableId="1771049474">
    <w:abstractNumId w:val="4"/>
  </w:num>
  <w:num w:numId="5" w16cid:durableId="1462575249">
    <w:abstractNumId w:val="7"/>
  </w:num>
  <w:num w:numId="6" w16cid:durableId="980424405">
    <w:abstractNumId w:val="3"/>
  </w:num>
  <w:num w:numId="7" w16cid:durableId="1455438130">
    <w:abstractNumId w:val="2"/>
  </w:num>
  <w:num w:numId="8" w16cid:durableId="1132945277">
    <w:abstractNumId w:val="1"/>
  </w:num>
  <w:num w:numId="9" w16cid:durableId="18148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9E0"/>
    <w:rsid w:val="00326F90"/>
    <w:rsid w:val="003A57B6"/>
    <w:rsid w:val="004B449D"/>
    <w:rsid w:val="0058152B"/>
    <w:rsid w:val="0072408B"/>
    <w:rsid w:val="008444E5"/>
    <w:rsid w:val="009504B6"/>
    <w:rsid w:val="009B6CCA"/>
    <w:rsid w:val="00AA1D8D"/>
    <w:rsid w:val="00B47730"/>
    <w:rsid w:val="00BA7ABB"/>
    <w:rsid w:val="00CB0664"/>
    <w:rsid w:val="00D759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43400"/>
  <w14:defaultImageDpi w14:val="300"/>
  <w15:docId w15:val="{6ADE3E38-B7AF-4EA4-A79C-DD6383A9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pPr>
      <w:spacing w:after="40" w:line="240" w:lineRule="auto"/>
      <w:jc w:val="both"/>
    </w:pPr>
    <w:rPr>
      <w:rFonts w:ascii="Times New Roman" w:hAnsi="Times New Roman"/>
      <w:sz w:val="19"/>
    </w:rPr>
  </w:style>
  <w:style w:type="paragraph" w:customStyle="1" w:styleId="IEEEHeading">
    <w:name w:val="IEEE Heading"/>
    <w:pPr>
      <w:spacing w:after="40" w:line="240" w:lineRule="auto"/>
    </w:pPr>
    <w:rPr>
      <w:rFonts w:ascii="Times New Roman" w:hAnsi="Times New Roman"/>
      <w:b/>
      <w:sz w:val="19"/>
    </w:rPr>
  </w:style>
  <w:style w:type="paragraph" w:customStyle="1" w:styleId="IEEESubheading">
    <w:name w:val="IEEE Subheading"/>
    <w:pPr>
      <w:spacing w:after="40" w:line="240" w:lineRule="auto"/>
    </w:pPr>
    <w:rPr>
      <w:rFonts w:ascii="Times New Roman" w:hAnsi="Times New Roman"/>
      <w:b/>
      <w:sz w:val="19"/>
    </w:rPr>
  </w:style>
  <w:style w:type="paragraph" w:customStyle="1" w:styleId="IEEEAbstract">
    <w:name w:val="IEEE Abstract"/>
    <w:pPr>
      <w:spacing w:after="40" w:line="240" w:lineRule="auto"/>
      <w:jc w:val="both"/>
    </w:pPr>
    <w:rPr>
      <w:rFonts w:ascii="Times New Roman" w:hAnsi="Times New Roman"/>
      <w:sz w:val="18"/>
    </w:rPr>
  </w:style>
  <w:style w:type="paragraph" w:styleId="NormalWeb">
    <w:name w:val="Normal (Web)"/>
    <w:basedOn w:val="Normal"/>
    <w:uiPriority w:val="99"/>
    <w:semiHidden/>
    <w:unhideWhenUsed/>
    <w:rsid w:val="009504B6"/>
    <w:rPr>
      <w:rFonts w:cs="Times New Roman"/>
      <w:sz w:val="24"/>
      <w:szCs w:val="24"/>
    </w:rPr>
  </w:style>
  <w:style w:type="character" w:styleId="Hyperlink">
    <w:name w:val="Hyperlink"/>
    <w:basedOn w:val="DefaultParagraphFont"/>
    <w:uiPriority w:val="99"/>
    <w:unhideWhenUsed/>
    <w:rsid w:val="004B449D"/>
    <w:rPr>
      <w:color w:val="0000FF" w:themeColor="hyperlink"/>
      <w:u w:val="single"/>
    </w:rPr>
  </w:style>
  <w:style w:type="character" w:styleId="UnresolvedMention">
    <w:name w:val="Unresolved Mention"/>
    <w:basedOn w:val="DefaultParagraphFont"/>
    <w:uiPriority w:val="99"/>
    <w:semiHidden/>
    <w:unhideWhenUsed/>
    <w:rsid w:val="004B4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eact.dev/" TargetMode="External"/><Relationship Id="rId18" Type="http://schemas.openxmlformats.org/officeDocument/2006/relationships/hyperlink" Target="https://hmmlearn.readthedocs.io/"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fastapi.tiangolo.com/" TargetMode="External"/><Relationship Id="rId17" Type="http://schemas.openxmlformats.org/officeDocument/2006/relationships/hyperlink" Target="https://spacy.io/" TargetMode="External"/><Relationship Id="rId2" Type="http://schemas.openxmlformats.org/officeDocument/2006/relationships/numbering" Target="numbering.xml"/><Relationship Id="rId16" Type="http://schemas.openxmlformats.org/officeDocument/2006/relationships/hyperlink" Target="https://www.nltk.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recharts.org/"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vitej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2356</Words>
  <Characters>13432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Research Paper - Role-Based Federated NLP Framework</dc:title>
  <dc:subject>Student Academic Risk Prediction using NLP and Federated Learning</dc:subject>
  <dc:creator>Aravalam Rajasekhar</dc:creator>
  <cp:keywords>NLP, Federated Learning, Student Risk Prediction, HMM, Role-Based Access</cp:keywords>
  <dc:description>generated by python-docx</dc:description>
  <cp:lastModifiedBy>26_sundram patel</cp:lastModifiedBy>
  <cp:revision>9</cp:revision>
  <dcterms:created xsi:type="dcterms:W3CDTF">2013-12-23T23:15:00Z</dcterms:created>
  <dcterms:modified xsi:type="dcterms:W3CDTF">2026-05-03T21:22:00Z</dcterms:modified>
  <cp:category/>
</cp:coreProperties>
</file>