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libri" w:hAnsi="Calibri"/>
          <w:b/>
          <w:color w:val="161F2D"/>
          <w:sz w:val="41"/>
        </w:rPr>
        <w:t>Aravind Anisetti</w:t>
      </w:r>
    </w:p>
    <w:p>
      <w:pPr>
        <w:spacing w:after="40"/>
        <w:jc w:val="center"/>
      </w:pPr>
      <w:r>
        <w:rPr>
          <w:rFonts w:ascii="Calibri" w:hAnsi="Calibri"/>
          <w:b/>
          <w:color w:val="2A527A"/>
          <w:sz w:val="20"/>
        </w:rPr>
        <w:t>Data Analytics Lead | AI &amp; Data Solutions Architect | AWS | Generative AI &amp; RAG</w:t>
      </w:r>
    </w:p>
    <w:p>
      <w:pPr>
        <w:spacing w:after="20"/>
        <w:jc w:val="center"/>
      </w:pPr>
      <w:hyperlink r:id="rId9">
        <w:r>
          <w:rPr>
            <w:rFonts w:ascii="Calibri" w:hAnsi="Calibri"/>
            <w:color w:val="235891"/>
            <w:u w:val="none"/>
            <w:sz w:val="18"/>
          </w:rPr>
          <w:t>anisetti.ar@gmail.com</w:t>
        </w:r>
      </w:hyperlink>
      <w:r>
        <w:rPr>
          <w:rFonts w:ascii="Calibri" w:hAnsi="Calibri"/>
          <w:color w:val="4E5968"/>
          <w:sz w:val="18"/>
        </w:rPr>
        <w:t xml:space="preserve">  |  </w:t>
      </w:r>
      <w:hyperlink r:id="rId10">
        <w:r>
          <w:rPr>
            <w:rFonts w:ascii="Calibri" w:hAnsi="Calibri"/>
            <w:color w:val="235891"/>
            <w:u w:val="none"/>
            <w:sz w:val="18"/>
          </w:rPr>
          <w:t>(804) 585-5047</w:t>
        </w:r>
      </w:hyperlink>
      <w:r>
        <w:rPr>
          <w:rFonts w:ascii="Calibri" w:hAnsi="Calibri"/>
          <w:color w:val="4E5968"/>
          <w:sz w:val="18"/>
        </w:rPr>
        <w:t xml:space="preserve">  |  </w:t>
      </w:r>
      <w:r>
        <w:rPr>
          <w:rFonts w:ascii="Calibri" w:hAnsi="Calibri"/>
          <w:color w:val="4E5968"/>
          <w:sz w:val="18"/>
        </w:rPr>
        <w:t>Virginia, USA</w:t>
      </w:r>
    </w:p>
    <w:p>
      <w:pPr>
        <w:spacing w:after="100"/>
        <w:jc w:val="center"/>
      </w:pPr>
      <w:hyperlink r:id="rId11">
        <w:r>
          <w:rPr>
            <w:rFonts w:ascii="Calibri" w:hAnsi="Calibri"/>
            <w:color w:val="235891"/>
            <w:u w:val="none"/>
            <w:sz w:val="18"/>
          </w:rPr>
          <w:t>LinkedIn</w:t>
        </w:r>
      </w:hyperlink>
      <w:r>
        <w:rPr>
          <w:rFonts w:ascii="Calibri" w:hAnsi="Calibri"/>
          <w:color w:val="4E5968"/>
          <w:sz w:val="18"/>
        </w:rPr>
        <w:t xml:space="preserve">  |  </w:t>
      </w:r>
      <w:hyperlink r:id="rId12">
        <w:r>
          <w:rPr>
            <w:rFonts w:ascii="Calibri" w:hAnsi="Calibri"/>
            <w:color w:val="235891"/>
            <w:u w:val="none"/>
            <w:sz w:val="18"/>
          </w:rPr>
          <w:t>GitHub</w:t>
        </w:r>
      </w:hyperlink>
      <w:r>
        <w:rPr>
          <w:rFonts w:ascii="Calibri" w:hAnsi="Calibri"/>
          <w:color w:val="4E5968"/>
          <w:sz w:val="18"/>
        </w:rPr>
        <w:t xml:space="preserve">  |  </w:t>
      </w:r>
      <w:hyperlink r:id="rId13">
        <w:r>
          <w:rPr>
            <w:rFonts w:ascii="Calibri" w:hAnsi="Calibri"/>
            <w:color w:val="235891"/>
            <w:u w:val="none"/>
            <w:sz w:val="18"/>
          </w:rPr>
          <w:t>Portfolio</w:t>
        </w:r>
      </w:hyperlink>
      <w:r>
        <w:rPr>
          <w:rFonts w:ascii="Calibri" w:hAnsi="Calibri"/>
          <w:color w:val="4E5968"/>
          <w:sz w:val="18"/>
        </w:rPr>
        <w:t xml:space="preserve">  |  </w:t>
      </w:r>
      <w:hyperlink r:id="rId14">
        <w:r>
          <w:rPr>
            <w:rFonts w:ascii="Calibri" w:hAnsi="Calibri"/>
            <w:color w:val="235891"/>
            <w:u w:val="none"/>
            <w:sz w:val="18"/>
          </w:rPr>
          <w:t>Medium</w:t>
        </w:r>
      </w:hyperlink>
    </w:p>
    <w:p>
      <w:pPr>
        <w:pStyle w:val="CompactBody"/>
        <w:spacing w:after="60"/>
      </w:pPr>
      <w:r>
        <w:rPr>
          <w:rFonts w:ascii="Calibri" w:hAnsi="Calibri"/>
          <w:color w:val="161F2D"/>
          <w:sz w:val="19"/>
        </w:rPr>
        <w:t>Data Analytics Lead with 8+ years translating enterprise requirements into governed analytics, cloud data, automation, and applied-AI solutions across federal and commercial environments. AWS Certified Solutions Architect - Associate with experience spanning AWS, Redshift, Snowflake, SQL, Python, Power BI, RAG design, operational controls, and cross-functional solution delivery. Creator and Product Architect of Textent, a private GenAI product architecture for evidence-backed review of complex, versioned documents.</w:t>
      </w:r>
    </w:p>
    <w:p>
      <w:pPr>
        <w:pStyle w:val="SectionHeading"/>
        <w:keepNext/>
      </w:pPr>
      <w:r>
        <w:rPr>
          <w:rFonts w:ascii="Calibri" w:hAnsi="Calibri"/>
          <w:color w:val="161F2D"/>
          <w:sz w:val="19"/>
        </w:rPr>
        <w:t>SIGNATURE AI PRODUCT</w:t>
      </w:r>
    </w:p>
    <w:p>
      <w:pPr>
        <w:pStyle w:val="RoleHeading"/>
        <w:keepNext/>
        <w:tabs>
          <w:tab w:pos="9360" w:val="right"/>
        </w:tabs>
      </w:pPr>
      <w:r>
        <w:rPr>
          <w:rFonts w:ascii="Calibri" w:hAnsi="Calibri"/>
          <w:b/>
          <w:color w:val="161F2D"/>
          <w:sz w:val="20"/>
        </w:rPr>
        <w:t>Textent - Creator &amp; Product Architect</w:t>
      </w:r>
      <w:r>
        <w:rPr>
          <w:rFonts w:ascii="Calibri" w:hAnsi="Calibri"/>
          <w:color w:val="161F2D"/>
          <w:sz w:val="19"/>
        </w:rPr>
        <w:tab/>
      </w:r>
      <w:r>
        <w:rPr>
          <w:rFonts w:ascii="Calibri" w:hAnsi="Calibri"/>
          <w:b/>
          <w:color w:val="4E5968"/>
          <w:sz w:val="18"/>
        </w:rPr>
        <w:t>Active development</w:t>
      </w:r>
    </w:p>
    <w:p>
      <w:pPr>
        <w:pStyle w:val="OrganizationLine"/>
        <w:keepNext/>
      </w:pPr>
      <w:r>
        <w:rPr>
          <w:rFonts w:ascii="Calibri" w:hAnsi="Calibri"/>
          <w:b/>
          <w:color w:val="2A527A"/>
          <w:sz w:val="19"/>
        </w:rPr>
        <w:t>Private GenAI Document Intelligence Product</w:t>
      </w:r>
      <w:r>
        <w:rPr>
          <w:rFonts w:ascii="Calibri" w:hAnsi="Calibri"/>
          <w:i/>
          <w:color w:val="4E5968"/>
          <w:sz w:val="18"/>
        </w:rPr>
        <w:t xml:space="preserve"> | Private, pre-launch | Verified offline core | AWS target architecture</w:t>
      </w:r>
    </w:p>
    <w:p>
      <w:pPr>
        <w:pStyle w:val="CompactBody"/>
        <w:keepLines/>
      </w:pPr>
      <w:hyperlink r:id="rId15">
        <w:r>
          <w:rPr>
            <w:rFonts w:ascii="Calibri" w:hAnsi="Calibri"/>
            <w:color w:val="235891"/>
            <w:u w:val="none"/>
            <w:sz w:val="18"/>
          </w:rPr>
          <w:t>aravind-bit.github.io/textent</w:t>
        </w:r>
      </w:hyperlink>
      <w:r>
        <w:rPr>
          <w:rFonts w:ascii="Calibri" w:hAnsi="Calibri"/>
          <w:color w:val="4E5968"/>
          <w:sz w:val="19"/>
        </w:rPr>
        <w:t xml:space="preserve"> | Product narrative, AWS architecture, and decision trade-offs</w:t>
      </w:r>
    </w:p>
    <w:p>
      <w:pPr>
        <w:pStyle w:val="ResumeBullet"/>
        <w:keepLines/>
      </w:pPr>
      <w:r>
        <w:rPr>
          <w:rFonts w:ascii="Calibri" w:hAnsi="Calibri"/>
          <w:color w:val="161F2D"/>
          <w:sz w:val="19"/>
        </w:rPr>
        <w:t>Defined three guided review paths - Reuse, Compare, and Decide - to reduce complex versioned-document review to material findings with exact evidence, business consequence, and a human-owned next action.</w:t>
      </w:r>
    </w:p>
    <w:p>
      <w:pPr>
        <w:pStyle w:val="ResumeBullet"/>
        <w:keepLines/>
      </w:pPr>
      <w:r>
        <w:rPr>
          <w:rFonts w:ascii="Calibri" w:hAnsi="Calibri"/>
          <w:color w:val="161F2D"/>
          <w:sz w:val="19"/>
        </w:rPr>
        <w:t>Implemented and verified an offline core for DOCX structure validation, main-body extraction, source-bound evidence anchors, admission limits, fail-closed evidence checks, and automated workflow verification.</w:t>
      </w:r>
    </w:p>
    <w:p>
      <w:pPr>
        <w:pStyle w:val="ResumeBullet"/>
        <w:keepLines/>
      </w:pPr>
      <w:r>
        <w:rPr>
          <w:rFonts w:ascii="Calibri" w:hAnsi="Calibri"/>
          <w:color w:val="161F2D"/>
          <w:sz w:val="19"/>
        </w:rPr>
        <w:t>Designed an event-driven AWS target architecture using CloudFront, WAF, Cognito, API Gateway, S3, SQS/DLQ, Step Functions, Lambda, DynamoDB, CloudWatch, CDK, and bounded Amazon Bedrock inference, with identity, cost, observability, recovery, retention, and deletion controls.</w:t>
      </w:r>
    </w:p>
    <w:p>
      <w:pPr>
        <w:pStyle w:val="SectionHeading"/>
        <w:keepNext/>
      </w:pPr>
      <w:r>
        <w:rPr>
          <w:rFonts w:ascii="Calibri" w:hAnsi="Calibri"/>
          <w:color w:val="161F2D"/>
          <w:sz w:val="19"/>
        </w:rPr>
        <w:t>PROFESSIONAL EXPERIENCE</w:t>
      </w:r>
    </w:p>
    <w:p>
      <w:pPr>
        <w:pStyle w:val="RoleHeading"/>
        <w:keepNext/>
        <w:tabs>
          <w:tab w:pos="9360" w:val="right"/>
        </w:tabs>
      </w:pPr>
      <w:r>
        <w:rPr>
          <w:rFonts w:ascii="Calibri" w:hAnsi="Calibri"/>
          <w:b/>
          <w:color w:val="161F2D"/>
          <w:sz w:val="20"/>
        </w:rPr>
        <w:t>Data Analytics Lead</w:t>
      </w:r>
      <w:r>
        <w:rPr>
          <w:rFonts w:ascii="Calibri" w:hAnsi="Calibri"/>
          <w:color w:val="4E5968"/>
          <w:sz w:val="18"/>
        </w:rPr>
        <w:t xml:space="preserve"> - Washington, DC</w:t>
      </w:r>
      <w:r>
        <w:rPr>
          <w:rFonts w:ascii="Calibri" w:hAnsi="Calibri"/>
          <w:color w:val="161F2D"/>
          <w:sz w:val="19"/>
        </w:rPr>
        <w:tab/>
      </w:r>
      <w:r>
        <w:rPr>
          <w:rFonts w:ascii="Calibri" w:hAnsi="Calibri"/>
          <w:b/>
          <w:color w:val="4E5968"/>
          <w:sz w:val="18"/>
        </w:rPr>
        <w:t>Mar 2021 - Present</w:t>
      </w:r>
    </w:p>
    <w:p>
      <w:pPr>
        <w:pStyle w:val="OrganizationLine"/>
        <w:keepNext/>
      </w:pPr>
      <w:r>
        <w:rPr>
          <w:rFonts w:ascii="Calibri" w:hAnsi="Calibri"/>
          <w:b/>
          <w:color w:val="2A527A"/>
          <w:sz w:val="19"/>
        </w:rPr>
        <w:t>Federal Aviation Administration (FAA) Program</w:t>
      </w:r>
      <w:r>
        <w:rPr>
          <w:rFonts w:ascii="Calibri" w:hAnsi="Calibri"/>
          <w:i/>
          <w:color w:val="4E5968"/>
          <w:sz w:val="18"/>
        </w:rPr>
        <w:t xml:space="preserve"> | Karsun Solutions LLC - employer</w:t>
      </w:r>
    </w:p>
    <w:p>
      <w:pPr>
        <w:pStyle w:val="ResumeBullet"/>
        <w:keepLines/>
      </w:pPr>
      <w:r>
        <w:rPr>
          <w:rFonts w:ascii="Calibri" w:hAnsi="Calibri"/>
          <w:color w:val="161F2D"/>
          <w:sz w:val="19"/>
        </w:rPr>
        <w:t>Lead analytics delivery across business and technical stakeholders, translating reporting and operational needs into prioritized data products, reporting solutions, and decision-support workflows.</w:t>
      </w:r>
    </w:p>
    <w:p>
      <w:pPr>
        <w:pStyle w:val="ResumeBullet"/>
        <w:keepLines/>
      </w:pPr>
      <w:r>
        <w:rPr>
          <w:rFonts w:ascii="Calibri" w:hAnsi="Calibri"/>
          <w:color w:val="161F2D"/>
          <w:sz w:val="19"/>
        </w:rPr>
        <w:t>Design Redshift/SQL data marts, reusable analytics models, Power BI reporting layers, metadata standards, and data-quality checks for consistent self-service reporting.</w:t>
      </w:r>
    </w:p>
    <w:p>
      <w:pPr>
        <w:pStyle w:val="ResumeBullet"/>
        <w:keepLines/>
      </w:pPr>
      <w:r>
        <w:rPr>
          <w:rFonts w:ascii="Calibri" w:hAnsi="Calibri"/>
          <w:color w:val="161F2D"/>
          <w:sz w:val="19"/>
        </w:rPr>
        <w:t>Partner with product managers, engineering, operations, and program stakeholders to define KPIs, validate metric definitions, and align analytics delivery with business and compliance decisions.</w:t>
      </w:r>
    </w:p>
    <w:p>
      <w:pPr>
        <w:pStyle w:val="ResumeBullet"/>
        <w:keepLines/>
      </w:pPr>
      <w:r>
        <w:rPr>
          <w:rFonts w:ascii="Calibri" w:hAnsi="Calibri"/>
          <w:color w:val="161F2D"/>
          <w:sz w:val="19"/>
        </w:rPr>
        <w:t>Build and support AWS data workflows using S3, Glue, Lambda, Step Functions, Redshift, SQL, and Python, including transforming Microsoft Teams communications into structured analytics datasets.</w:t>
      </w:r>
    </w:p>
    <w:p>
      <w:pPr>
        <w:pStyle w:val="ResumeBullet"/>
        <w:keepLines/>
      </w:pPr>
      <w:r>
        <w:rPr>
          <w:rFonts w:ascii="Calibri" w:hAnsi="Calibri"/>
          <w:color w:val="161F2D"/>
          <w:sz w:val="19"/>
        </w:rPr>
        <w:t>Implement CloudWatch monitoring, alerting, validation, troubleshooting, and SQL/warehouse tuning to improve visibility and reliability for recurring analytics workflows and dashboards.</w:t>
      </w:r>
    </w:p>
    <w:p>
      <w:pPr>
        <w:pStyle w:val="ResumeBullet"/>
        <w:keepLines/>
      </w:pPr>
      <w:r>
        <w:rPr>
          <w:rFonts w:ascii="Calibri" w:hAnsi="Calibri"/>
          <w:color w:val="161F2D"/>
          <w:sz w:val="19"/>
        </w:rPr>
        <w:t>Configure Power Automate notifications and support SQL connectors and retrieval-design discussions for an internal RAG chat using Azure OpenAI and Azure AI Search within enterprise security constraints.</w:t>
      </w:r>
    </w:p>
    <w:p>
      <w:pPr>
        <w:pStyle w:val="RoleHeading"/>
        <w:keepNext/>
        <w:tabs>
          <w:tab w:pos="9360" w:val="right"/>
        </w:tabs>
      </w:pPr>
      <w:r>
        <w:rPr>
          <w:rFonts w:ascii="Calibri" w:hAnsi="Calibri"/>
          <w:b/>
          <w:color w:val="161F2D"/>
          <w:sz w:val="20"/>
        </w:rPr>
        <w:t>Data Science Consultant</w:t>
      </w:r>
      <w:r>
        <w:rPr>
          <w:rFonts w:ascii="Calibri" w:hAnsi="Calibri"/>
          <w:color w:val="161F2D"/>
          <w:sz w:val="19"/>
        </w:rPr>
        <w:tab/>
      </w:r>
      <w:r>
        <w:rPr>
          <w:rFonts w:ascii="Calibri" w:hAnsi="Calibri"/>
          <w:b/>
          <w:color w:val="4E5968"/>
          <w:sz w:val="18"/>
        </w:rPr>
        <w:t>Feb 2020 - Mar 2021</w:t>
      </w:r>
    </w:p>
    <w:p>
      <w:pPr>
        <w:pStyle w:val="OrganizationLine"/>
        <w:keepNext/>
      </w:pPr>
      <w:r>
        <w:rPr>
          <w:rFonts w:ascii="Calibri" w:hAnsi="Calibri"/>
          <w:b/>
          <w:color w:val="2A527A"/>
          <w:sz w:val="19"/>
        </w:rPr>
        <w:t>Nexus IT</w:t>
      </w:r>
    </w:p>
    <w:p>
      <w:pPr>
        <w:pStyle w:val="ResumeBullet"/>
        <w:keepLines/>
      </w:pPr>
      <w:r>
        <w:rPr>
          <w:rFonts w:ascii="Calibri" w:hAnsi="Calibri"/>
          <w:color w:val="161F2D"/>
          <w:sz w:val="19"/>
        </w:rPr>
        <w:t>Built AWS data and machine-learning workflows for credit-derivatives forecasting using S3, Glue/PySpark, Lambda, Step Functions, Redshift, and SageMaker, supporting data preparation, model training, and analyst-ready outputs.</w:t>
      </w:r>
    </w:p>
    <w:p>
      <w:pPr>
        <w:pStyle w:val="ResumeBullet"/>
        <w:keepLines/>
      </w:pPr>
      <w:r>
        <w:rPr>
          <w:rFonts w:ascii="Calibri" w:hAnsi="Calibri"/>
          <w:color w:val="161F2D"/>
          <w:sz w:val="19"/>
        </w:rPr>
        <w:t>Developed Python forecasting and analytics workflows for credit-spread research and created Tableau and R dashboards covering portfolio exposure, sector risk, macro indicators, and cross-asset relationships.</w:t>
      </w:r>
    </w:p>
    <w:p>
      <w:pPr>
        <w:pStyle w:val="ResumeBullet"/>
        <w:keepLines/>
      </w:pPr>
      <w:r>
        <w:rPr>
          <w:rFonts w:ascii="Calibri" w:hAnsi="Calibri"/>
          <w:color w:val="161F2D"/>
          <w:sz w:val="19"/>
        </w:rPr>
        <w:t>Automated recurring Excel-based analyst preparation by replacing manual steps with repeatable AWS data pipelines and curated reporting outputs.</w:t>
      </w:r>
    </w:p>
    <w:p>
      <w:pPr>
        <w:pStyle w:val="ResumeBullet"/>
        <w:keepLines/>
      </w:pPr>
      <w:r>
        <w:rPr>
          <w:rFonts w:ascii="Calibri" w:hAnsi="Calibri"/>
          <w:color w:val="161F2D"/>
          <w:sz w:val="19"/>
        </w:rPr>
        <w:t>Developed Glue/PySpark transformations and orchestrated multi-step workflows with Step Functions and Lambda to improve failure handling and operational visibility for AWS analytics pipelines.</w:t>
      </w:r>
    </w:p>
    <w:p>
      <w:r>
        <w:rPr>
          <w:rFonts w:ascii="Calibri" w:hAnsi="Calibri"/>
          <w:color w:val="161F2D"/>
          <w:sz w:val="19"/>
        </w:rPr>
        <w:br w:type="page"/>
      </w:r>
    </w:p>
    <w:p>
      <w:pPr>
        <w:pStyle w:val="RoleHeading"/>
        <w:keepNext/>
        <w:tabs>
          <w:tab w:pos="9360" w:val="right"/>
        </w:tabs>
      </w:pPr>
      <w:r>
        <w:rPr>
          <w:rFonts w:ascii="Calibri" w:hAnsi="Calibri"/>
          <w:b/>
          <w:color w:val="161F2D"/>
          <w:sz w:val="20"/>
        </w:rPr>
        <w:t>Data Engineer / BI Developer</w:t>
      </w:r>
      <w:r>
        <w:rPr>
          <w:rFonts w:ascii="Calibri" w:hAnsi="Calibri"/>
          <w:color w:val="161F2D"/>
          <w:sz w:val="19"/>
        </w:rPr>
        <w:tab/>
      </w:r>
      <w:r>
        <w:rPr>
          <w:rFonts w:ascii="Calibri" w:hAnsi="Calibri"/>
          <w:b/>
          <w:color w:val="4E5968"/>
          <w:sz w:val="18"/>
        </w:rPr>
        <w:t>Apr 2018 - Dec 2019</w:t>
      </w:r>
    </w:p>
    <w:p>
      <w:pPr>
        <w:pStyle w:val="OrganizationLine"/>
        <w:keepNext/>
      </w:pPr>
      <w:r>
        <w:rPr>
          <w:rFonts w:ascii="Calibri" w:hAnsi="Calibri"/>
          <w:b/>
          <w:color w:val="2A527A"/>
          <w:sz w:val="19"/>
        </w:rPr>
        <w:t>Cisco &amp; Kaiser Permanente Client Engagements</w:t>
      </w:r>
      <w:r>
        <w:rPr>
          <w:rFonts w:ascii="Calibri" w:hAnsi="Calibri"/>
          <w:i/>
          <w:color w:val="4E5968"/>
          <w:sz w:val="18"/>
        </w:rPr>
        <w:t xml:space="preserve"> | Kforce Consulting - employer</w:t>
      </w:r>
    </w:p>
    <w:p>
      <w:pPr>
        <w:pStyle w:val="ResumeBullet"/>
        <w:keepLines/>
      </w:pPr>
      <w:r>
        <w:rPr>
          <w:rFonts w:ascii="Calibri" w:hAnsi="Calibri"/>
          <w:color w:val="161F2D"/>
          <w:sz w:val="19"/>
        </w:rPr>
        <w:t>Migrated marketing and campaign datasets from Oracle to Snowflake and built SQL-based ETL workflows to improve analytics scalability and reuse.</w:t>
      </w:r>
    </w:p>
    <w:p>
      <w:pPr>
        <w:pStyle w:val="ResumeBullet"/>
        <w:keepLines/>
      </w:pPr>
      <w:r>
        <w:rPr>
          <w:rFonts w:ascii="Calibri" w:hAnsi="Calibri"/>
          <w:color w:val="161F2D"/>
          <w:sz w:val="19"/>
        </w:rPr>
        <w:t>Created curated datasets for campaign analytics, security-lifecycle KPIs, incident analysis, and operational reporting across Cisco and Kaiser Permanente engagements.</w:t>
      </w:r>
    </w:p>
    <w:p>
      <w:pPr>
        <w:pStyle w:val="ResumeBullet"/>
        <w:keepLines/>
      </w:pPr>
      <w:r>
        <w:rPr>
          <w:rFonts w:ascii="Calibri" w:hAnsi="Calibri"/>
          <w:color w:val="161F2D"/>
          <w:sz w:val="19"/>
        </w:rPr>
        <w:t>Developed BI dashboards and KPI reporting solutions supporting incident analysis, campaign-performance tracking, and stakeholder decision-making.</w:t>
      </w:r>
    </w:p>
    <w:p>
      <w:pPr>
        <w:pStyle w:val="ResumeBullet"/>
        <w:keepLines/>
      </w:pPr>
      <w:r>
        <w:rPr>
          <w:rFonts w:ascii="Calibri" w:hAnsi="Calibri"/>
          <w:color w:val="161F2D"/>
          <w:sz w:val="19"/>
        </w:rPr>
        <w:t>Built time-series forecasting workflows for marketing ROI and media-spend analysis and documented pipelines, data models, and metric definitions for maintainability and reporting governance.</w:t>
      </w:r>
    </w:p>
    <w:p>
      <w:pPr>
        <w:pStyle w:val="SectionHeading"/>
        <w:keepNext/>
      </w:pPr>
      <w:r>
        <w:rPr>
          <w:rFonts w:ascii="Calibri" w:hAnsi="Calibri"/>
          <w:color w:val="161F2D"/>
          <w:sz w:val="19"/>
        </w:rPr>
        <w:t>CORE EXPERTISE</w:t>
      </w:r>
    </w:p>
    <w:p>
      <w:pPr>
        <w:pStyle w:val="CompactBody"/>
        <w:keepLines/>
      </w:pPr>
      <w:r>
        <w:rPr>
          <w:rFonts w:ascii="Calibri" w:hAnsi="Calibri"/>
          <w:b/>
          <w:color w:val="161F2D"/>
          <w:sz w:val="19"/>
        </w:rPr>
        <w:t xml:space="preserve">Data &amp; Cloud Architecture: </w:t>
      </w:r>
      <w:r>
        <w:rPr>
          <w:rFonts w:ascii="Calibri" w:hAnsi="Calibri"/>
          <w:color w:val="161F2D"/>
          <w:sz w:val="19"/>
        </w:rPr>
        <w:t>AWS, serverless solutions, Amazon Redshift, Snowflake, S3, Glue, Lambda, Step Functions, SQL, Python, PySpark, ETL/ELT, and data modeling</w:t>
      </w:r>
    </w:p>
    <w:p>
      <w:pPr>
        <w:pStyle w:val="CompactBody"/>
        <w:keepLines/>
      </w:pPr>
      <w:r>
        <w:rPr>
          <w:rFonts w:ascii="Calibri" w:hAnsi="Calibri"/>
          <w:b/>
          <w:color w:val="161F2D"/>
          <w:sz w:val="19"/>
        </w:rPr>
        <w:t xml:space="preserve">AI Architecture &amp; Analytics: </w:t>
      </w:r>
      <w:r>
        <w:rPr>
          <w:rFonts w:ascii="Calibri" w:hAnsi="Calibri"/>
          <w:color w:val="161F2D"/>
          <w:sz w:val="19"/>
        </w:rPr>
        <w:t>Generative AI, RAG design, structure-aware chunking, embeddings/vector retrieval, hybrid search and reranking, structured outputs, LLM evaluation, human-in-the-loop controls, Azure OpenAI, Azure AI Search, Amazon Bedrock architecture, Power BI, Tableau, SageMaker, and Power Automate</w:t>
      </w:r>
    </w:p>
    <w:p>
      <w:pPr>
        <w:pStyle w:val="CompactBody"/>
        <w:keepLines/>
      </w:pPr>
      <w:r>
        <w:rPr>
          <w:rFonts w:ascii="Calibri" w:hAnsi="Calibri"/>
          <w:b/>
          <w:color w:val="161F2D"/>
          <w:sz w:val="19"/>
        </w:rPr>
        <w:t xml:space="preserve">Solution Delivery: </w:t>
      </w:r>
      <w:r>
        <w:rPr>
          <w:rFonts w:ascii="Calibri" w:hAnsi="Calibri"/>
          <w:color w:val="161F2D"/>
          <w:sz w:val="19"/>
        </w:rPr>
        <w:t>Requirements discovery, stakeholder leadership, architecture trade-offs, security and privacy, CI/CD, CloudWatch, data quality, reliability, and technical documentation</w:t>
      </w:r>
    </w:p>
    <w:p>
      <w:pPr>
        <w:pStyle w:val="SectionHeading"/>
        <w:keepNext/>
      </w:pPr>
      <w:r>
        <w:rPr>
          <w:rFonts w:ascii="Calibri" w:hAnsi="Calibri"/>
          <w:color w:val="161F2D"/>
          <w:sz w:val="19"/>
        </w:rPr>
        <w:t>SELECTED PORTFOLIO PROJECTS</w:t>
      </w:r>
    </w:p>
    <w:p>
      <w:pPr>
        <w:pStyle w:val="CompactBody"/>
        <w:keepLines/>
        <w:spacing w:after="40"/>
        <w:ind w:left="43"/>
      </w:pPr>
      <w:hyperlink r:id="rId16">
        <w:r>
          <w:rPr>
            <w:rFonts w:ascii="Calibri" w:hAnsi="Calibri"/>
            <w:color w:val="235891"/>
            <w:u w:val="none"/>
            <w:sz w:val="18"/>
          </w:rPr>
          <w:t>FinSense</w:t>
        </w:r>
      </w:hyperlink>
      <w:r>
        <w:rPr>
          <w:rFonts w:ascii="Calibri" w:hAnsi="Calibri"/>
          <w:color w:val="161F2D"/>
          <w:sz w:val="19"/>
        </w:rPr>
        <w:t xml:space="preserve"> - Built a Python/OpenAI/Streamlit earnings-intelligence prototype with config-driven document ingestion, structured JSON insight packs, KPI extraction, AI summaries, and document-aware Q&amp;A over a limited set of sample earnings materials.</w:t>
      </w:r>
    </w:p>
    <w:p>
      <w:pPr>
        <w:pStyle w:val="CompactBody"/>
        <w:keepLines/>
        <w:spacing w:after="40"/>
        <w:ind w:left="43"/>
      </w:pPr>
      <w:hyperlink r:id="rId17">
        <w:r>
          <w:rPr>
            <w:rFonts w:ascii="Calibri" w:hAnsi="Calibri"/>
            <w:color w:val="235891"/>
            <w:u w:val="none"/>
            <w:sz w:val="18"/>
          </w:rPr>
          <w:t>StreamShift</w:t>
        </w:r>
      </w:hyperlink>
      <w:r>
        <w:rPr>
          <w:rFonts w:ascii="Calibri" w:hAnsi="Calibri"/>
          <w:color w:val="161F2D"/>
          <w:sz w:val="19"/>
        </w:rPr>
        <w:t xml:space="preserve"> - Created a media-merger strategy sandbox combining explainable rules, embeddings/FAISS, traceable sources, interactive buyer/target scenarios, IP-similarity views, and clearly labeled exploratory predictions.</w:t>
      </w:r>
    </w:p>
    <w:p>
      <w:pPr>
        <w:pStyle w:val="CompactBody"/>
        <w:keepLines/>
        <w:spacing w:after="40"/>
        <w:ind w:left="43"/>
      </w:pPr>
      <w:hyperlink r:id="rId18">
        <w:r>
          <w:rPr>
            <w:rFonts w:ascii="Calibri" w:hAnsi="Calibri"/>
            <w:color w:val="235891"/>
            <w:u w:val="none"/>
            <w:sz w:val="18"/>
          </w:rPr>
          <w:t>OnePlan AI</w:t>
        </w:r>
      </w:hyperlink>
      <w:r>
        <w:rPr>
          <w:rFonts w:ascii="Calibri" w:hAnsi="Calibri"/>
          <w:color w:val="161F2D"/>
          <w:sz w:val="19"/>
        </w:rPr>
        <w:t xml:space="preserve"> - Developed a synthetic cross-media planning workflow spanning data generation, linear/XGBoost response modeling, reach-overlap simulation, constrained optimization, and explainability to compare conversion and reach trade-offs.</w:t>
      </w:r>
    </w:p>
    <w:p>
      <w:pPr>
        <w:pStyle w:val="SectionHeading"/>
        <w:keepNext/>
      </w:pPr>
      <w:r>
        <w:rPr>
          <w:rFonts w:ascii="Calibri" w:hAnsi="Calibri"/>
          <w:color w:val="161F2D"/>
          <w:sz w:val="19"/>
        </w:rPr>
        <w:t>CERTIFICATIONS</w:t>
      </w:r>
    </w:p>
    <w:p>
      <w:pPr>
        <w:pStyle w:val="CompactBody"/>
      </w:pPr>
      <w:r>
        <w:rPr>
          <w:rFonts w:ascii="Calibri" w:hAnsi="Calibri"/>
          <w:b/>
          <w:color w:val="161F2D"/>
          <w:sz w:val="19"/>
        </w:rPr>
        <w:t>AWS Certified Solutions Architect - Associate</w:t>
      </w:r>
      <w:r>
        <w:rPr>
          <w:rFonts w:ascii="Calibri" w:hAnsi="Calibri"/>
          <w:color w:val="4E5968"/>
          <w:sz w:val="19"/>
        </w:rPr>
        <w:t xml:space="preserve"> (valid through Aug 2027)  |  </w:t>
      </w:r>
      <w:r>
        <w:rPr>
          <w:rFonts w:ascii="Calibri" w:hAnsi="Calibri"/>
          <w:b/>
          <w:color w:val="161F2D"/>
          <w:sz w:val="19"/>
        </w:rPr>
        <w:t>AWS Certified AI Practitioner</w:t>
      </w:r>
      <w:r>
        <w:rPr>
          <w:rFonts w:ascii="Calibri" w:hAnsi="Calibri"/>
          <w:color w:val="4E5968"/>
          <w:sz w:val="19"/>
        </w:rPr>
        <w:t xml:space="preserve"> (valid through Jan 2028)  |  </w:t>
      </w:r>
      <w:r>
        <w:rPr>
          <w:rFonts w:ascii="Calibri" w:hAnsi="Calibri"/>
          <w:b/>
          <w:color w:val="161F2D"/>
          <w:sz w:val="19"/>
        </w:rPr>
        <w:t>Tableau Desktop Specialist</w:t>
      </w:r>
    </w:p>
    <w:p>
      <w:pPr>
        <w:pStyle w:val="SectionHeading"/>
        <w:keepNext/>
      </w:pPr>
      <w:r>
        <w:rPr>
          <w:rFonts w:ascii="Calibri" w:hAnsi="Calibri"/>
          <w:color w:val="161F2D"/>
          <w:sz w:val="19"/>
        </w:rPr>
        <w:t>EDUCATION</w:t>
      </w:r>
    </w:p>
    <w:p>
      <w:pPr>
        <w:pStyle w:val="CompactBody"/>
        <w:keepLines/>
      </w:pPr>
      <w:r>
        <w:rPr>
          <w:rFonts w:ascii="Calibri" w:hAnsi="Calibri"/>
          <w:b/>
          <w:color w:val="161F2D"/>
          <w:sz w:val="19"/>
        </w:rPr>
        <w:t xml:space="preserve">M.S.: </w:t>
      </w:r>
      <w:r>
        <w:rPr>
          <w:rFonts w:ascii="Calibri" w:hAnsi="Calibri"/>
          <w:color w:val="161F2D"/>
          <w:sz w:val="19"/>
        </w:rPr>
        <w:t>Engineering &amp; Operations Management - University of New Haven</w:t>
      </w:r>
    </w:p>
    <w:p>
      <w:pPr>
        <w:pStyle w:val="CompactBody"/>
        <w:keepLines/>
      </w:pPr>
      <w:r>
        <w:rPr>
          <w:rFonts w:ascii="Calibri" w:hAnsi="Calibri"/>
          <w:b/>
          <w:color w:val="161F2D"/>
          <w:sz w:val="19"/>
        </w:rPr>
        <w:t xml:space="preserve">B.Tech.: </w:t>
      </w:r>
      <w:r>
        <w:rPr>
          <w:rFonts w:ascii="Calibri" w:hAnsi="Calibri"/>
          <w:color w:val="161F2D"/>
          <w:sz w:val="19"/>
        </w:rPr>
        <w:t>Electronics &amp; Communication Engineering - JNTU, India</w:t>
      </w:r>
    </w:p>
    <w:sectPr w:rsidR="00FC693F" w:rsidRPr="0006063C" w:rsidSect="00034616">
      <w:footerReference w:type="default" r:id="rId19"/>
      <w:pgSz w:w="12240" w:h="15840"/>
      <w:pgMar w:top="893" w:right="1037" w:bottom="835" w:left="1037" w:header="432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4E5968"/>
        <w:sz w:val="16"/>
      </w:rPr>
      <w:t xml:space="preserve">Aravind Anisetti | </w:t>
    </w:r>
    <w:r>
      <w:rPr>
        <w:rFonts w:ascii="Calibri" w:hAnsi="Calibri"/>
        <w:color w:val="4E5968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4" w:line="253" w:lineRule="auto"/>
    </w:pPr>
    <w:rPr>
      <w:rFonts w:ascii="Calibri" w:hAnsi="Calibri"/>
      <w:color w:val="161F2D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Body">
    <w:name w:val="Compact Body"/>
    <w:basedOn w:val="Normal"/>
    <w:pPr>
      <w:spacing w:before="0" w:after="30" w:line="247" w:lineRule="auto"/>
    </w:pPr>
  </w:style>
  <w:style w:type="paragraph" w:customStyle="1" w:styleId="SectionHeading">
    <w:name w:val="Section Heading"/>
    <w:basedOn w:val="Normal"/>
    <w:pPr>
      <w:keepNext/>
      <w:spacing w:before="140" w:after="60"/>
    </w:pPr>
    <w:rPr>
      <w:rFonts w:ascii="Calibri" w:hAnsi="Calibri"/>
      <w:b/>
      <w:color w:val="2A527A"/>
      <w:sz w:val="20"/>
    </w:rPr>
  </w:style>
  <w:style w:type="paragraph" w:customStyle="1" w:styleId="RoleHeading">
    <w:name w:val="Role Heading"/>
    <w:basedOn w:val="Normal"/>
    <w:pPr>
      <w:keepNext/>
      <w:spacing w:before="90" w:after="0"/>
    </w:pPr>
  </w:style>
  <w:style w:type="paragraph" w:customStyle="1" w:styleId="OrganizationLine">
    <w:name w:val="Organization Line"/>
    <w:basedOn w:val="Normal"/>
    <w:pPr>
      <w:keepNext/>
      <w:spacing w:before="0" w:after="30"/>
    </w:pPr>
  </w:style>
  <w:style w:type="paragraph" w:customStyle="1" w:styleId="ResumeBullet">
    <w:name w:val="Resume Bullet"/>
    <w:basedOn w:val="ListBullet"/>
    <w:pPr>
      <w:spacing w:before="0" w:after="34" w:line="248" w:lineRule="auto"/>
      <w:ind w:left="274" w:hanging="202"/>
    </w:pPr>
    <w:rPr>
      <w:rFonts w:ascii="Calibri" w:hAnsi="Calibri"/>
      <w:color w:val="161F2D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anisetti.ar@gmail.com" TargetMode="External"/><Relationship Id="rId10" Type="http://schemas.openxmlformats.org/officeDocument/2006/relationships/hyperlink" Target="tel:+18045855047" TargetMode="External"/><Relationship Id="rId11" Type="http://schemas.openxmlformats.org/officeDocument/2006/relationships/hyperlink" Target="https://www.linkedin.com/in/aravind-a-7534b6168/" TargetMode="External"/><Relationship Id="rId12" Type="http://schemas.openxmlformats.org/officeDocument/2006/relationships/hyperlink" Target="https://github.com/aravind-bit" TargetMode="External"/><Relationship Id="rId13" Type="http://schemas.openxmlformats.org/officeDocument/2006/relationships/hyperlink" Target="https://aravind-bit.github.io/" TargetMode="External"/><Relationship Id="rId14" Type="http://schemas.openxmlformats.org/officeDocument/2006/relationships/hyperlink" Target="https://medium.com/@anisetti.ar" TargetMode="External"/><Relationship Id="rId15" Type="http://schemas.openxmlformats.org/officeDocument/2006/relationships/hyperlink" Target="https://aravind-bit.github.io/textent/" TargetMode="External"/><Relationship Id="rId16" Type="http://schemas.openxmlformats.org/officeDocument/2006/relationships/hyperlink" Target="https://github.com/aravind-bit/finsense-earnings-ai" TargetMode="External"/><Relationship Id="rId17" Type="http://schemas.openxmlformats.org/officeDocument/2006/relationships/hyperlink" Target="https://github.com/aravind-bit/streamshift" TargetMode="External"/><Relationship Id="rId18" Type="http://schemas.openxmlformats.org/officeDocument/2006/relationships/hyperlink" Target="https://github.com/aravind-bit/oneplan-ai" TargetMode="External"/><Relationship Id="rId1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