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7A52" w14:textId="77777777" w:rsidR="00A50713" w:rsidRPr="007B3C1C" w:rsidRDefault="00A50713" w:rsidP="00A50713">
      <w:pPr>
        <w:spacing w:line="360" w:lineRule="auto"/>
        <w:jc w:val="both"/>
        <w:rPr>
          <w:rFonts w:ascii="Calibri" w:hAnsi="Calibri" w:cs="Calibri"/>
          <w:b/>
          <w:bCs/>
          <w:sz w:val="22"/>
          <w:szCs w:val="22"/>
        </w:rPr>
      </w:pPr>
    </w:p>
    <w:p w14:paraId="0B637854" w14:textId="77777777" w:rsidR="00A50713" w:rsidRPr="00A50713" w:rsidRDefault="00A50713" w:rsidP="00A50713">
      <w:pPr>
        <w:spacing w:line="360" w:lineRule="auto"/>
        <w:jc w:val="center"/>
        <w:rPr>
          <w:rFonts w:ascii="Calibri" w:hAnsi="Calibri" w:cs="Calibri"/>
          <w:b/>
          <w:bCs/>
        </w:rPr>
      </w:pPr>
      <w:r w:rsidRPr="00A50713">
        <w:rPr>
          <w:rFonts w:ascii="Calibri" w:hAnsi="Calibri" w:cs="Calibri"/>
          <w:b/>
          <w:bCs/>
        </w:rPr>
        <w:t>MDA512 — Data Science</w:t>
      </w:r>
    </w:p>
    <w:p w14:paraId="020BEE82" w14:textId="77777777" w:rsidR="00A50713" w:rsidRPr="00A50713" w:rsidRDefault="00A50713" w:rsidP="00A50713">
      <w:pPr>
        <w:spacing w:line="360" w:lineRule="auto"/>
        <w:jc w:val="center"/>
        <w:rPr>
          <w:rFonts w:ascii="Calibri" w:hAnsi="Calibri" w:cs="Calibri"/>
          <w:b/>
          <w:bCs/>
        </w:rPr>
      </w:pPr>
      <w:r w:rsidRPr="00A50713">
        <w:rPr>
          <w:rFonts w:ascii="Calibri" w:hAnsi="Calibri" w:cs="Calibri"/>
          <w:b/>
          <w:bCs/>
        </w:rPr>
        <w:t>Trimester 1, 2026 | Assignment 2</w:t>
      </w:r>
    </w:p>
    <w:p w14:paraId="1EC9A95A" w14:textId="77777777" w:rsidR="00A50713" w:rsidRPr="007B3C1C" w:rsidRDefault="00A50713" w:rsidP="00A50713">
      <w:pPr>
        <w:spacing w:line="360" w:lineRule="auto"/>
        <w:rPr>
          <w:rFonts w:ascii="Calibri" w:hAnsi="Calibri" w:cs="Calibri"/>
          <w:b/>
          <w:bCs/>
          <w:sz w:val="22"/>
          <w:szCs w:val="22"/>
        </w:rPr>
      </w:pPr>
      <w:r w:rsidRPr="007B3C1C">
        <w:rPr>
          <w:rFonts w:ascii="Calibri" w:hAnsi="Calibri" w:cs="Calibri"/>
          <w:b/>
          <w:bCs/>
          <w:sz w:val="22"/>
          <w:szCs w:val="22"/>
        </w:rPr>
        <w:t>Predicting Bank Customer Churn Using Machine Learning:</w:t>
      </w:r>
    </w:p>
    <w:p w14:paraId="3972970C" w14:textId="77777777" w:rsidR="00A50713" w:rsidRPr="007B3C1C" w:rsidRDefault="00A50713" w:rsidP="00A50713">
      <w:pPr>
        <w:spacing w:line="360" w:lineRule="auto"/>
        <w:rPr>
          <w:rFonts w:ascii="Calibri" w:hAnsi="Calibri" w:cs="Calibri"/>
          <w:b/>
          <w:bCs/>
          <w:sz w:val="22"/>
          <w:szCs w:val="22"/>
        </w:rPr>
      </w:pPr>
      <w:r w:rsidRPr="007B3C1C">
        <w:rPr>
          <w:rFonts w:ascii="Calibri" w:hAnsi="Calibri" w:cs="Calibri"/>
          <w:b/>
          <w:bCs/>
          <w:sz w:val="22"/>
          <w:szCs w:val="22"/>
        </w:rPr>
        <w:t>Insights for the Australian Banking Sector</w:t>
      </w:r>
    </w:p>
    <w:p w14:paraId="12A7D12A" w14:textId="77777777" w:rsidR="00A50713" w:rsidRDefault="00A50713" w:rsidP="00A50713">
      <w:pPr>
        <w:spacing w:line="360" w:lineRule="auto"/>
        <w:rPr>
          <w:rFonts w:ascii="Calibri" w:hAnsi="Calibri" w:cs="Calibri"/>
          <w:b/>
          <w:bCs/>
          <w:sz w:val="22"/>
          <w:szCs w:val="22"/>
        </w:rPr>
      </w:pPr>
    </w:p>
    <w:p w14:paraId="7913F7FB" w14:textId="00CEA54B" w:rsidR="00A50713" w:rsidRPr="007B3C1C" w:rsidRDefault="00A50713" w:rsidP="00A50713">
      <w:pPr>
        <w:spacing w:line="360" w:lineRule="auto"/>
        <w:rPr>
          <w:rFonts w:ascii="Calibri" w:hAnsi="Calibri" w:cs="Calibri"/>
          <w:b/>
          <w:bCs/>
          <w:sz w:val="22"/>
          <w:szCs w:val="22"/>
        </w:rPr>
      </w:pPr>
      <w:r w:rsidRPr="007B3C1C">
        <w:rPr>
          <w:rFonts w:ascii="Calibri" w:hAnsi="Calibri" w:cs="Calibri"/>
          <w:b/>
          <w:bCs/>
          <w:sz w:val="22"/>
          <w:szCs w:val="22"/>
        </w:rPr>
        <w:t>Submitted by:</w:t>
      </w:r>
    </w:p>
    <w:tbl>
      <w:tblPr>
        <w:tblW w:w="9311"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1"/>
      </w:tblGrid>
      <w:tr w:rsidR="00A50713" w:rsidRPr="007B3C1C" w14:paraId="21299FB6" w14:textId="77777777" w:rsidTr="00613E8B">
        <w:trPr>
          <w:trHeight w:val="2760"/>
        </w:trPr>
        <w:tc>
          <w:tcPr>
            <w:tcW w:w="9311" w:type="dxa"/>
          </w:tcPr>
          <w:p w14:paraId="0E1D570A" w14:textId="77777777" w:rsidR="00A50713" w:rsidRPr="007B3C1C" w:rsidRDefault="00A50713" w:rsidP="00613E8B">
            <w:pPr>
              <w:spacing w:line="360" w:lineRule="auto"/>
              <w:ind w:left="446"/>
              <w:rPr>
                <w:rFonts w:ascii="Calibri" w:hAnsi="Calibri" w:cs="Calibri"/>
                <w:b/>
                <w:bCs/>
                <w:sz w:val="22"/>
                <w:szCs w:val="22"/>
              </w:rPr>
            </w:pPr>
            <w:r w:rsidRPr="007B3C1C">
              <w:rPr>
                <w:rFonts w:ascii="Calibri" w:hAnsi="Calibri" w:cs="Calibri"/>
                <w:b/>
                <w:bCs/>
                <w:sz w:val="22"/>
                <w:szCs w:val="22"/>
              </w:rPr>
              <w:t>Aravind Duggani (MIT251477)</w:t>
            </w:r>
          </w:p>
          <w:p w14:paraId="16A0E20B" w14:textId="77777777" w:rsidR="00A50713" w:rsidRPr="007B3C1C" w:rsidRDefault="00A50713" w:rsidP="00613E8B">
            <w:pPr>
              <w:spacing w:line="360" w:lineRule="auto"/>
              <w:ind w:left="446"/>
              <w:rPr>
                <w:rFonts w:ascii="Calibri" w:hAnsi="Calibri" w:cs="Calibri"/>
                <w:b/>
                <w:bCs/>
                <w:sz w:val="22"/>
                <w:szCs w:val="22"/>
              </w:rPr>
            </w:pPr>
            <w:r w:rsidRPr="007B3C1C">
              <w:rPr>
                <w:rFonts w:ascii="Calibri" w:hAnsi="Calibri" w:cs="Calibri"/>
                <w:b/>
                <w:bCs/>
                <w:sz w:val="22"/>
                <w:szCs w:val="22"/>
              </w:rPr>
              <w:t>Preethi Mothe (MIT252989)</w:t>
            </w:r>
          </w:p>
          <w:p w14:paraId="350C7772" w14:textId="77777777" w:rsidR="00A50713" w:rsidRPr="007B3C1C" w:rsidRDefault="00A50713" w:rsidP="00613E8B">
            <w:pPr>
              <w:spacing w:line="360" w:lineRule="auto"/>
              <w:ind w:left="446"/>
              <w:rPr>
                <w:rFonts w:ascii="Calibri" w:hAnsi="Calibri" w:cs="Calibri"/>
                <w:b/>
                <w:bCs/>
                <w:sz w:val="22"/>
                <w:szCs w:val="22"/>
              </w:rPr>
            </w:pPr>
            <w:r w:rsidRPr="007B3C1C">
              <w:rPr>
                <w:rFonts w:ascii="Calibri" w:hAnsi="Calibri" w:cs="Calibri"/>
                <w:b/>
                <w:bCs/>
                <w:sz w:val="22"/>
                <w:szCs w:val="22"/>
              </w:rPr>
              <w:t>Prasan Rana (MIT254245)</w:t>
            </w:r>
          </w:p>
          <w:p w14:paraId="3A4F13C6" w14:textId="77777777" w:rsidR="00A50713" w:rsidRPr="007B3C1C" w:rsidRDefault="00A50713" w:rsidP="00613E8B">
            <w:pPr>
              <w:spacing w:line="360" w:lineRule="auto"/>
              <w:ind w:left="446"/>
              <w:rPr>
                <w:rFonts w:ascii="Calibri" w:hAnsi="Calibri" w:cs="Calibri"/>
                <w:b/>
                <w:bCs/>
                <w:sz w:val="22"/>
                <w:szCs w:val="22"/>
              </w:rPr>
            </w:pPr>
            <w:r w:rsidRPr="007B3C1C">
              <w:rPr>
                <w:rFonts w:ascii="Calibri" w:hAnsi="Calibri" w:cs="Calibri"/>
                <w:b/>
                <w:bCs/>
                <w:sz w:val="22"/>
                <w:szCs w:val="22"/>
              </w:rPr>
              <w:t>Rohan Thapa (MIT255815)</w:t>
            </w:r>
          </w:p>
          <w:p w14:paraId="06B67816" w14:textId="77777777" w:rsidR="00A50713" w:rsidRPr="007B3C1C" w:rsidRDefault="00A50713" w:rsidP="00613E8B">
            <w:pPr>
              <w:spacing w:line="360" w:lineRule="auto"/>
              <w:ind w:left="446"/>
              <w:rPr>
                <w:rFonts w:ascii="Calibri" w:hAnsi="Calibri" w:cs="Calibri"/>
                <w:b/>
                <w:bCs/>
                <w:sz w:val="22"/>
                <w:szCs w:val="22"/>
              </w:rPr>
            </w:pPr>
            <w:proofErr w:type="spellStart"/>
            <w:r w:rsidRPr="007B3C1C">
              <w:rPr>
                <w:rFonts w:ascii="Calibri" w:hAnsi="Calibri" w:cs="Calibri"/>
                <w:b/>
                <w:bCs/>
                <w:sz w:val="22"/>
                <w:szCs w:val="22"/>
              </w:rPr>
              <w:t>Rhiddhi</w:t>
            </w:r>
            <w:proofErr w:type="spellEnd"/>
            <w:r w:rsidRPr="007B3C1C">
              <w:rPr>
                <w:rFonts w:ascii="Calibri" w:hAnsi="Calibri" w:cs="Calibri"/>
                <w:b/>
                <w:bCs/>
                <w:sz w:val="22"/>
                <w:szCs w:val="22"/>
              </w:rPr>
              <w:t xml:space="preserve"> Chakma (MIT251478)</w:t>
            </w:r>
          </w:p>
        </w:tc>
      </w:tr>
    </w:tbl>
    <w:p w14:paraId="5D05673F" w14:textId="77777777" w:rsidR="00A50713" w:rsidRPr="007B3C1C" w:rsidRDefault="00A50713" w:rsidP="00A50713">
      <w:pPr>
        <w:spacing w:line="360" w:lineRule="auto"/>
        <w:rPr>
          <w:rFonts w:ascii="Calibri" w:hAnsi="Calibri" w:cs="Calibri"/>
          <w:b/>
          <w:bCs/>
          <w:sz w:val="22"/>
          <w:szCs w:val="22"/>
        </w:rPr>
      </w:pPr>
      <w:r w:rsidRPr="007B3C1C">
        <w:rPr>
          <w:rFonts w:ascii="Calibri" w:hAnsi="Calibri" w:cs="Calibri"/>
          <w:b/>
          <w:bCs/>
          <w:sz w:val="22"/>
          <w:szCs w:val="22"/>
        </w:rPr>
        <w:t xml:space="preserve">Group / Tutorial: </w:t>
      </w:r>
    </w:p>
    <w:p w14:paraId="3356CA42" w14:textId="77777777" w:rsidR="00A50713" w:rsidRPr="007B3C1C" w:rsidRDefault="00A50713" w:rsidP="00A50713">
      <w:pPr>
        <w:spacing w:line="360" w:lineRule="auto"/>
        <w:rPr>
          <w:rFonts w:ascii="Calibri" w:hAnsi="Calibri" w:cs="Calibri"/>
          <w:b/>
          <w:bCs/>
          <w:sz w:val="22"/>
          <w:szCs w:val="22"/>
        </w:rPr>
      </w:pPr>
      <w:r w:rsidRPr="007B3C1C">
        <w:rPr>
          <w:rFonts w:ascii="Calibri" w:hAnsi="Calibri" w:cs="Calibri"/>
          <w:b/>
          <w:bCs/>
          <w:sz w:val="22"/>
          <w:szCs w:val="22"/>
        </w:rPr>
        <w:t>Lecturer: Dr. Samar Shailendra</w:t>
      </w:r>
    </w:p>
    <w:p w14:paraId="6836E3F4" w14:textId="613AE23D" w:rsidR="00A50713" w:rsidRPr="007B3C1C" w:rsidRDefault="00A50713" w:rsidP="00340ECC">
      <w:pPr>
        <w:spacing w:line="360" w:lineRule="auto"/>
        <w:rPr>
          <w:rFonts w:ascii="Calibri" w:hAnsi="Calibri" w:cs="Calibri"/>
          <w:b/>
          <w:bCs/>
          <w:sz w:val="22"/>
          <w:szCs w:val="22"/>
        </w:rPr>
      </w:pPr>
      <w:r w:rsidRPr="007B3C1C">
        <w:rPr>
          <w:rFonts w:ascii="Calibri" w:hAnsi="Calibri" w:cs="Calibri"/>
          <w:b/>
          <w:bCs/>
          <w:sz w:val="22"/>
          <w:szCs w:val="22"/>
        </w:rPr>
        <w:t xml:space="preserve">Submission Date: </w:t>
      </w:r>
    </w:p>
    <w:tbl>
      <w:tblPr>
        <w:tblW w:w="930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A50713" w:rsidRPr="007B3C1C" w14:paraId="4DF66690" w14:textId="77777777" w:rsidTr="00613E8B">
        <w:trPr>
          <w:trHeight w:val="1296"/>
        </w:trPr>
        <w:tc>
          <w:tcPr>
            <w:tcW w:w="9300" w:type="dxa"/>
          </w:tcPr>
          <w:p w14:paraId="1CD3EFCB" w14:textId="77777777" w:rsidR="00A50713" w:rsidRPr="007B3C1C" w:rsidRDefault="00A50713" w:rsidP="00613E8B">
            <w:pPr>
              <w:spacing w:line="360" w:lineRule="auto"/>
              <w:ind w:left="98"/>
              <w:jc w:val="both"/>
              <w:rPr>
                <w:rFonts w:ascii="Calibri" w:hAnsi="Calibri" w:cs="Calibri"/>
                <w:b/>
                <w:bCs/>
                <w:sz w:val="22"/>
                <w:szCs w:val="22"/>
              </w:rPr>
            </w:pPr>
            <w:r w:rsidRPr="007B3C1C">
              <w:rPr>
                <w:rFonts w:ascii="Calibri" w:hAnsi="Calibri" w:cs="Calibri"/>
                <w:b/>
                <w:bCs/>
                <w:sz w:val="22"/>
                <w:szCs w:val="22"/>
              </w:rPr>
              <w:t xml:space="preserve"> GitHub Repository:</w:t>
            </w:r>
          </w:p>
          <w:p w14:paraId="122B5E4E" w14:textId="77777777" w:rsidR="00A50713" w:rsidRDefault="00A50713" w:rsidP="00613E8B">
            <w:pPr>
              <w:spacing w:line="360" w:lineRule="auto"/>
              <w:ind w:left="98"/>
              <w:jc w:val="both"/>
            </w:pPr>
            <w:hyperlink r:id="rId8" w:history="1">
              <w:r w:rsidRPr="007B3C1C">
                <w:rPr>
                  <w:rStyle w:val="Hyperlink"/>
                  <w:rFonts w:ascii="Calibri" w:hAnsi="Calibri" w:cs="Calibri"/>
                  <w:b/>
                  <w:bCs/>
                  <w:sz w:val="22"/>
                  <w:szCs w:val="22"/>
                </w:rPr>
                <w:t xml:space="preserve"> https://github.com/aravindduggani1/mda512-churn-prediction</w:t>
              </w:r>
            </w:hyperlink>
          </w:p>
          <w:p w14:paraId="64927727" w14:textId="77777777" w:rsidR="00926238" w:rsidRDefault="00926238" w:rsidP="00926238">
            <w:pPr>
              <w:spacing w:line="360" w:lineRule="auto"/>
              <w:ind w:left="98"/>
              <w:jc w:val="both"/>
              <w:rPr>
                <w:rFonts w:ascii="Calibri" w:hAnsi="Calibri" w:cs="Calibri"/>
                <w:b/>
                <w:bCs/>
                <w:sz w:val="22"/>
                <w:szCs w:val="22"/>
              </w:rPr>
            </w:pPr>
            <w:r w:rsidRPr="00926238">
              <w:rPr>
                <w:rFonts w:ascii="Calibri" w:hAnsi="Calibri" w:cs="Calibri"/>
                <w:b/>
                <w:bCs/>
                <w:sz w:val="22"/>
                <w:szCs w:val="22"/>
              </w:rPr>
              <w:t>Use of Generative AI Tools:</w:t>
            </w:r>
          </w:p>
          <w:p w14:paraId="0431B918" w14:textId="0EC632AB" w:rsidR="00926238" w:rsidRDefault="00926238" w:rsidP="00926238">
            <w:pPr>
              <w:spacing w:line="360" w:lineRule="auto"/>
              <w:ind w:left="98"/>
              <w:jc w:val="both"/>
              <w:rPr>
                <w:rFonts w:ascii="Calibri" w:hAnsi="Calibri" w:cs="Calibri"/>
                <w:sz w:val="22"/>
                <w:szCs w:val="22"/>
              </w:rPr>
            </w:pPr>
            <w:r w:rsidRPr="00926238">
              <w:rPr>
                <w:rFonts w:ascii="Calibri" w:hAnsi="Calibri" w:cs="Calibri"/>
                <w:sz w:val="22"/>
                <w:szCs w:val="22"/>
              </w:rPr>
              <w:t>Sections of this report were drafted and refined with the assistance of Claude AI (Anthropic) and ChatGPT (OpenAI).</w:t>
            </w:r>
          </w:p>
          <w:p w14:paraId="55709E03" w14:textId="50D8127A" w:rsidR="00340ECC" w:rsidRPr="00340ECC" w:rsidRDefault="00340ECC" w:rsidP="00340ECC">
            <w:pPr>
              <w:spacing w:line="360" w:lineRule="auto"/>
              <w:ind w:left="98"/>
              <w:jc w:val="both"/>
              <w:rPr>
                <w:rFonts w:ascii="Calibri" w:hAnsi="Calibri" w:cs="Calibri"/>
                <w:b/>
                <w:bCs/>
                <w:sz w:val="22"/>
                <w:szCs w:val="22"/>
              </w:rPr>
            </w:pPr>
            <w:r>
              <w:rPr>
                <w:rFonts w:ascii="Calibri" w:hAnsi="Calibri" w:cs="Calibri"/>
                <w:b/>
                <w:bCs/>
                <w:sz w:val="22"/>
                <w:szCs w:val="22"/>
              </w:rPr>
              <w:t xml:space="preserve">- </w:t>
            </w:r>
            <w:r w:rsidRPr="00340ECC">
              <w:rPr>
                <w:rFonts w:ascii="Calibri" w:hAnsi="Calibri" w:cs="Calibri"/>
                <w:b/>
                <w:bCs/>
                <w:sz w:val="22"/>
                <w:szCs w:val="22"/>
              </w:rPr>
              <w:t xml:space="preserve">Anthropic, "Claude (claude-sonnet-4-6)," Anthropic, San Francisco, CA, USA. Accessed: May 2026. [Online]. </w:t>
            </w:r>
          </w:p>
          <w:p w14:paraId="5C6ACB6E" w14:textId="0C49A785" w:rsidR="00340ECC" w:rsidRPr="00340ECC" w:rsidRDefault="00340ECC" w:rsidP="00340ECC">
            <w:pPr>
              <w:spacing w:line="360" w:lineRule="auto"/>
              <w:ind w:left="98"/>
              <w:jc w:val="both"/>
              <w:rPr>
                <w:rFonts w:ascii="Calibri" w:hAnsi="Calibri" w:cs="Calibri"/>
                <w:b/>
                <w:bCs/>
                <w:sz w:val="22"/>
                <w:szCs w:val="22"/>
              </w:rPr>
            </w:pPr>
            <w:r>
              <w:rPr>
                <w:rFonts w:ascii="Calibri" w:hAnsi="Calibri" w:cs="Calibri"/>
                <w:b/>
                <w:bCs/>
                <w:sz w:val="22"/>
                <w:szCs w:val="22"/>
              </w:rPr>
              <w:t xml:space="preserve">- </w:t>
            </w:r>
            <w:r w:rsidRPr="00340ECC">
              <w:rPr>
                <w:rFonts w:ascii="Calibri" w:hAnsi="Calibri" w:cs="Calibri"/>
                <w:b/>
                <w:bCs/>
                <w:sz w:val="22"/>
                <w:szCs w:val="22"/>
              </w:rPr>
              <w:t xml:space="preserve">OpenAI, "ChatGPT (GPT-4)," OpenAI, San Francisco, CA, USA. Accessed: May 2026. [Online]. </w:t>
            </w:r>
          </w:p>
          <w:p w14:paraId="33FCFD07" w14:textId="77777777" w:rsidR="00340ECC" w:rsidRPr="00926238" w:rsidRDefault="00340ECC" w:rsidP="00926238">
            <w:pPr>
              <w:spacing w:line="360" w:lineRule="auto"/>
              <w:ind w:left="98"/>
              <w:jc w:val="both"/>
              <w:rPr>
                <w:rFonts w:ascii="Calibri" w:hAnsi="Calibri" w:cs="Calibri"/>
                <w:b/>
                <w:bCs/>
                <w:sz w:val="22"/>
                <w:szCs w:val="22"/>
              </w:rPr>
            </w:pPr>
          </w:p>
          <w:p w14:paraId="09A304A8" w14:textId="27434013" w:rsidR="00926238" w:rsidRPr="007B3C1C" w:rsidRDefault="00926238" w:rsidP="00613E8B">
            <w:pPr>
              <w:spacing w:line="360" w:lineRule="auto"/>
              <w:ind w:left="98"/>
              <w:jc w:val="both"/>
              <w:rPr>
                <w:rFonts w:ascii="Calibri" w:hAnsi="Calibri" w:cs="Calibri"/>
                <w:b/>
                <w:bCs/>
                <w:sz w:val="22"/>
                <w:szCs w:val="22"/>
              </w:rPr>
            </w:pPr>
          </w:p>
        </w:tc>
      </w:tr>
    </w:tbl>
    <w:p w14:paraId="3968E42C" w14:textId="77777777" w:rsidR="00A50713" w:rsidRDefault="00A50713" w:rsidP="00A50713">
      <w:pPr>
        <w:rPr>
          <w:rFonts w:ascii="Calibri" w:hAnsi="Calibri" w:cs="Calibri"/>
          <w:sz w:val="26"/>
          <w:szCs w:val="26"/>
          <w:lang w:val="en-IN"/>
        </w:rPr>
      </w:pPr>
    </w:p>
    <w:p w14:paraId="5D9B8104" w14:textId="77777777" w:rsidR="00A50713" w:rsidRDefault="00A50713" w:rsidP="00A50713">
      <w:pPr>
        <w:rPr>
          <w:rFonts w:ascii="Calibri" w:hAnsi="Calibri" w:cs="Calibri"/>
          <w:sz w:val="26"/>
          <w:szCs w:val="26"/>
          <w:lang w:val="en-IN"/>
        </w:rPr>
      </w:pPr>
    </w:p>
    <w:sdt>
      <w:sdtPr>
        <w:rPr>
          <w:rFonts w:ascii="Calibri" w:hAnsi="Calibri" w:cs="Calibri"/>
          <w:sz w:val="26"/>
          <w:szCs w:val="26"/>
          <w:lang w:val="en-IN"/>
        </w:rPr>
        <w:id w:val="-634257799"/>
        <w:docPartObj>
          <w:docPartGallery w:val="Table of Contents"/>
          <w:docPartUnique/>
        </w:docPartObj>
      </w:sdtPr>
      <w:sdtEndPr>
        <w:rPr>
          <w:b/>
          <w:bCs/>
          <w:noProof/>
          <w:lang w:val="en-AU"/>
        </w:rPr>
      </w:sdtEndPr>
      <w:sdtContent>
        <w:p w14:paraId="2DE59E1D" w14:textId="6156E75F" w:rsidR="00A50713" w:rsidRDefault="00A50713" w:rsidP="00A50713">
          <w:pPr>
            <w:rPr>
              <w:rFonts w:ascii="Calibri" w:hAnsi="Calibri" w:cs="Calibri"/>
              <w:sz w:val="26"/>
              <w:szCs w:val="26"/>
              <w:lang w:val="en-IN"/>
            </w:rPr>
          </w:pPr>
        </w:p>
        <w:p w14:paraId="75369A01" w14:textId="3E3C646E" w:rsidR="00D05550" w:rsidRPr="00A50713" w:rsidRDefault="00D05550" w:rsidP="00A50713">
          <w:pPr>
            <w:rPr>
              <w:lang w:val="en-IN"/>
            </w:rPr>
          </w:pPr>
          <w:r w:rsidRPr="00D05550">
            <w:rPr>
              <w:rFonts w:ascii="Calibri" w:hAnsi="Calibri" w:cs="Calibri"/>
              <w:sz w:val="26"/>
              <w:szCs w:val="26"/>
            </w:rPr>
            <w:t>Table of Contents</w:t>
          </w:r>
        </w:p>
        <w:p w14:paraId="4ABF157F" w14:textId="77777777" w:rsidR="00D05550" w:rsidRPr="00D05550" w:rsidRDefault="00D05550" w:rsidP="00D05550">
          <w:pPr>
            <w:pStyle w:val="TOC1"/>
            <w:tabs>
              <w:tab w:val="right" w:leader="dot" w:pos="9060"/>
            </w:tabs>
            <w:rPr>
              <w:rFonts w:ascii="Calibri" w:eastAsiaTheme="minorEastAsia" w:hAnsi="Calibri" w:cs="Calibri"/>
              <w:noProof/>
              <w:sz w:val="26"/>
              <w:szCs w:val="26"/>
              <w:lang w:eastAsia="en-IN"/>
            </w:rPr>
          </w:pPr>
          <w:r w:rsidRPr="00D05550">
            <w:rPr>
              <w:rFonts w:ascii="Calibri" w:hAnsi="Calibri" w:cs="Calibri"/>
              <w:sz w:val="26"/>
              <w:szCs w:val="26"/>
            </w:rPr>
            <w:fldChar w:fldCharType="begin"/>
          </w:r>
          <w:r w:rsidRPr="00D05550">
            <w:rPr>
              <w:rFonts w:ascii="Calibri" w:hAnsi="Calibri" w:cs="Calibri"/>
              <w:sz w:val="26"/>
              <w:szCs w:val="26"/>
            </w:rPr>
            <w:instrText xml:space="preserve"> TOC \o "1-3" \h \z \u </w:instrText>
          </w:r>
          <w:r w:rsidRPr="00D05550">
            <w:rPr>
              <w:rFonts w:ascii="Calibri" w:hAnsi="Calibri" w:cs="Calibri"/>
              <w:sz w:val="26"/>
              <w:szCs w:val="26"/>
            </w:rPr>
            <w:fldChar w:fldCharType="separate"/>
          </w:r>
          <w:hyperlink w:anchor="_Toc229080365" w:history="1">
            <w:r w:rsidRPr="00D05550">
              <w:rPr>
                <w:rStyle w:val="Hyperlink"/>
                <w:rFonts w:ascii="Calibri" w:hAnsi="Calibri" w:cs="Calibri"/>
                <w:noProof/>
                <w:sz w:val="26"/>
                <w:szCs w:val="26"/>
              </w:rPr>
              <w:t>1. Problem Statement and Background</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_Toc229080365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3</w:t>
            </w:r>
            <w:r w:rsidRPr="00D05550">
              <w:rPr>
                <w:rFonts w:ascii="Calibri" w:hAnsi="Calibri" w:cs="Calibri"/>
                <w:noProof/>
                <w:webHidden/>
                <w:sz w:val="26"/>
                <w:szCs w:val="26"/>
              </w:rPr>
              <w:fldChar w:fldCharType="end"/>
            </w:r>
          </w:hyperlink>
        </w:p>
        <w:p w14:paraId="1FA880BB" w14:textId="77777777" w:rsidR="00D05550" w:rsidRPr="00D05550" w:rsidRDefault="00D05550" w:rsidP="00D05550">
          <w:pPr>
            <w:pStyle w:val="TOC1"/>
            <w:tabs>
              <w:tab w:val="right" w:leader="dot" w:pos="9060"/>
            </w:tabs>
            <w:rPr>
              <w:rFonts w:ascii="Calibri" w:eastAsiaTheme="minorEastAsia" w:hAnsi="Calibri" w:cs="Calibri"/>
              <w:noProof/>
              <w:sz w:val="26"/>
              <w:szCs w:val="26"/>
              <w:lang w:eastAsia="en-IN"/>
            </w:rPr>
          </w:pPr>
          <w:hyperlink w:anchor="_Toc229080366" w:history="1">
            <w:r w:rsidRPr="00D05550">
              <w:rPr>
                <w:rStyle w:val="Hyperlink"/>
                <w:rFonts w:ascii="Calibri" w:hAnsi="Calibri" w:cs="Calibri"/>
                <w:noProof/>
                <w:sz w:val="26"/>
                <w:szCs w:val="26"/>
              </w:rPr>
              <w:t>2. Resources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_Toc229080366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3</w:t>
            </w:r>
            <w:r w:rsidRPr="00D05550">
              <w:rPr>
                <w:rFonts w:ascii="Calibri" w:hAnsi="Calibri" w:cs="Calibri"/>
                <w:noProof/>
                <w:webHidden/>
                <w:sz w:val="26"/>
                <w:szCs w:val="26"/>
              </w:rPr>
              <w:fldChar w:fldCharType="end"/>
            </w:r>
          </w:hyperlink>
        </w:p>
        <w:p w14:paraId="1E5F4660" w14:textId="77777777" w:rsidR="00D05550" w:rsidRPr="00D05550" w:rsidRDefault="00D05550" w:rsidP="00D05550">
          <w:pPr>
            <w:pStyle w:val="TOC1"/>
            <w:tabs>
              <w:tab w:val="right" w:leader="dot" w:pos="9060"/>
            </w:tabs>
            <w:rPr>
              <w:rFonts w:ascii="Calibri" w:eastAsiaTheme="minorEastAsia" w:hAnsi="Calibri" w:cs="Calibri"/>
              <w:noProof/>
              <w:sz w:val="26"/>
              <w:szCs w:val="26"/>
              <w:lang w:eastAsia="en-IN"/>
            </w:rPr>
          </w:pPr>
          <w:hyperlink w:anchor="_Toc229080367" w:history="1">
            <w:r w:rsidRPr="00D05550">
              <w:rPr>
                <w:rStyle w:val="Hyperlink"/>
                <w:rFonts w:ascii="Calibri" w:hAnsi="Calibri" w:cs="Calibri"/>
                <w:noProof/>
                <w:sz w:val="26"/>
                <w:szCs w:val="26"/>
              </w:rPr>
              <w:t>3. Business Model</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_Toc229080367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5</w:t>
            </w:r>
            <w:r w:rsidRPr="00D05550">
              <w:rPr>
                <w:rFonts w:ascii="Calibri" w:hAnsi="Calibri" w:cs="Calibri"/>
                <w:noProof/>
                <w:webHidden/>
                <w:sz w:val="26"/>
                <w:szCs w:val="26"/>
              </w:rPr>
              <w:fldChar w:fldCharType="end"/>
            </w:r>
          </w:hyperlink>
        </w:p>
        <w:p w14:paraId="481B8C71"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68" w:history="1">
            <w:r w:rsidRPr="00D05550">
              <w:rPr>
                <w:rStyle w:val="Hyperlink"/>
                <w:rFonts w:ascii="Calibri" w:hAnsi="Calibri" w:cs="Calibri"/>
                <w:noProof/>
                <w:sz w:val="26"/>
                <w:szCs w:val="26"/>
              </w:rPr>
              <w:t>3.1 Research Questions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_Toc229080368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5</w:t>
            </w:r>
            <w:r w:rsidRPr="00D05550">
              <w:rPr>
                <w:rFonts w:ascii="Calibri" w:hAnsi="Calibri" w:cs="Calibri"/>
                <w:noProof/>
                <w:webHidden/>
                <w:sz w:val="26"/>
                <w:szCs w:val="26"/>
              </w:rPr>
              <w:fldChar w:fldCharType="end"/>
            </w:r>
          </w:hyperlink>
        </w:p>
        <w:p w14:paraId="63E7B466"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69" w:history="1">
            <w:r w:rsidRPr="00D05550">
              <w:rPr>
                <w:rStyle w:val="Hyperlink"/>
                <w:rFonts w:ascii="Calibri" w:hAnsi="Calibri" w:cs="Calibri"/>
                <w:noProof/>
                <w:sz w:val="26"/>
                <w:szCs w:val="26"/>
              </w:rPr>
              <w:t>3.2 Challenges Encountered</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_Toc229080369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5</w:t>
            </w:r>
            <w:r w:rsidRPr="00D05550">
              <w:rPr>
                <w:rFonts w:ascii="Calibri" w:hAnsi="Calibri" w:cs="Calibri"/>
                <w:noProof/>
                <w:webHidden/>
                <w:sz w:val="26"/>
                <w:szCs w:val="26"/>
              </w:rPr>
              <w:fldChar w:fldCharType="end"/>
            </w:r>
          </w:hyperlink>
        </w:p>
        <w:p w14:paraId="4B0095BB"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0" w:history="1">
            <w:r w:rsidRPr="00D05550">
              <w:rPr>
                <w:rStyle w:val="Hyperlink"/>
                <w:rFonts w:ascii="Calibri" w:hAnsi="Calibri" w:cs="Calibri"/>
                <w:noProof/>
                <w:sz w:val="26"/>
                <w:szCs w:val="26"/>
              </w:rPr>
              <w:t>3.3 Data Preprocessing and Wrangling</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_Toc229080370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6</w:t>
            </w:r>
            <w:r w:rsidRPr="00D05550">
              <w:rPr>
                <w:rFonts w:ascii="Calibri" w:hAnsi="Calibri" w:cs="Calibri"/>
                <w:noProof/>
                <w:webHidden/>
                <w:sz w:val="26"/>
                <w:szCs w:val="26"/>
              </w:rPr>
              <w:fldChar w:fldCharType="end"/>
            </w:r>
          </w:hyperlink>
        </w:p>
        <w:p w14:paraId="707CF741"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1" w:history="1">
            <w:r w:rsidRPr="00D05550">
              <w:rPr>
                <w:rStyle w:val="Hyperlink"/>
                <w:rFonts w:ascii="Calibri" w:hAnsi="Calibri" w:cs="Calibri"/>
                <w:noProof/>
                <w:sz w:val="26"/>
                <w:szCs w:val="26"/>
              </w:rPr>
              <w:t>3.4 Algorithm Selection and Justification</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_Toc229080371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6</w:t>
            </w:r>
            <w:r w:rsidRPr="00D05550">
              <w:rPr>
                <w:rFonts w:ascii="Calibri" w:hAnsi="Calibri" w:cs="Calibri"/>
                <w:noProof/>
                <w:webHidden/>
                <w:sz w:val="26"/>
                <w:szCs w:val="26"/>
              </w:rPr>
              <w:fldChar w:fldCharType="end"/>
            </w:r>
          </w:hyperlink>
        </w:p>
        <w:p w14:paraId="05266E08"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2" w:history="1">
            <w:r w:rsidRPr="00D05550">
              <w:rPr>
                <w:rStyle w:val="Hyperlink"/>
                <w:rFonts w:ascii="Calibri" w:hAnsi="Calibri" w:cs="Calibri"/>
                <w:noProof/>
                <w:sz w:val="26"/>
                <w:szCs w:val="26"/>
              </w:rPr>
              <w:t>3.5 Connecting the Dataset to the Research Questions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_Toc229080372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6</w:t>
            </w:r>
            <w:r w:rsidRPr="00D05550">
              <w:rPr>
                <w:rFonts w:ascii="Calibri" w:hAnsi="Calibri" w:cs="Calibri"/>
                <w:noProof/>
                <w:webHidden/>
                <w:sz w:val="26"/>
                <w:szCs w:val="26"/>
              </w:rPr>
              <w:fldChar w:fldCharType="end"/>
            </w:r>
          </w:hyperlink>
        </w:p>
        <w:p w14:paraId="2E57CE4C" w14:textId="77777777" w:rsidR="00D05550" w:rsidRPr="00D05550" w:rsidRDefault="00D05550" w:rsidP="00D05550">
          <w:pPr>
            <w:pStyle w:val="TOC1"/>
            <w:tabs>
              <w:tab w:val="right" w:leader="dot" w:pos="9060"/>
            </w:tabs>
            <w:rPr>
              <w:rFonts w:ascii="Calibri" w:eastAsiaTheme="minorEastAsia" w:hAnsi="Calibri" w:cs="Calibri"/>
              <w:noProof/>
              <w:sz w:val="26"/>
              <w:szCs w:val="26"/>
              <w:lang w:eastAsia="en-IN"/>
            </w:rPr>
          </w:pPr>
          <w:hyperlink w:anchor="_Toc229080373" w:history="1">
            <w:r w:rsidRPr="00D05550">
              <w:rPr>
                <w:rStyle w:val="Hyperlink"/>
                <w:rFonts w:ascii="Calibri" w:hAnsi="Calibri" w:cs="Calibri"/>
                <w:noProof/>
                <w:sz w:val="26"/>
                <w:szCs w:val="26"/>
              </w:rPr>
              <w:t>4. Data Analysis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_Toc229080373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7</w:t>
            </w:r>
            <w:r w:rsidRPr="00D05550">
              <w:rPr>
                <w:rFonts w:ascii="Calibri" w:hAnsi="Calibri" w:cs="Calibri"/>
                <w:noProof/>
                <w:webHidden/>
                <w:sz w:val="26"/>
                <w:szCs w:val="26"/>
              </w:rPr>
              <w:fldChar w:fldCharType="end"/>
            </w:r>
          </w:hyperlink>
        </w:p>
        <w:p w14:paraId="79920595"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4" w:history="1">
            <w:r w:rsidRPr="00D05550">
              <w:rPr>
                <w:rStyle w:val="Hyperlink"/>
                <w:rFonts w:ascii="Calibri" w:hAnsi="Calibri" w:cs="Calibri"/>
                <w:noProof/>
                <w:sz w:val="26"/>
                <w:szCs w:val="26"/>
              </w:rPr>
              <w:t>4.1 Goals and Hypotheses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_Toc229080374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7</w:t>
            </w:r>
            <w:r w:rsidRPr="00D05550">
              <w:rPr>
                <w:rFonts w:ascii="Calibri" w:hAnsi="Calibri" w:cs="Calibri"/>
                <w:noProof/>
                <w:webHidden/>
                <w:sz w:val="26"/>
                <w:szCs w:val="26"/>
              </w:rPr>
              <w:fldChar w:fldCharType="end"/>
            </w:r>
          </w:hyperlink>
        </w:p>
        <w:p w14:paraId="71ED2C5F"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5" w:history="1">
            <w:r w:rsidRPr="00D05550">
              <w:rPr>
                <w:rStyle w:val="Hyperlink"/>
                <w:rFonts w:ascii="Calibri" w:hAnsi="Calibri" w:cs="Calibri"/>
                <w:noProof/>
                <w:sz w:val="26"/>
                <w:szCs w:val="26"/>
              </w:rPr>
              <w:t>4.2 Tools and Libraries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_Toc229080375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7</w:t>
            </w:r>
            <w:r w:rsidRPr="00D05550">
              <w:rPr>
                <w:rFonts w:ascii="Calibri" w:hAnsi="Calibri" w:cs="Calibri"/>
                <w:noProof/>
                <w:webHidden/>
                <w:sz w:val="26"/>
                <w:szCs w:val="26"/>
              </w:rPr>
              <w:fldChar w:fldCharType="end"/>
            </w:r>
          </w:hyperlink>
        </w:p>
        <w:p w14:paraId="32CC3378"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6" w:history="1">
            <w:r w:rsidRPr="00D05550">
              <w:rPr>
                <w:rStyle w:val="Hyperlink"/>
                <w:rFonts w:ascii="Calibri" w:hAnsi="Calibri" w:cs="Calibri"/>
                <w:noProof/>
                <w:sz w:val="26"/>
                <w:szCs w:val="26"/>
              </w:rPr>
              <w:t>4.3 Exploratory Data Analysis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_Toc229080376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7</w:t>
            </w:r>
            <w:r w:rsidRPr="00D05550">
              <w:rPr>
                <w:rFonts w:ascii="Calibri" w:hAnsi="Calibri" w:cs="Calibri"/>
                <w:noProof/>
                <w:webHidden/>
                <w:sz w:val="26"/>
                <w:szCs w:val="26"/>
              </w:rPr>
              <w:fldChar w:fldCharType="end"/>
            </w:r>
          </w:hyperlink>
        </w:p>
        <w:p w14:paraId="5EDF5F47"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7" w:history="1">
            <w:r w:rsidRPr="00D05550">
              <w:rPr>
                <w:rStyle w:val="Hyperlink"/>
                <w:rFonts w:ascii="Calibri" w:hAnsi="Calibri" w:cs="Calibri"/>
                <w:noProof/>
                <w:sz w:val="26"/>
                <w:szCs w:val="26"/>
              </w:rPr>
              <w:t>4.4 High-Level Business Interpretation</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_Toc229080377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11</w:t>
            </w:r>
            <w:r w:rsidRPr="00D05550">
              <w:rPr>
                <w:rFonts w:ascii="Calibri" w:hAnsi="Calibri" w:cs="Calibri"/>
                <w:noProof/>
                <w:webHidden/>
                <w:sz w:val="26"/>
                <w:szCs w:val="26"/>
              </w:rPr>
              <w:fldChar w:fldCharType="end"/>
            </w:r>
          </w:hyperlink>
        </w:p>
        <w:p w14:paraId="3A571B15" w14:textId="77777777" w:rsidR="00D05550" w:rsidRPr="00D05550" w:rsidRDefault="00D05550" w:rsidP="00D05550">
          <w:pPr>
            <w:pStyle w:val="TOC1"/>
            <w:tabs>
              <w:tab w:val="right" w:leader="dot" w:pos="9060"/>
            </w:tabs>
            <w:rPr>
              <w:rFonts w:ascii="Calibri" w:eastAsiaTheme="minorEastAsia" w:hAnsi="Calibri" w:cs="Calibri"/>
              <w:noProof/>
              <w:sz w:val="26"/>
              <w:szCs w:val="26"/>
              <w:lang w:eastAsia="en-IN"/>
            </w:rPr>
          </w:pPr>
          <w:hyperlink w:anchor="_Toc229080378" w:history="1">
            <w:r w:rsidRPr="00D05550">
              <w:rPr>
                <w:rStyle w:val="Hyperlink"/>
                <w:rFonts w:ascii="Calibri" w:hAnsi="Calibri" w:cs="Calibri"/>
                <w:noProof/>
                <w:sz w:val="26"/>
                <w:szCs w:val="26"/>
              </w:rPr>
              <w:t>5. Results and Recommendations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_Toc229080378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11</w:t>
            </w:r>
            <w:r w:rsidRPr="00D05550">
              <w:rPr>
                <w:rFonts w:ascii="Calibri" w:hAnsi="Calibri" w:cs="Calibri"/>
                <w:noProof/>
                <w:webHidden/>
                <w:sz w:val="26"/>
                <w:szCs w:val="26"/>
              </w:rPr>
              <w:fldChar w:fldCharType="end"/>
            </w:r>
          </w:hyperlink>
        </w:p>
        <w:p w14:paraId="3AB6CADF"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79" w:history="1">
            <w:r w:rsidRPr="00D05550">
              <w:rPr>
                <w:rStyle w:val="Hyperlink"/>
                <w:rFonts w:ascii="Calibri" w:hAnsi="Calibri" w:cs="Calibri"/>
                <w:noProof/>
                <w:sz w:val="26"/>
                <w:szCs w:val="26"/>
              </w:rPr>
              <w:t>5.1 Model Performance Results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_Toc229080379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11</w:t>
            </w:r>
            <w:r w:rsidRPr="00D05550">
              <w:rPr>
                <w:rFonts w:ascii="Calibri" w:hAnsi="Calibri" w:cs="Calibri"/>
                <w:noProof/>
                <w:webHidden/>
                <w:sz w:val="26"/>
                <w:szCs w:val="26"/>
              </w:rPr>
              <w:fldChar w:fldCharType="end"/>
            </w:r>
          </w:hyperlink>
        </w:p>
        <w:p w14:paraId="1191A97A"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80" w:history="1">
            <w:r w:rsidRPr="00D05550">
              <w:rPr>
                <w:rStyle w:val="Hyperlink"/>
                <w:rFonts w:ascii="Calibri" w:hAnsi="Calibri" w:cs="Calibri"/>
                <w:noProof/>
                <w:sz w:val="26"/>
                <w:szCs w:val="26"/>
              </w:rPr>
              <w:t>5.2 Key Drivers of Churn</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_Toc229080380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13</w:t>
            </w:r>
            <w:r w:rsidRPr="00D05550">
              <w:rPr>
                <w:rFonts w:ascii="Calibri" w:hAnsi="Calibri" w:cs="Calibri"/>
                <w:noProof/>
                <w:webHidden/>
                <w:sz w:val="26"/>
                <w:szCs w:val="26"/>
              </w:rPr>
              <w:fldChar w:fldCharType="end"/>
            </w:r>
          </w:hyperlink>
        </w:p>
        <w:p w14:paraId="1C1F6658"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81" w:history="1">
            <w:r w:rsidRPr="00D05550">
              <w:rPr>
                <w:rStyle w:val="Hyperlink"/>
                <w:rFonts w:ascii="Calibri" w:hAnsi="Calibri" w:cs="Calibri"/>
                <w:noProof/>
                <w:sz w:val="26"/>
                <w:szCs w:val="26"/>
              </w:rPr>
              <w:t>5.3 Translating European Findings to the Australian Banking Context</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_Toc229080381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14</w:t>
            </w:r>
            <w:r w:rsidRPr="00D05550">
              <w:rPr>
                <w:rFonts w:ascii="Calibri" w:hAnsi="Calibri" w:cs="Calibri"/>
                <w:noProof/>
                <w:webHidden/>
                <w:sz w:val="26"/>
                <w:szCs w:val="26"/>
              </w:rPr>
              <w:fldChar w:fldCharType="end"/>
            </w:r>
          </w:hyperlink>
        </w:p>
        <w:p w14:paraId="7BA5FA35"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82" w:history="1">
            <w:r w:rsidRPr="00D05550">
              <w:rPr>
                <w:rStyle w:val="Hyperlink"/>
                <w:rFonts w:ascii="Calibri" w:hAnsi="Calibri" w:cs="Calibri"/>
                <w:noProof/>
                <w:sz w:val="26"/>
                <w:szCs w:val="26"/>
              </w:rPr>
              <w:t>5.4 Business Recommendations for Australian Banks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_Toc229080382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14</w:t>
            </w:r>
            <w:r w:rsidRPr="00D05550">
              <w:rPr>
                <w:rFonts w:ascii="Calibri" w:hAnsi="Calibri" w:cs="Calibri"/>
                <w:noProof/>
                <w:webHidden/>
                <w:sz w:val="26"/>
                <w:szCs w:val="26"/>
              </w:rPr>
              <w:fldChar w:fldCharType="end"/>
            </w:r>
          </w:hyperlink>
        </w:p>
        <w:p w14:paraId="297CC4F5"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83" w:history="1">
            <w:r w:rsidRPr="00D05550">
              <w:rPr>
                <w:rStyle w:val="Hyperlink"/>
                <w:rFonts w:ascii="Calibri" w:hAnsi="Calibri" w:cs="Calibri"/>
                <w:noProof/>
                <w:sz w:val="26"/>
                <w:szCs w:val="26"/>
              </w:rPr>
              <w:t>5.5 Conclusion and Future Work</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_Toc229080383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15</w:t>
            </w:r>
            <w:r w:rsidRPr="00D05550">
              <w:rPr>
                <w:rFonts w:ascii="Calibri" w:hAnsi="Calibri" w:cs="Calibri"/>
                <w:noProof/>
                <w:webHidden/>
                <w:sz w:val="26"/>
                <w:szCs w:val="26"/>
              </w:rPr>
              <w:fldChar w:fldCharType="end"/>
            </w:r>
          </w:hyperlink>
        </w:p>
        <w:p w14:paraId="329CAEAA" w14:textId="77777777" w:rsidR="00D05550" w:rsidRPr="00D05550" w:rsidRDefault="00D05550" w:rsidP="00D05550">
          <w:pPr>
            <w:pStyle w:val="TOC2"/>
            <w:tabs>
              <w:tab w:val="right" w:leader="dot" w:pos="9060"/>
            </w:tabs>
            <w:rPr>
              <w:rFonts w:ascii="Calibri" w:eastAsiaTheme="minorEastAsia" w:hAnsi="Calibri" w:cs="Calibri"/>
              <w:noProof/>
              <w:sz w:val="26"/>
              <w:szCs w:val="26"/>
              <w:lang w:eastAsia="en-IN"/>
            </w:rPr>
          </w:pPr>
          <w:hyperlink w:anchor="_Toc229080384" w:history="1">
            <w:r w:rsidRPr="00D05550">
              <w:rPr>
                <w:rStyle w:val="Hyperlink"/>
                <w:rFonts w:ascii="Calibri" w:hAnsi="Calibri" w:cs="Calibri"/>
                <w:noProof/>
                <w:sz w:val="26"/>
                <w:szCs w:val="26"/>
              </w:rPr>
              <w:t>References</w:t>
            </w:r>
            <w:r w:rsidRPr="00D05550">
              <w:rPr>
                <w:rFonts w:ascii="Calibri" w:hAnsi="Calibri" w:cs="Calibri"/>
                <w:noProof/>
                <w:webHidden/>
                <w:sz w:val="26"/>
                <w:szCs w:val="26"/>
              </w:rPr>
              <w:tab/>
            </w:r>
            <w:r w:rsidRPr="00D05550">
              <w:rPr>
                <w:rFonts w:ascii="Calibri" w:hAnsi="Calibri" w:cs="Calibri"/>
                <w:noProof/>
                <w:webHidden/>
                <w:sz w:val="26"/>
                <w:szCs w:val="26"/>
              </w:rPr>
              <w:fldChar w:fldCharType="begin"/>
            </w:r>
            <w:r w:rsidRPr="00D05550">
              <w:rPr>
                <w:rFonts w:ascii="Calibri" w:hAnsi="Calibri" w:cs="Calibri"/>
                <w:noProof/>
                <w:webHidden/>
                <w:sz w:val="26"/>
                <w:szCs w:val="26"/>
              </w:rPr>
              <w:instrText xml:space="preserve"> PAGEREF _Toc229080384 \h </w:instrText>
            </w:r>
            <w:r w:rsidRPr="00D05550">
              <w:rPr>
                <w:rFonts w:ascii="Calibri" w:hAnsi="Calibri" w:cs="Calibri"/>
                <w:noProof/>
                <w:webHidden/>
                <w:sz w:val="26"/>
                <w:szCs w:val="26"/>
              </w:rPr>
            </w:r>
            <w:r w:rsidRPr="00D05550">
              <w:rPr>
                <w:rFonts w:ascii="Calibri" w:hAnsi="Calibri" w:cs="Calibri"/>
                <w:noProof/>
                <w:webHidden/>
                <w:sz w:val="26"/>
                <w:szCs w:val="26"/>
              </w:rPr>
              <w:fldChar w:fldCharType="separate"/>
            </w:r>
            <w:r w:rsidRPr="00D05550">
              <w:rPr>
                <w:rFonts w:ascii="Calibri" w:hAnsi="Calibri" w:cs="Calibri"/>
                <w:noProof/>
                <w:webHidden/>
                <w:sz w:val="26"/>
                <w:szCs w:val="26"/>
              </w:rPr>
              <w:t>15</w:t>
            </w:r>
            <w:r w:rsidRPr="00D05550">
              <w:rPr>
                <w:rFonts w:ascii="Calibri" w:hAnsi="Calibri" w:cs="Calibri"/>
                <w:noProof/>
                <w:webHidden/>
                <w:sz w:val="26"/>
                <w:szCs w:val="26"/>
              </w:rPr>
              <w:fldChar w:fldCharType="end"/>
            </w:r>
          </w:hyperlink>
        </w:p>
        <w:p w14:paraId="3FE58A6C" w14:textId="6CAF01EC" w:rsidR="00D05550" w:rsidRPr="00D05550" w:rsidRDefault="00D05550" w:rsidP="00D05550">
          <w:pPr>
            <w:rPr>
              <w:rFonts w:ascii="Calibri" w:hAnsi="Calibri" w:cs="Calibri"/>
              <w:b/>
              <w:bCs/>
              <w:noProof/>
              <w:sz w:val="22"/>
              <w:szCs w:val="22"/>
            </w:rPr>
          </w:pPr>
          <w:r w:rsidRPr="00D05550">
            <w:rPr>
              <w:rFonts w:ascii="Calibri" w:hAnsi="Calibri" w:cs="Calibri"/>
              <w:b/>
              <w:bCs/>
              <w:noProof/>
              <w:sz w:val="26"/>
              <w:szCs w:val="26"/>
            </w:rPr>
            <w:fldChar w:fldCharType="end"/>
          </w:r>
        </w:p>
      </w:sdtContent>
    </w:sdt>
    <w:p w14:paraId="4F39DF93" w14:textId="14CBAC4A" w:rsidR="00D05550" w:rsidRPr="00D05550" w:rsidRDefault="00D05550" w:rsidP="00D05550">
      <w:pPr>
        <w:spacing w:line="360" w:lineRule="auto"/>
        <w:jc w:val="both"/>
        <w:rPr>
          <w:rFonts w:ascii="Calibri" w:hAnsi="Calibri" w:cs="Calibri"/>
          <w:b/>
          <w:bCs/>
        </w:rPr>
      </w:pPr>
      <w:bookmarkStart w:id="0" w:name="_Toc229080365"/>
      <w:r w:rsidRPr="00D05550">
        <w:rPr>
          <w:rFonts w:ascii="Calibri" w:hAnsi="Calibri" w:cs="Calibri"/>
          <w:b/>
          <w:bCs/>
        </w:rPr>
        <w:lastRenderedPageBreak/>
        <w:t>1. Problem Statement and Background</w:t>
      </w:r>
      <w:bookmarkEnd w:id="0"/>
    </w:p>
    <w:p w14:paraId="7963DE45" w14:textId="5ECBE5C0" w:rsidR="00D05550" w:rsidRPr="00D05550" w:rsidRDefault="00D05550" w:rsidP="00D05550">
      <w:pPr>
        <w:spacing w:line="360" w:lineRule="auto"/>
        <w:jc w:val="both"/>
        <w:rPr>
          <w:rFonts w:ascii="Calibri" w:hAnsi="Calibri" w:cs="Calibri"/>
          <w:b/>
          <w:bCs/>
          <w:sz w:val="22"/>
          <w:szCs w:val="22"/>
        </w:rPr>
      </w:pPr>
      <w:r w:rsidRPr="00D05550">
        <w:rPr>
          <w:rFonts w:ascii="Calibri" w:hAnsi="Calibri" w:cs="Calibri"/>
          <w:sz w:val="22"/>
          <w:szCs w:val="22"/>
        </w:rPr>
        <w:t>The most urgent concern within today’s banks is focusing on customer churn, the loss of customers to competitors. Studies indicate that the costs associated with new customer acquisition are five to seven times greater than the costs associated with customer retention, underscoring the importance of customer retention for profitability and sustainable growth [1]. An expanding digital banking landscape, combined with evolving consumer preferences, has led to continued customer churn at an increasingly rapid, global scale, and has compounded the losses associated with customer lifetime value.</w:t>
      </w:r>
    </w:p>
    <w:p w14:paraId="15ED9044" w14:textId="6EEE18BE" w:rsidR="00D05550" w:rsidRPr="00D05550" w:rsidRDefault="00D05550" w:rsidP="00D05550">
      <w:pPr>
        <w:jc w:val="both"/>
        <w:rPr>
          <w:rFonts w:ascii="Calibri" w:hAnsi="Calibri" w:cs="Calibri"/>
          <w:sz w:val="22"/>
          <w:szCs w:val="22"/>
        </w:rPr>
      </w:pPr>
      <w:r w:rsidRPr="00D05550">
        <w:rPr>
          <w:rFonts w:ascii="Calibri" w:hAnsi="Calibri" w:cs="Calibri"/>
          <w:sz w:val="22"/>
          <w:szCs w:val="22"/>
        </w:rPr>
        <w:t>The reasons for customer churn are not straightforward and vary across regions and market segments. A bank with multiple market presences might find that customer churn for one market might not be the same for another. A “one-size-fits-all” retention policy will not work. The Australian banking market is such an example where the 2020 implementation of the Consumer Data Right (CDR) has allowed greater ease of bank switching for customers and has increased competition for the “Big Four” (Commonwealth Bank, Westpac, National Bank, and ANZ) and newer digital competitors like Macquarie and ING Australia [2]. In spite of the tightening competition, many banks are still responding to customer churn with a policy where they react to customers’ decisions to leave, which leaves them with few options for customer retention [11].</w:t>
      </w:r>
    </w:p>
    <w:p w14:paraId="62634245" w14:textId="11270ED4" w:rsidR="00D05550" w:rsidRPr="00D05550" w:rsidRDefault="00D05550" w:rsidP="00D05550">
      <w:pPr>
        <w:jc w:val="both"/>
        <w:rPr>
          <w:rFonts w:ascii="Calibri" w:hAnsi="Calibri" w:cs="Calibri"/>
          <w:sz w:val="22"/>
          <w:szCs w:val="22"/>
        </w:rPr>
      </w:pPr>
      <w:r w:rsidRPr="00D05550">
        <w:rPr>
          <w:rFonts w:ascii="Calibri" w:hAnsi="Calibri" w:cs="Calibri"/>
          <w:sz w:val="22"/>
          <w:szCs w:val="22"/>
        </w:rPr>
        <w:t>Machine learning can transform traditional business practices from defence to offence. Tran, Le and Nguyen (2023) showed that classification techniques like Logistic Regression, Random Forest, and Support Vector Machines can spot future at-risk clients even if authors only include demographic and behavioural data. They achieve impressive predictive capacity without clients' transaction histories or private data. [11]. They provide evidence that the age, balance, activity, and number of accounts are the key predictors for absence in almost all banking databases.</w:t>
      </w:r>
    </w:p>
    <w:p w14:paraId="467F9E2B" w14:textId="6DDE2CCB" w:rsidR="00C077B0" w:rsidRDefault="00D05550" w:rsidP="00D05550">
      <w:pPr>
        <w:jc w:val="both"/>
        <w:rPr>
          <w:rFonts w:ascii="Calibri" w:hAnsi="Calibri" w:cs="Calibri"/>
          <w:sz w:val="22"/>
          <w:szCs w:val="22"/>
        </w:rPr>
      </w:pPr>
      <w:r w:rsidRPr="00D05550">
        <w:rPr>
          <w:rFonts w:ascii="Calibri" w:hAnsi="Calibri" w:cs="Calibri"/>
          <w:sz w:val="22"/>
          <w:szCs w:val="22"/>
        </w:rPr>
        <w:t>Using their work as a springboard, this project deals with the churn problem and uses a real-world dataset of 10,000 bank customers from France, Germany, and Spain. It aims to not only build such a model, but also to describe empirically the reasons for customer churn and offer real-world based retention tactics for application in the Australian banking industry. In comparison to the prior literature which focuses on predictive performance, these workplaces focus on business interpretability. In other words, the aim of the model is to give actionable insights to marketers, customer service representatives, and product designers [11]. At this research’s GitHub repository [3], a full implementation in Python with data preparation, initial data assessment, as well as model construction is presented.</w:t>
      </w:r>
    </w:p>
    <w:p w14:paraId="0544FAF6" w14:textId="77777777" w:rsidR="00D05550" w:rsidRDefault="00D05550" w:rsidP="00D05550">
      <w:pPr>
        <w:jc w:val="both"/>
        <w:rPr>
          <w:rFonts w:ascii="Calibri" w:hAnsi="Calibri" w:cs="Calibri"/>
          <w:sz w:val="22"/>
          <w:szCs w:val="22"/>
        </w:rPr>
      </w:pPr>
    </w:p>
    <w:p w14:paraId="76BA216B" w14:textId="77777777" w:rsidR="00D05550" w:rsidRDefault="00D05550" w:rsidP="00D05550">
      <w:pPr>
        <w:jc w:val="both"/>
        <w:rPr>
          <w:rFonts w:ascii="Calibri" w:hAnsi="Calibri" w:cs="Calibri"/>
          <w:sz w:val="22"/>
          <w:szCs w:val="22"/>
        </w:rPr>
      </w:pPr>
    </w:p>
    <w:p w14:paraId="05BD954A" w14:textId="77777777" w:rsidR="00D05550" w:rsidRDefault="00D05550" w:rsidP="00D05550">
      <w:pPr>
        <w:jc w:val="both"/>
        <w:rPr>
          <w:rFonts w:ascii="Calibri" w:hAnsi="Calibri" w:cs="Calibri"/>
          <w:sz w:val="22"/>
          <w:szCs w:val="22"/>
        </w:rPr>
      </w:pPr>
    </w:p>
    <w:p w14:paraId="122A24C1" w14:textId="77777777" w:rsidR="00A50713" w:rsidRDefault="00A50713" w:rsidP="00D05550">
      <w:pPr>
        <w:jc w:val="both"/>
        <w:rPr>
          <w:rFonts w:ascii="Calibri" w:hAnsi="Calibri" w:cs="Calibri"/>
          <w:b/>
          <w:bCs/>
        </w:rPr>
      </w:pPr>
    </w:p>
    <w:p w14:paraId="65D39381" w14:textId="77777777" w:rsidR="00A50713" w:rsidRDefault="00A50713" w:rsidP="00D05550">
      <w:pPr>
        <w:jc w:val="both"/>
        <w:rPr>
          <w:rFonts w:ascii="Calibri" w:hAnsi="Calibri" w:cs="Calibri"/>
          <w:b/>
          <w:bCs/>
        </w:rPr>
      </w:pPr>
    </w:p>
    <w:p w14:paraId="082A4E6C" w14:textId="75D0C99D" w:rsidR="00D05550" w:rsidRPr="00D05550" w:rsidRDefault="00D05550" w:rsidP="00D05550">
      <w:pPr>
        <w:jc w:val="both"/>
        <w:rPr>
          <w:rFonts w:ascii="Calibri" w:hAnsi="Calibri" w:cs="Calibri"/>
          <w:b/>
          <w:bCs/>
        </w:rPr>
      </w:pPr>
      <w:r w:rsidRPr="00D05550">
        <w:rPr>
          <w:rFonts w:ascii="Calibri" w:hAnsi="Calibri" w:cs="Calibri"/>
          <w:b/>
          <w:bCs/>
        </w:rPr>
        <w:lastRenderedPageBreak/>
        <w:t>2. Resources</w:t>
      </w:r>
    </w:p>
    <w:p w14:paraId="6FC12DB0" w14:textId="4DDD89F6" w:rsidR="00D05550" w:rsidRDefault="00D05550" w:rsidP="00D05550">
      <w:pPr>
        <w:jc w:val="both"/>
        <w:rPr>
          <w:rFonts w:ascii="Calibri" w:hAnsi="Calibri" w:cs="Calibri"/>
          <w:sz w:val="22"/>
          <w:szCs w:val="22"/>
        </w:rPr>
      </w:pPr>
      <w:r w:rsidRPr="00D05550">
        <w:rPr>
          <w:rFonts w:ascii="Calibri" w:hAnsi="Calibri" w:cs="Calibri"/>
          <w:sz w:val="22"/>
          <w:szCs w:val="22"/>
        </w:rPr>
        <w:t>The dataset used in this project is the publicly available Churn Modelling dataset hosted on Kaggle, a widely used repository for data science projects [4]. It contains records of 10,000 bank customers from three European countries — France, Germany, and Spain — and is structured as a single comma-separated values (CSV) file. The dataset is well-suited to this analysis as it combines demographic, financial, and behavioural attributes alongside a binary target variable indicating whether a customer has exited the bank.</w:t>
      </w:r>
    </w:p>
    <w:p w14:paraId="441EFD8A" w14:textId="38DDE359" w:rsidR="00D05550" w:rsidRPr="00D05550" w:rsidRDefault="00D05550" w:rsidP="00D05550">
      <w:pPr>
        <w:jc w:val="both"/>
        <w:rPr>
          <w:rFonts w:ascii="Calibri" w:hAnsi="Calibri" w:cs="Calibri"/>
          <w:b/>
          <w:bCs/>
          <w:sz w:val="22"/>
          <w:szCs w:val="22"/>
        </w:rPr>
      </w:pPr>
      <w:r w:rsidRPr="00D05550">
        <w:rPr>
          <w:rFonts w:ascii="Calibri" w:hAnsi="Calibri" w:cs="Calibri"/>
          <w:b/>
          <w:bCs/>
          <w:sz w:val="22"/>
          <w:szCs w:val="22"/>
        </w:rPr>
        <w:t>Table 1: Attributes of churn modelling dataset, including datatypes and description for all 14 columns.</w:t>
      </w:r>
    </w:p>
    <w:tbl>
      <w:tblPr>
        <w:tblpPr w:leftFromText="180" w:rightFromText="180" w:vertAnchor="text" w:horzAnchor="margin" w:tblpY="-32"/>
        <w:tblW w:w="9088" w:type="dxa"/>
        <w:tblCellSpacing w:w="15" w:type="dxa"/>
        <w:tblCellMar>
          <w:top w:w="15" w:type="dxa"/>
          <w:left w:w="15" w:type="dxa"/>
          <w:bottom w:w="15" w:type="dxa"/>
          <w:right w:w="15" w:type="dxa"/>
        </w:tblCellMar>
        <w:tblLook w:val="04A0" w:firstRow="1" w:lastRow="0" w:firstColumn="1" w:lastColumn="0" w:noHBand="0" w:noVBand="1"/>
      </w:tblPr>
      <w:tblGrid>
        <w:gridCol w:w="372"/>
        <w:gridCol w:w="2035"/>
        <w:gridCol w:w="1453"/>
        <w:gridCol w:w="5228"/>
      </w:tblGrid>
      <w:tr w:rsidR="00D05550" w:rsidRPr="007B3C1C" w14:paraId="37488524" w14:textId="77777777" w:rsidTr="00613E8B">
        <w:trPr>
          <w:trHeight w:val="491"/>
          <w:tblHeader/>
          <w:tblCellSpacing w:w="15" w:type="dxa"/>
        </w:trPr>
        <w:tc>
          <w:tcPr>
            <w:tcW w:w="0" w:type="auto"/>
            <w:tcBorders>
              <w:top w:val="single" w:sz="4" w:space="0" w:color="auto"/>
              <w:left w:val="single" w:sz="4" w:space="0" w:color="auto"/>
            </w:tcBorders>
            <w:vAlign w:val="center"/>
            <w:hideMark/>
          </w:tcPr>
          <w:p w14:paraId="12C0AD6C" w14:textId="77777777" w:rsidR="00D05550" w:rsidRPr="007B3C1C" w:rsidRDefault="00D05550" w:rsidP="00613E8B">
            <w:pPr>
              <w:spacing w:line="360" w:lineRule="auto"/>
              <w:jc w:val="both"/>
              <w:rPr>
                <w:rFonts w:ascii="Calibri" w:hAnsi="Calibri" w:cs="Calibri"/>
                <w:b/>
                <w:bCs/>
                <w:sz w:val="22"/>
                <w:szCs w:val="22"/>
              </w:rPr>
            </w:pPr>
            <w:r w:rsidRPr="007B3C1C">
              <w:rPr>
                <w:rFonts w:ascii="Calibri" w:hAnsi="Calibri" w:cs="Calibri"/>
                <w:b/>
                <w:bCs/>
                <w:sz w:val="22"/>
                <w:szCs w:val="22"/>
              </w:rPr>
              <w:t>#</w:t>
            </w:r>
          </w:p>
        </w:tc>
        <w:tc>
          <w:tcPr>
            <w:tcW w:w="0" w:type="auto"/>
            <w:tcBorders>
              <w:top w:val="single" w:sz="4" w:space="0" w:color="auto"/>
              <w:left w:val="single" w:sz="4" w:space="0" w:color="auto"/>
              <w:right w:val="single" w:sz="4" w:space="0" w:color="auto"/>
            </w:tcBorders>
            <w:vAlign w:val="center"/>
            <w:hideMark/>
          </w:tcPr>
          <w:p w14:paraId="04C9BB57" w14:textId="77777777" w:rsidR="00D05550" w:rsidRPr="007B3C1C" w:rsidRDefault="00D05550" w:rsidP="00613E8B">
            <w:pPr>
              <w:spacing w:line="360" w:lineRule="auto"/>
              <w:jc w:val="both"/>
              <w:rPr>
                <w:rFonts w:ascii="Calibri" w:hAnsi="Calibri" w:cs="Calibri"/>
                <w:b/>
                <w:bCs/>
                <w:sz w:val="22"/>
                <w:szCs w:val="22"/>
              </w:rPr>
            </w:pPr>
            <w:r w:rsidRPr="007B3C1C">
              <w:rPr>
                <w:rFonts w:ascii="Calibri" w:hAnsi="Calibri" w:cs="Calibri"/>
                <w:b/>
                <w:bCs/>
                <w:sz w:val="22"/>
                <w:szCs w:val="22"/>
              </w:rPr>
              <w:t>Attribute</w:t>
            </w:r>
          </w:p>
        </w:tc>
        <w:tc>
          <w:tcPr>
            <w:tcW w:w="0" w:type="auto"/>
            <w:tcBorders>
              <w:top w:val="single" w:sz="4" w:space="0" w:color="auto"/>
              <w:right w:val="single" w:sz="4" w:space="0" w:color="auto"/>
            </w:tcBorders>
            <w:vAlign w:val="center"/>
            <w:hideMark/>
          </w:tcPr>
          <w:p w14:paraId="4A24A76F" w14:textId="77777777" w:rsidR="00D05550" w:rsidRPr="007B3C1C" w:rsidRDefault="00D05550" w:rsidP="00613E8B">
            <w:pPr>
              <w:spacing w:line="360" w:lineRule="auto"/>
              <w:jc w:val="both"/>
              <w:rPr>
                <w:rFonts w:ascii="Calibri" w:hAnsi="Calibri" w:cs="Calibri"/>
                <w:b/>
                <w:bCs/>
                <w:sz w:val="22"/>
                <w:szCs w:val="22"/>
              </w:rPr>
            </w:pPr>
            <w:r w:rsidRPr="007B3C1C">
              <w:rPr>
                <w:rFonts w:ascii="Calibri" w:hAnsi="Calibri" w:cs="Calibri"/>
                <w:b/>
                <w:bCs/>
                <w:sz w:val="22"/>
                <w:szCs w:val="22"/>
              </w:rPr>
              <w:t>Data Type</w:t>
            </w:r>
          </w:p>
        </w:tc>
        <w:tc>
          <w:tcPr>
            <w:tcW w:w="0" w:type="auto"/>
            <w:tcBorders>
              <w:top w:val="single" w:sz="4" w:space="0" w:color="auto"/>
              <w:right w:val="single" w:sz="4" w:space="0" w:color="auto"/>
            </w:tcBorders>
            <w:vAlign w:val="center"/>
            <w:hideMark/>
          </w:tcPr>
          <w:p w14:paraId="7B383B51" w14:textId="77777777" w:rsidR="00D05550" w:rsidRPr="007B3C1C" w:rsidRDefault="00D05550" w:rsidP="00613E8B">
            <w:pPr>
              <w:spacing w:line="360" w:lineRule="auto"/>
              <w:jc w:val="both"/>
              <w:rPr>
                <w:rFonts w:ascii="Calibri" w:hAnsi="Calibri" w:cs="Calibri"/>
                <w:b/>
                <w:bCs/>
                <w:sz w:val="22"/>
                <w:szCs w:val="22"/>
              </w:rPr>
            </w:pPr>
            <w:r w:rsidRPr="007B3C1C">
              <w:rPr>
                <w:rFonts w:ascii="Calibri" w:hAnsi="Calibri" w:cs="Calibri"/>
                <w:b/>
                <w:bCs/>
                <w:sz w:val="22"/>
                <w:szCs w:val="22"/>
              </w:rPr>
              <w:t>Description</w:t>
            </w:r>
          </w:p>
        </w:tc>
      </w:tr>
      <w:tr w:rsidR="00D05550" w:rsidRPr="007B3C1C" w14:paraId="5CEE900C" w14:textId="77777777" w:rsidTr="00613E8B">
        <w:trPr>
          <w:trHeight w:val="513"/>
          <w:tblCellSpacing w:w="15" w:type="dxa"/>
        </w:trPr>
        <w:tc>
          <w:tcPr>
            <w:tcW w:w="0" w:type="auto"/>
            <w:tcBorders>
              <w:top w:val="single" w:sz="4" w:space="0" w:color="auto"/>
              <w:left w:val="single" w:sz="4" w:space="0" w:color="auto"/>
              <w:bottom w:val="single" w:sz="4" w:space="0" w:color="auto"/>
            </w:tcBorders>
            <w:vAlign w:val="center"/>
            <w:hideMark/>
          </w:tcPr>
          <w:p w14:paraId="74289383"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FF5D6"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Row Number</w:t>
            </w:r>
          </w:p>
        </w:tc>
        <w:tc>
          <w:tcPr>
            <w:tcW w:w="0" w:type="auto"/>
            <w:tcBorders>
              <w:top w:val="single" w:sz="4" w:space="0" w:color="auto"/>
              <w:bottom w:val="single" w:sz="4" w:space="0" w:color="auto"/>
              <w:right w:val="single" w:sz="4" w:space="0" w:color="auto"/>
            </w:tcBorders>
            <w:vAlign w:val="center"/>
            <w:hideMark/>
          </w:tcPr>
          <w:p w14:paraId="2076E64A"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top w:val="single" w:sz="4" w:space="0" w:color="auto"/>
              <w:bottom w:val="single" w:sz="4" w:space="0" w:color="auto"/>
              <w:right w:val="single" w:sz="4" w:space="0" w:color="auto"/>
            </w:tcBorders>
            <w:vAlign w:val="center"/>
            <w:hideMark/>
          </w:tcPr>
          <w:p w14:paraId="0C6D6CAB"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Sequential row index (1-10,000)</w:t>
            </w:r>
          </w:p>
        </w:tc>
      </w:tr>
      <w:tr w:rsidR="00D05550" w:rsidRPr="007B3C1C" w14:paraId="3D0ED317" w14:textId="77777777" w:rsidTr="00613E8B">
        <w:trPr>
          <w:trHeight w:val="491"/>
          <w:tblCellSpacing w:w="15" w:type="dxa"/>
        </w:trPr>
        <w:tc>
          <w:tcPr>
            <w:tcW w:w="0" w:type="auto"/>
            <w:tcBorders>
              <w:left w:val="single" w:sz="4" w:space="0" w:color="auto"/>
              <w:bottom w:val="single" w:sz="4" w:space="0" w:color="auto"/>
            </w:tcBorders>
            <w:vAlign w:val="center"/>
            <w:hideMark/>
          </w:tcPr>
          <w:p w14:paraId="4718F17A"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2</w:t>
            </w:r>
          </w:p>
        </w:tc>
        <w:tc>
          <w:tcPr>
            <w:tcW w:w="0" w:type="auto"/>
            <w:tcBorders>
              <w:left w:val="single" w:sz="4" w:space="0" w:color="auto"/>
              <w:bottom w:val="single" w:sz="4" w:space="0" w:color="auto"/>
              <w:right w:val="single" w:sz="4" w:space="0" w:color="auto"/>
            </w:tcBorders>
            <w:vAlign w:val="center"/>
            <w:hideMark/>
          </w:tcPr>
          <w:p w14:paraId="22F4BC5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 Id</w:t>
            </w:r>
          </w:p>
        </w:tc>
        <w:tc>
          <w:tcPr>
            <w:tcW w:w="0" w:type="auto"/>
            <w:tcBorders>
              <w:bottom w:val="single" w:sz="4" w:space="0" w:color="auto"/>
              <w:right w:val="single" w:sz="4" w:space="0" w:color="auto"/>
            </w:tcBorders>
            <w:vAlign w:val="center"/>
            <w:hideMark/>
          </w:tcPr>
          <w:p w14:paraId="21EA72CF"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bottom w:val="single" w:sz="4" w:space="0" w:color="auto"/>
              <w:right w:val="single" w:sz="4" w:space="0" w:color="auto"/>
            </w:tcBorders>
            <w:vAlign w:val="center"/>
            <w:hideMark/>
          </w:tcPr>
          <w:p w14:paraId="3A4325D3"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Unique customer identifier</w:t>
            </w:r>
          </w:p>
        </w:tc>
      </w:tr>
      <w:tr w:rsidR="00D05550" w:rsidRPr="007B3C1C" w14:paraId="56635568" w14:textId="77777777" w:rsidTr="00613E8B">
        <w:trPr>
          <w:trHeight w:val="491"/>
          <w:tblCellSpacing w:w="15" w:type="dxa"/>
        </w:trPr>
        <w:tc>
          <w:tcPr>
            <w:tcW w:w="0" w:type="auto"/>
            <w:tcBorders>
              <w:left w:val="single" w:sz="4" w:space="0" w:color="auto"/>
            </w:tcBorders>
            <w:vAlign w:val="center"/>
            <w:hideMark/>
          </w:tcPr>
          <w:p w14:paraId="7CC4DF1C"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3</w:t>
            </w:r>
          </w:p>
        </w:tc>
        <w:tc>
          <w:tcPr>
            <w:tcW w:w="0" w:type="auto"/>
            <w:tcBorders>
              <w:left w:val="single" w:sz="4" w:space="0" w:color="auto"/>
              <w:right w:val="single" w:sz="4" w:space="0" w:color="auto"/>
            </w:tcBorders>
            <w:vAlign w:val="center"/>
            <w:hideMark/>
          </w:tcPr>
          <w:p w14:paraId="27B0397F"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Surname</w:t>
            </w:r>
          </w:p>
        </w:tc>
        <w:tc>
          <w:tcPr>
            <w:tcW w:w="0" w:type="auto"/>
            <w:tcBorders>
              <w:right w:val="single" w:sz="4" w:space="0" w:color="auto"/>
            </w:tcBorders>
            <w:vAlign w:val="center"/>
            <w:hideMark/>
          </w:tcPr>
          <w:p w14:paraId="2E9A8E96"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Text (object)</w:t>
            </w:r>
          </w:p>
        </w:tc>
        <w:tc>
          <w:tcPr>
            <w:tcW w:w="0" w:type="auto"/>
            <w:tcBorders>
              <w:right w:val="single" w:sz="4" w:space="0" w:color="auto"/>
            </w:tcBorders>
            <w:vAlign w:val="center"/>
            <w:hideMark/>
          </w:tcPr>
          <w:p w14:paraId="7A5CD4F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Customer's surname</w:t>
            </w:r>
          </w:p>
        </w:tc>
      </w:tr>
      <w:tr w:rsidR="00D05550" w:rsidRPr="007B3C1C" w14:paraId="17FAE5E6" w14:textId="77777777" w:rsidTr="00613E8B">
        <w:trPr>
          <w:trHeight w:val="503"/>
          <w:tblCellSpacing w:w="15" w:type="dxa"/>
        </w:trPr>
        <w:tc>
          <w:tcPr>
            <w:tcW w:w="0" w:type="auto"/>
            <w:tcBorders>
              <w:top w:val="single" w:sz="4" w:space="0" w:color="auto"/>
              <w:left w:val="single" w:sz="4" w:space="0" w:color="auto"/>
            </w:tcBorders>
            <w:vAlign w:val="center"/>
            <w:hideMark/>
          </w:tcPr>
          <w:p w14:paraId="3BD067D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4</w:t>
            </w:r>
          </w:p>
        </w:tc>
        <w:tc>
          <w:tcPr>
            <w:tcW w:w="0" w:type="auto"/>
            <w:tcBorders>
              <w:top w:val="single" w:sz="4" w:space="0" w:color="auto"/>
              <w:left w:val="single" w:sz="4" w:space="0" w:color="auto"/>
              <w:right w:val="single" w:sz="4" w:space="0" w:color="auto"/>
            </w:tcBorders>
            <w:vAlign w:val="center"/>
            <w:hideMark/>
          </w:tcPr>
          <w:p w14:paraId="452CCD58"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Credit Score</w:t>
            </w:r>
          </w:p>
        </w:tc>
        <w:tc>
          <w:tcPr>
            <w:tcW w:w="0" w:type="auto"/>
            <w:tcBorders>
              <w:top w:val="single" w:sz="4" w:space="0" w:color="auto"/>
              <w:right w:val="single" w:sz="4" w:space="0" w:color="auto"/>
            </w:tcBorders>
            <w:vAlign w:val="center"/>
            <w:hideMark/>
          </w:tcPr>
          <w:p w14:paraId="62CE76D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top w:val="single" w:sz="4" w:space="0" w:color="auto"/>
              <w:right w:val="single" w:sz="4" w:space="0" w:color="auto"/>
            </w:tcBorders>
            <w:vAlign w:val="center"/>
            <w:hideMark/>
          </w:tcPr>
          <w:p w14:paraId="25B1259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Customer's credit score (350-850)</w:t>
            </w:r>
          </w:p>
        </w:tc>
      </w:tr>
      <w:tr w:rsidR="00D05550" w:rsidRPr="007B3C1C" w14:paraId="53F2B5B0" w14:textId="77777777" w:rsidTr="00613E8B">
        <w:trPr>
          <w:trHeight w:val="503"/>
          <w:tblCellSpacing w:w="15" w:type="dxa"/>
        </w:trPr>
        <w:tc>
          <w:tcPr>
            <w:tcW w:w="0" w:type="auto"/>
            <w:tcBorders>
              <w:top w:val="single" w:sz="4" w:space="0" w:color="auto"/>
              <w:left w:val="single" w:sz="4" w:space="0" w:color="auto"/>
              <w:bottom w:val="single" w:sz="4" w:space="0" w:color="auto"/>
            </w:tcBorders>
            <w:vAlign w:val="center"/>
            <w:hideMark/>
          </w:tcPr>
          <w:p w14:paraId="0F526134"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7C7A7"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Geography</w:t>
            </w:r>
          </w:p>
        </w:tc>
        <w:tc>
          <w:tcPr>
            <w:tcW w:w="0" w:type="auto"/>
            <w:tcBorders>
              <w:top w:val="single" w:sz="4" w:space="0" w:color="auto"/>
              <w:bottom w:val="single" w:sz="4" w:space="0" w:color="auto"/>
              <w:right w:val="single" w:sz="4" w:space="0" w:color="auto"/>
            </w:tcBorders>
            <w:vAlign w:val="center"/>
            <w:hideMark/>
          </w:tcPr>
          <w:p w14:paraId="3663419D"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Categorical</w:t>
            </w:r>
          </w:p>
        </w:tc>
        <w:tc>
          <w:tcPr>
            <w:tcW w:w="0" w:type="auto"/>
            <w:tcBorders>
              <w:top w:val="single" w:sz="4" w:space="0" w:color="auto"/>
              <w:bottom w:val="single" w:sz="4" w:space="0" w:color="auto"/>
              <w:right w:val="single" w:sz="4" w:space="0" w:color="auto"/>
            </w:tcBorders>
            <w:vAlign w:val="center"/>
            <w:hideMark/>
          </w:tcPr>
          <w:p w14:paraId="18D8E5C0"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Country of residence (France, Germany, Spain)</w:t>
            </w:r>
          </w:p>
        </w:tc>
      </w:tr>
      <w:tr w:rsidR="00D05550" w:rsidRPr="007B3C1C" w14:paraId="7C930141" w14:textId="77777777" w:rsidTr="00613E8B">
        <w:trPr>
          <w:trHeight w:val="503"/>
          <w:tblCellSpacing w:w="15" w:type="dxa"/>
        </w:trPr>
        <w:tc>
          <w:tcPr>
            <w:tcW w:w="0" w:type="auto"/>
            <w:tcBorders>
              <w:left w:val="single" w:sz="4" w:space="0" w:color="auto"/>
              <w:bottom w:val="single" w:sz="4" w:space="0" w:color="auto"/>
            </w:tcBorders>
            <w:vAlign w:val="center"/>
            <w:hideMark/>
          </w:tcPr>
          <w:p w14:paraId="213110F5"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6</w:t>
            </w:r>
          </w:p>
        </w:tc>
        <w:tc>
          <w:tcPr>
            <w:tcW w:w="0" w:type="auto"/>
            <w:tcBorders>
              <w:left w:val="single" w:sz="4" w:space="0" w:color="auto"/>
              <w:bottom w:val="single" w:sz="4" w:space="0" w:color="auto"/>
              <w:right w:val="single" w:sz="4" w:space="0" w:color="auto"/>
            </w:tcBorders>
            <w:vAlign w:val="center"/>
            <w:hideMark/>
          </w:tcPr>
          <w:p w14:paraId="72644FAE"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Gender</w:t>
            </w:r>
          </w:p>
        </w:tc>
        <w:tc>
          <w:tcPr>
            <w:tcW w:w="0" w:type="auto"/>
            <w:tcBorders>
              <w:bottom w:val="single" w:sz="4" w:space="0" w:color="auto"/>
              <w:right w:val="single" w:sz="4" w:space="0" w:color="auto"/>
            </w:tcBorders>
            <w:vAlign w:val="center"/>
            <w:hideMark/>
          </w:tcPr>
          <w:p w14:paraId="0D51CDC2"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Categorical</w:t>
            </w:r>
          </w:p>
        </w:tc>
        <w:tc>
          <w:tcPr>
            <w:tcW w:w="0" w:type="auto"/>
            <w:tcBorders>
              <w:bottom w:val="single" w:sz="4" w:space="0" w:color="auto"/>
              <w:right w:val="single" w:sz="4" w:space="0" w:color="auto"/>
            </w:tcBorders>
            <w:vAlign w:val="center"/>
            <w:hideMark/>
          </w:tcPr>
          <w:p w14:paraId="164F5595"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Customer's gender (Male, Female)</w:t>
            </w:r>
          </w:p>
        </w:tc>
      </w:tr>
      <w:tr w:rsidR="00D05550" w:rsidRPr="007B3C1C" w14:paraId="17416CED" w14:textId="77777777" w:rsidTr="00613E8B">
        <w:trPr>
          <w:trHeight w:val="491"/>
          <w:tblCellSpacing w:w="15" w:type="dxa"/>
        </w:trPr>
        <w:tc>
          <w:tcPr>
            <w:tcW w:w="0" w:type="auto"/>
            <w:tcBorders>
              <w:left w:val="single" w:sz="4" w:space="0" w:color="auto"/>
            </w:tcBorders>
            <w:vAlign w:val="center"/>
            <w:hideMark/>
          </w:tcPr>
          <w:p w14:paraId="2EA4096F"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7</w:t>
            </w:r>
          </w:p>
        </w:tc>
        <w:tc>
          <w:tcPr>
            <w:tcW w:w="0" w:type="auto"/>
            <w:tcBorders>
              <w:left w:val="single" w:sz="4" w:space="0" w:color="auto"/>
              <w:right w:val="single" w:sz="4" w:space="0" w:color="auto"/>
            </w:tcBorders>
            <w:vAlign w:val="center"/>
            <w:hideMark/>
          </w:tcPr>
          <w:p w14:paraId="660AB3AD"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Age</w:t>
            </w:r>
          </w:p>
        </w:tc>
        <w:tc>
          <w:tcPr>
            <w:tcW w:w="0" w:type="auto"/>
            <w:tcBorders>
              <w:right w:val="single" w:sz="4" w:space="0" w:color="auto"/>
            </w:tcBorders>
            <w:vAlign w:val="center"/>
            <w:hideMark/>
          </w:tcPr>
          <w:p w14:paraId="439BD135"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right w:val="single" w:sz="4" w:space="0" w:color="auto"/>
            </w:tcBorders>
            <w:vAlign w:val="center"/>
            <w:hideMark/>
          </w:tcPr>
          <w:p w14:paraId="4BB5C488"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Customer's age in years</w:t>
            </w:r>
          </w:p>
        </w:tc>
      </w:tr>
      <w:tr w:rsidR="00D05550" w:rsidRPr="007B3C1C" w14:paraId="4A121C3B" w14:textId="77777777" w:rsidTr="00613E8B">
        <w:trPr>
          <w:trHeight w:val="513"/>
          <w:tblCellSpacing w:w="15" w:type="dxa"/>
        </w:trPr>
        <w:tc>
          <w:tcPr>
            <w:tcW w:w="0" w:type="auto"/>
            <w:tcBorders>
              <w:top w:val="single" w:sz="4" w:space="0" w:color="auto"/>
              <w:left w:val="single" w:sz="4" w:space="0" w:color="auto"/>
              <w:bottom w:val="single" w:sz="4" w:space="0" w:color="auto"/>
            </w:tcBorders>
            <w:vAlign w:val="center"/>
            <w:hideMark/>
          </w:tcPr>
          <w:p w14:paraId="43FC799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095BA"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Tenure</w:t>
            </w:r>
          </w:p>
        </w:tc>
        <w:tc>
          <w:tcPr>
            <w:tcW w:w="0" w:type="auto"/>
            <w:tcBorders>
              <w:top w:val="single" w:sz="4" w:space="0" w:color="auto"/>
              <w:bottom w:val="single" w:sz="4" w:space="0" w:color="auto"/>
              <w:right w:val="single" w:sz="4" w:space="0" w:color="auto"/>
            </w:tcBorders>
            <w:vAlign w:val="center"/>
            <w:hideMark/>
          </w:tcPr>
          <w:p w14:paraId="280CE98C"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top w:val="single" w:sz="4" w:space="0" w:color="auto"/>
              <w:bottom w:val="single" w:sz="4" w:space="0" w:color="auto"/>
              <w:right w:val="single" w:sz="4" w:space="0" w:color="auto"/>
            </w:tcBorders>
            <w:vAlign w:val="center"/>
            <w:hideMark/>
          </w:tcPr>
          <w:p w14:paraId="126865B2"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Number of years as a customer (0-10)</w:t>
            </w:r>
          </w:p>
        </w:tc>
      </w:tr>
      <w:tr w:rsidR="00D05550" w:rsidRPr="007B3C1C" w14:paraId="5A42F17C" w14:textId="77777777" w:rsidTr="00613E8B">
        <w:trPr>
          <w:trHeight w:val="491"/>
          <w:tblCellSpacing w:w="15" w:type="dxa"/>
        </w:trPr>
        <w:tc>
          <w:tcPr>
            <w:tcW w:w="0" w:type="auto"/>
            <w:tcBorders>
              <w:left w:val="single" w:sz="4" w:space="0" w:color="auto"/>
              <w:bottom w:val="single" w:sz="4" w:space="0" w:color="auto"/>
            </w:tcBorders>
            <w:vAlign w:val="center"/>
            <w:hideMark/>
          </w:tcPr>
          <w:p w14:paraId="33D1D09C"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9</w:t>
            </w:r>
          </w:p>
        </w:tc>
        <w:tc>
          <w:tcPr>
            <w:tcW w:w="0" w:type="auto"/>
            <w:tcBorders>
              <w:left w:val="single" w:sz="4" w:space="0" w:color="auto"/>
              <w:bottom w:val="single" w:sz="4" w:space="0" w:color="auto"/>
              <w:right w:val="single" w:sz="4" w:space="0" w:color="auto"/>
            </w:tcBorders>
            <w:vAlign w:val="center"/>
            <w:hideMark/>
          </w:tcPr>
          <w:p w14:paraId="133CCDF6"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Balance</w:t>
            </w:r>
          </w:p>
        </w:tc>
        <w:tc>
          <w:tcPr>
            <w:tcW w:w="0" w:type="auto"/>
            <w:tcBorders>
              <w:bottom w:val="single" w:sz="4" w:space="0" w:color="auto"/>
              <w:right w:val="single" w:sz="4" w:space="0" w:color="auto"/>
            </w:tcBorders>
            <w:vAlign w:val="center"/>
            <w:hideMark/>
          </w:tcPr>
          <w:p w14:paraId="1EB60F5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Float</w:t>
            </w:r>
          </w:p>
        </w:tc>
        <w:tc>
          <w:tcPr>
            <w:tcW w:w="0" w:type="auto"/>
            <w:tcBorders>
              <w:bottom w:val="single" w:sz="4" w:space="0" w:color="auto"/>
              <w:right w:val="single" w:sz="4" w:space="0" w:color="auto"/>
            </w:tcBorders>
            <w:vAlign w:val="center"/>
            <w:hideMark/>
          </w:tcPr>
          <w:p w14:paraId="49764BB3"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Account balance (in EUR)</w:t>
            </w:r>
          </w:p>
        </w:tc>
      </w:tr>
      <w:tr w:rsidR="00D05550" w:rsidRPr="007B3C1C" w14:paraId="7760F382" w14:textId="77777777" w:rsidTr="00613E8B">
        <w:trPr>
          <w:trHeight w:val="491"/>
          <w:tblCellSpacing w:w="15" w:type="dxa"/>
        </w:trPr>
        <w:tc>
          <w:tcPr>
            <w:tcW w:w="0" w:type="auto"/>
            <w:tcBorders>
              <w:left w:val="single" w:sz="4" w:space="0" w:color="auto"/>
            </w:tcBorders>
            <w:vAlign w:val="center"/>
            <w:hideMark/>
          </w:tcPr>
          <w:p w14:paraId="55370B9F"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10</w:t>
            </w:r>
          </w:p>
        </w:tc>
        <w:tc>
          <w:tcPr>
            <w:tcW w:w="0" w:type="auto"/>
            <w:tcBorders>
              <w:left w:val="single" w:sz="4" w:space="0" w:color="auto"/>
              <w:right w:val="single" w:sz="4" w:space="0" w:color="auto"/>
            </w:tcBorders>
            <w:vAlign w:val="center"/>
            <w:hideMark/>
          </w:tcPr>
          <w:p w14:paraId="3BC5A9FB"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Num Of Products</w:t>
            </w:r>
          </w:p>
        </w:tc>
        <w:tc>
          <w:tcPr>
            <w:tcW w:w="0" w:type="auto"/>
            <w:tcBorders>
              <w:right w:val="single" w:sz="4" w:space="0" w:color="auto"/>
            </w:tcBorders>
            <w:vAlign w:val="center"/>
            <w:hideMark/>
          </w:tcPr>
          <w:p w14:paraId="2916C625"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Integer</w:t>
            </w:r>
          </w:p>
        </w:tc>
        <w:tc>
          <w:tcPr>
            <w:tcW w:w="0" w:type="auto"/>
            <w:tcBorders>
              <w:right w:val="single" w:sz="4" w:space="0" w:color="auto"/>
            </w:tcBorders>
            <w:vAlign w:val="center"/>
            <w:hideMark/>
          </w:tcPr>
          <w:p w14:paraId="69BC499D"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Number of bank products held (1-4)</w:t>
            </w:r>
          </w:p>
        </w:tc>
      </w:tr>
      <w:tr w:rsidR="00D05550" w:rsidRPr="007B3C1C" w14:paraId="21D4D65B" w14:textId="77777777" w:rsidTr="00613E8B">
        <w:trPr>
          <w:trHeight w:val="513"/>
          <w:tblCellSpacing w:w="15" w:type="dxa"/>
        </w:trPr>
        <w:tc>
          <w:tcPr>
            <w:tcW w:w="0" w:type="auto"/>
            <w:tcBorders>
              <w:top w:val="single" w:sz="4" w:space="0" w:color="auto"/>
              <w:left w:val="single" w:sz="4" w:space="0" w:color="auto"/>
              <w:bottom w:val="single" w:sz="4" w:space="0" w:color="auto"/>
            </w:tcBorders>
            <w:vAlign w:val="center"/>
            <w:hideMark/>
          </w:tcPr>
          <w:p w14:paraId="5D6ABC82"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EB1D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Has Cr Card</w:t>
            </w:r>
          </w:p>
        </w:tc>
        <w:tc>
          <w:tcPr>
            <w:tcW w:w="0" w:type="auto"/>
            <w:tcBorders>
              <w:top w:val="single" w:sz="4" w:space="0" w:color="auto"/>
              <w:bottom w:val="single" w:sz="4" w:space="0" w:color="auto"/>
              <w:right w:val="single" w:sz="4" w:space="0" w:color="auto"/>
            </w:tcBorders>
            <w:vAlign w:val="center"/>
            <w:hideMark/>
          </w:tcPr>
          <w:p w14:paraId="2E89BDE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Binary (0/1)</w:t>
            </w:r>
          </w:p>
        </w:tc>
        <w:tc>
          <w:tcPr>
            <w:tcW w:w="0" w:type="auto"/>
            <w:tcBorders>
              <w:top w:val="single" w:sz="4" w:space="0" w:color="auto"/>
              <w:bottom w:val="single" w:sz="4" w:space="0" w:color="auto"/>
              <w:right w:val="single" w:sz="4" w:space="0" w:color="auto"/>
            </w:tcBorders>
            <w:vAlign w:val="center"/>
            <w:hideMark/>
          </w:tcPr>
          <w:p w14:paraId="754637BA"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Whether the customer holds a credit card</w:t>
            </w:r>
          </w:p>
        </w:tc>
      </w:tr>
      <w:tr w:rsidR="00D05550" w:rsidRPr="007B3C1C" w14:paraId="25A34E9D" w14:textId="77777777" w:rsidTr="00613E8B">
        <w:trPr>
          <w:trHeight w:val="491"/>
          <w:tblCellSpacing w:w="15" w:type="dxa"/>
        </w:trPr>
        <w:tc>
          <w:tcPr>
            <w:tcW w:w="0" w:type="auto"/>
            <w:tcBorders>
              <w:left w:val="single" w:sz="4" w:space="0" w:color="auto"/>
            </w:tcBorders>
            <w:vAlign w:val="center"/>
            <w:hideMark/>
          </w:tcPr>
          <w:p w14:paraId="7D30173A"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12</w:t>
            </w:r>
          </w:p>
        </w:tc>
        <w:tc>
          <w:tcPr>
            <w:tcW w:w="0" w:type="auto"/>
            <w:tcBorders>
              <w:left w:val="single" w:sz="4" w:space="0" w:color="auto"/>
              <w:right w:val="single" w:sz="4" w:space="0" w:color="auto"/>
            </w:tcBorders>
            <w:vAlign w:val="center"/>
            <w:hideMark/>
          </w:tcPr>
          <w:p w14:paraId="38F818C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Is Active Member</w:t>
            </w:r>
          </w:p>
        </w:tc>
        <w:tc>
          <w:tcPr>
            <w:tcW w:w="0" w:type="auto"/>
            <w:tcBorders>
              <w:right w:val="single" w:sz="4" w:space="0" w:color="auto"/>
            </w:tcBorders>
            <w:vAlign w:val="center"/>
            <w:hideMark/>
          </w:tcPr>
          <w:p w14:paraId="20DBB5A8"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Binary (0/1)</w:t>
            </w:r>
          </w:p>
        </w:tc>
        <w:tc>
          <w:tcPr>
            <w:tcW w:w="0" w:type="auto"/>
            <w:tcBorders>
              <w:right w:val="single" w:sz="4" w:space="0" w:color="auto"/>
            </w:tcBorders>
            <w:vAlign w:val="center"/>
            <w:hideMark/>
          </w:tcPr>
          <w:p w14:paraId="27D4B152"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Whether the customer is an active member</w:t>
            </w:r>
          </w:p>
        </w:tc>
      </w:tr>
      <w:tr w:rsidR="00D05550" w:rsidRPr="007B3C1C" w14:paraId="4574CE88" w14:textId="77777777" w:rsidTr="00613E8B">
        <w:trPr>
          <w:trHeight w:val="503"/>
          <w:tblCellSpacing w:w="15" w:type="dxa"/>
        </w:trPr>
        <w:tc>
          <w:tcPr>
            <w:tcW w:w="0" w:type="auto"/>
            <w:tcBorders>
              <w:top w:val="single" w:sz="4" w:space="0" w:color="auto"/>
              <w:left w:val="single" w:sz="4" w:space="0" w:color="auto"/>
            </w:tcBorders>
            <w:vAlign w:val="center"/>
            <w:hideMark/>
          </w:tcPr>
          <w:p w14:paraId="050B9CE1"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13</w:t>
            </w:r>
          </w:p>
        </w:tc>
        <w:tc>
          <w:tcPr>
            <w:tcW w:w="0" w:type="auto"/>
            <w:tcBorders>
              <w:top w:val="single" w:sz="4" w:space="0" w:color="auto"/>
              <w:left w:val="single" w:sz="4" w:space="0" w:color="auto"/>
              <w:right w:val="single" w:sz="4" w:space="0" w:color="auto"/>
            </w:tcBorders>
            <w:vAlign w:val="center"/>
            <w:hideMark/>
          </w:tcPr>
          <w:p w14:paraId="298E0DED"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Estimated Salary</w:t>
            </w:r>
          </w:p>
        </w:tc>
        <w:tc>
          <w:tcPr>
            <w:tcW w:w="0" w:type="auto"/>
            <w:tcBorders>
              <w:top w:val="single" w:sz="4" w:space="0" w:color="auto"/>
              <w:right w:val="single" w:sz="4" w:space="0" w:color="auto"/>
            </w:tcBorders>
            <w:vAlign w:val="center"/>
            <w:hideMark/>
          </w:tcPr>
          <w:p w14:paraId="49B8FAB0"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Float</w:t>
            </w:r>
          </w:p>
        </w:tc>
        <w:tc>
          <w:tcPr>
            <w:tcW w:w="0" w:type="auto"/>
            <w:tcBorders>
              <w:top w:val="single" w:sz="4" w:space="0" w:color="auto"/>
              <w:right w:val="single" w:sz="4" w:space="0" w:color="auto"/>
            </w:tcBorders>
            <w:vAlign w:val="center"/>
            <w:hideMark/>
          </w:tcPr>
          <w:p w14:paraId="5876179D"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Customer's estimated annual salary (in EUR)</w:t>
            </w:r>
          </w:p>
        </w:tc>
      </w:tr>
      <w:tr w:rsidR="00D05550" w:rsidRPr="007B3C1C" w14:paraId="621D7715" w14:textId="77777777" w:rsidTr="00613E8B">
        <w:trPr>
          <w:trHeight w:val="503"/>
          <w:tblCellSpacing w:w="15" w:type="dxa"/>
        </w:trPr>
        <w:tc>
          <w:tcPr>
            <w:tcW w:w="0" w:type="auto"/>
            <w:tcBorders>
              <w:top w:val="single" w:sz="4" w:space="0" w:color="auto"/>
              <w:left w:val="single" w:sz="4" w:space="0" w:color="auto"/>
              <w:bottom w:val="single" w:sz="4" w:space="0" w:color="auto"/>
            </w:tcBorders>
            <w:vAlign w:val="center"/>
            <w:hideMark/>
          </w:tcPr>
          <w:p w14:paraId="2D2411D9"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BCD6E86" w14:textId="77777777" w:rsidR="00D05550" w:rsidRPr="007B3C1C" w:rsidRDefault="00D05550" w:rsidP="00613E8B">
            <w:pPr>
              <w:spacing w:line="360" w:lineRule="auto"/>
              <w:jc w:val="both"/>
              <w:rPr>
                <w:rFonts w:ascii="Calibri" w:hAnsi="Calibri" w:cs="Calibri"/>
                <w:sz w:val="22"/>
                <w:szCs w:val="22"/>
              </w:rPr>
            </w:pPr>
            <w:r w:rsidRPr="007E226D">
              <w:rPr>
                <w:rFonts w:ascii="Calibri" w:hAnsi="Calibri" w:cs="Calibri"/>
                <w:sz w:val="22"/>
                <w:szCs w:val="22"/>
              </w:rPr>
              <w:t>Exited</w:t>
            </w:r>
            <w:r w:rsidRPr="007B3C1C">
              <w:rPr>
                <w:rFonts w:ascii="Calibri" w:hAnsi="Calibri" w:cs="Calibri"/>
                <w:sz w:val="22"/>
                <w:szCs w:val="22"/>
              </w:rPr>
              <w:t xml:space="preserve"> (Target)</w:t>
            </w:r>
          </w:p>
        </w:tc>
        <w:tc>
          <w:tcPr>
            <w:tcW w:w="0" w:type="auto"/>
            <w:tcBorders>
              <w:top w:val="single" w:sz="4" w:space="0" w:color="auto"/>
              <w:bottom w:val="single" w:sz="4" w:space="0" w:color="auto"/>
              <w:right w:val="single" w:sz="4" w:space="0" w:color="auto"/>
            </w:tcBorders>
            <w:vAlign w:val="center"/>
            <w:hideMark/>
          </w:tcPr>
          <w:p w14:paraId="7315E976"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Binary (0/1)</w:t>
            </w:r>
          </w:p>
        </w:tc>
        <w:tc>
          <w:tcPr>
            <w:tcW w:w="0" w:type="auto"/>
            <w:tcBorders>
              <w:top w:val="single" w:sz="4" w:space="0" w:color="auto"/>
              <w:bottom w:val="single" w:sz="4" w:space="0" w:color="auto"/>
              <w:right w:val="single" w:sz="4" w:space="0" w:color="auto"/>
            </w:tcBorders>
            <w:vAlign w:val="center"/>
            <w:hideMark/>
          </w:tcPr>
          <w:p w14:paraId="2AAA4B74" w14:textId="77777777" w:rsidR="00D05550" w:rsidRPr="007B3C1C" w:rsidRDefault="00D05550" w:rsidP="00613E8B">
            <w:pPr>
              <w:spacing w:line="360" w:lineRule="auto"/>
              <w:jc w:val="both"/>
              <w:rPr>
                <w:rFonts w:ascii="Calibri" w:hAnsi="Calibri" w:cs="Calibri"/>
                <w:sz w:val="22"/>
                <w:szCs w:val="22"/>
              </w:rPr>
            </w:pPr>
            <w:r w:rsidRPr="007B3C1C">
              <w:rPr>
                <w:rFonts w:ascii="Calibri" w:hAnsi="Calibri" w:cs="Calibri"/>
                <w:sz w:val="22"/>
                <w:szCs w:val="22"/>
              </w:rPr>
              <w:t>1 = customer left, 0 = customer stayed</w:t>
            </w:r>
          </w:p>
        </w:tc>
      </w:tr>
    </w:tbl>
    <w:p w14:paraId="1142A9BA" w14:textId="77777777" w:rsidR="00D05550" w:rsidRDefault="00D05550" w:rsidP="00D05550">
      <w:pPr>
        <w:jc w:val="both"/>
        <w:rPr>
          <w:rFonts w:ascii="Calibri" w:hAnsi="Calibri" w:cs="Calibri"/>
          <w:sz w:val="22"/>
          <w:szCs w:val="22"/>
        </w:rPr>
      </w:pPr>
    </w:p>
    <w:p w14:paraId="28D30830" w14:textId="62DB1E4D" w:rsidR="00D05550" w:rsidRDefault="007E226D" w:rsidP="00D05550">
      <w:pPr>
        <w:jc w:val="both"/>
        <w:rPr>
          <w:rFonts w:ascii="Calibri" w:hAnsi="Calibri" w:cs="Calibri"/>
          <w:sz w:val="22"/>
          <w:szCs w:val="22"/>
        </w:rPr>
      </w:pPr>
      <w:r w:rsidRPr="007E226D">
        <w:rPr>
          <w:rFonts w:ascii="Calibri" w:hAnsi="Calibri" w:cs="Calibri"/>
          <w:sz w:val="22"/>
          <w:szCs w:val="22"/>
        </w:rPr>
        <w:lastRenderedPageBreak/>
        <w:t xml:space="preserve">The dataset contains 14 attributes split into 3 identifiers, 10 predictors, and the target variable (Exited). These attributes are </w:t>
      </w:r>
      <w:r>
        <w:rPr>
          <w:rFonts w:ascii="Calibri" w:hAnsi="Calibri" w:cs="Calibri"/>
          <w:sz w:val="22"/>
          <w:szCs w:val="22"/>
        </w:rPr>
        <w:t>summarised</w:t>
      </w:r>
      <w:r w:rsidRPr="007E226D">
        <w:rPr>
          <w:rFonts w:ascii="Calibri" w:hAnsi="Calibri" w:cs="Calibri"/>
          <w:sz w:val="22"/>
          <w:szCs w:val="22"/>
        </w:rPr>
        <w:t xml:space="preserve"> in Table 1. In the first step of the project, a preliminary analysis was done and confirmed that there are no empty cells or repeated </w:t>
      </w:r>
      <w:proofErr w:type="gramStart"/>
      <w:r w:rsidRPr="007E226D">
        <w:rPr>
          <w:rFonts w:ascii="Calibri" w:hAnsi="Calibri" w:cs="Calibri"/>
          <w:sz w:val="22"/>
          <w:szCs w:val="22"/>
        </w:rPr>
        <w:t>rows</w:t>
      </w:r>
      <w:r w:rsidR="00EC495A">
        <w:rPr>
          <w:rFonts w:ascii="Calibri" w:hAnsi="Calibri" w:cs="Calibri"/>
          <w:sz w:val="22"/>
          <w:szCs w:val="22"/>
        </w:rPr>
        <w:t>[</w:t>
      </w:r>
      <w:proofErr w:type="gramEnd"/>
      <w:r w:rsidR="00EC495A">
        <w:rPr>
          <w:rFonts w:ascii="Calibri" w:hAnsi="Calibri" w:cs="Calibri"/>
          <w:sz w:val="22"/>
          <w:szCs w:val="22"/>
        </w:rPr>
        <w:t>3]</w:t>
      </w:r>
      <w:r w:rsidRPr="007E226D">
        <w:rPr>
          <w:rFonts w:ascii="Calibri" w:hAnsi="Calibri" w:cs="Calibri"/>
          <w:sz w:val="22"/>
          <w:szCs w:val="22"/>
        </w:rPr>
        <w:t>. This means the analysis can concentrate on engineering and modelling without considering imputation. Initial reviews of the target variable's class distribution showed that 20% is in the churned state and 80% is in the non-churned state. This is uneven and is addressed at the time of preprocessing and evaluation.</w:t>
      </w:r>
    </w:p>
    <w:p w14:paraId="75184404" w14:textId="77777777" w:rsidR="007E226D" w:rsidRDefault="007E226D" w:rsidP="007E226D">
      <w:pPr>
        <w:jc w:val="both"/>
        <w:rPr>
          <w:rFonts w:ascii="Calibri" w:hAnsi="Calibri" w:cs="Calibri"/>
          <w:sz w:val="22"/>
          <w:szCs w:val="22"/>
        </w:rPr>
      </w:pPr>
    </w:p>
    <w:p w14:paraId="2127618B" w14:textId="004F1654" w:rsidR="007E226D" w:rsidRPr="007E226D" w:rsidRDefault="007E226D" w:rsidP="007E226D">
      <w:pPr>
        <w:jc w:val="both"/>
        <w:rPr>
          <w:rFonts w:ascii="Calibri" w:hAnsi="Calibri" w:cs="Calibri"/>
          <w:b/>
          <w:bCs/>
        </w:rPr>
      </w:pPr>
      <w:r w:rsidRPr="007E226D">
        <w:rPr>
          <w:rFonts w:ascii="Calibri" w:hAnsi="Calibri" w:cs="Calibri"/>
          <w:b/>
          <w:bCs/>
        </w:rPr>
        <w:t>3. Business Model</w:t>
      </w:r>
    </w:p>
    <w:p w14:paraId="7ED5CC76" w14:textId="77777777" w:rsidR="007E226D" w:rsidRPr="007E226D" w:rsidRDefault="007E226D" w:rsidP="007E226D">
      <w:pPr>
        <w:jc w:val="both"/>
        <w:rPr>
          <w:rFonts w:ascii="Calibri" w:hAnsi="Calibri" w:cs="Calibri"/>
          <w:b/>
          <w:bCs/>
        </w:rPr>
      </w:pPr>
      <w:r w:rsidRPr="007E226D">
        <w:rPr>
          <w:rFonts w:ascii="Calibri" w:hAnsi="Calibri" w:cs="Calibri"/>
          <w:b/>
          <w:bCs/>
        </w:rPr>
        <w:t>3.1 Research Questions</w:t>
      </w:r>
    </w:p>
    <w:p w14:paraId="6B11C932" w14:textId="5F771D21" w:rsidR="007E226D" w:rsidRPr="007E226D" w:rsidRDefault="007E226D" w:rsidP="007E226D">
      <w:pPr>
        <w:jc w:val="both"/>
        <w:rPr>
          <w:rFonts w:ascii="Calibri" w:hAnsi="Calibri" w:cs="Calibri"/>
          <w:sz w:val="22"/>
          <w:szCs w:val="22"/>
        </w:rPr>
      </w:pPr>
      <w:r w:rsidRPr="007E226D">
        <w:rPr>
          <w:rFonts w:ascii="Calibri" w:hAnsi="Calibri" w:cs="Calibri"/>
          <w:sz w:val="22"/>
          <w:szCs w:val="22"/>
        </w:rPr>
        <w:t xml:space="preserve">The analysis is structured around five research questions that progress from broad behavioural patterns to concrete business </w:t>
      </w:r>
      <w:r>
        <w:rPr>
          <w:rFonts w:ascii="Calibri" w:hAnsi="Calibri" w:cs="Calibri"/>
          <w:sz w:val="22"/>
          <w:szCs w:val="22"/>
        </w:rPr>
        <w:t>applications</w:t>
      </w:r>
      <w:r w:rsidRPr="007E226D">
        <w:rPr>
          <w:rFonts w:ascii="Calibri" w:hAnsi="Calibri" w:cs="Calibri"/>
          <w:sz w:val="22"/>
          <w:szCs w:val="22"/>
        </w:rPr>
        <w:t>:</w:t>
      </w:r>
    </w:p>
    <w:p w14:paraId="24606699" w14:textId="67F497BF" w:rsidR="007E226D" w:rsidRPr="007E226D" w:rsidRDefault="007E226D" w:rsidP="007E226D">
      <w:pPr>
        <w:pStyle w:val="ListParagraph"/>
        <w:numPr>
          <w:ilvl w:val="0"/>
          <w:numId w:val="28"/>
        </w:numPr>
        <w:jc w:val="both"/>
        <w:rPr>
          <w:rFonts w:ascii="Calibri" w:hAnsi="Calibri" w:cs="Calibri"/>
          <w:sz w:val="22"/>
          <w:szCs w:val="22"/>
        </w:rPr>
      </w:pPr>
      <w:r w:rsidRPr="007E226D">
        <w:rPr>
          <w:rFonts w:ascii="Calibri" w:hAnsi="Calibri" w:cs="Calibri"/>
          <w:b/>
          <w:bCs/>
          <w:sz w:val="22"/>
          <w:szCs w:val="22"/>
        </w:rPr>
        <w:t>RQ1:</w:t>
      </w:r>
      <w:r w:rsidRPr="007E226D">
        <w:rPr>
          <w:rFonts w:ascii="Calibri" w:hAnsi="Calibri" w:cs="Calibri"/>
          <w:sz w:val="22"/>
          <w:szCs w:val="22"/>
        </w:rPr>
        <w:t xml:space="preserve"> What customer demographics and behaviours are most strongly associated with churn?</w:t>
      </w:r>
    </w:p>
    <w:p w14:paraId="214CB08F" w14:textId="1E717066" w:rsidR="007E226D" w:rsidRPr="007E226D" w:rsidRDefault="007E226D" w:rsidP="007E226D">
      <w:pPr>
        <w:pStyle w:val="ListParagraph"/>
        <w:numPr>
          <w:ilvl w:val="0"/>
          <w:numId w:val="28"/>
        </w:numPr>
        <w:jc w:val="both"/>
        <w:rPr>
          <w:rFonts w:ascii="Calibri" w:hAnsi="Calibri" w:cs="Calibri"/>
          <w:sz w:val="22"/>
          <w:szCs w:val="22"/>
        </w:rPr>
      </w:pPr>
      <w:r w:rsidRPr="007E226D">
        <w:rPr>
          <w:rFonts w:ascii="Calibri" w:hAnsi="Calibri" w:cs="Calibri"/>
          <w:b/>
          <w:bCs/>
          <w:sz w:val="22"/>
          <w:szCs w:val="22"/>
        </w:rPr>
        <w:t>RQ2:</w:t>
      </w:r>
      <w:r w:rsidRPr="007E226D">
        <w:rPr>
          <w:rFonts w:ascii="Calibri" w:hAnsi="Calibri" w:cs="Calibri"/>
          <w:sz w:val="22"/>
          <w:szCs w:val="22"/>
        </w:rPr>
        <w:t xml:space="preserve"> Does customer churn vary significantly by geography, and what does this imply for regional banking strategy?</w:t>
      </w:r>
    </w:p>
    <w:p w14:paraId="161E218A" w14:textId="7EFDAB95" w:rsidR="007E226D" w:rsidRPr="007E226D" w:rsidRDefault="007E226D" w:rsidP="007E226D">
      <w:pPr>
        <w:pStyle w:val="ListParagraph"/>
        <w:numPr>
          <w:ilvl w:val="0"/>
          <w:numId w:val="28"/>
        </w:numPr>
        <w:jc w:val="both"/>
        <w:rPr>
          <w:rFonts w:ascii="Calibri" w:hAnsi="Calibri" w:cs="Calibri"/>
          <w:sz w:val="22"/>
          <w:szCs w:val="22"/>
        </w:rPr>
      </w:pPr>
      <w:r w:rsidRPr="007E226D">
        <w:rPr>
          <w:rFonts w:ascii="Calibri" w:hAnsi="Calibri" w:cs="Calibri"/>
          <w:b/>
          <w:bCs/>
          <w:sz w:val="22"/>
          <w:szCs w:val="22"/>
        </w:rPr>
        <w:t>RQ3:</w:t>
      </w:r>
      <w:r w:rsidRPr="007E226D">
        <w:rPr>
          <w:rFonts w:ascii="Calibri" w:hAnsi="Calibri" w:cs="Calibri"/>
          <w:sz w:val="22"/>
          <w:szCs w:val="22"/>
        </w:rPr>
        <w:t xml:space="preserve"> Which machine learning algorithm provides the most accurate churn prediction — Logistic Regression, Random Forest, or Gradient Boosting?</w:t>
      </w:r>
    </w:p>
    <w:p w14:paraId="1CF95878" w14:textId="64AC5D73" w:rsidR="007E226D" w:rsidRPr="007E226D" w:rsidRDefault="007E226D" w:rsidP="007E226D">
      <w:pPr>
        <w:pStyle w:val="ListParagraph"/>
        <w:numPr>
          <w:ilvl w:val="0"/>
          <w:numId w:val="28"/>
        </w:numPr>
        <w:jc w:val="both"/>
        <w:rPr>
          <w:rFonts w:ascii="Calibri" w:hAnsi="Calibri" w:cs="Calibri"/>
          <w:sz w:val="22"/>
          <w:szCs w:val="22"/>
        </w:rPr>
      </w:pPr>
      <w:r w:rsidRPr="007E226D">
        <w:rPr>
          <w:rFonts w:ascii="Calibri" w:hAnsi="Calibri" w:cs="Calibri"/>
          <w:b/>
          <w:bCs/>
          <w:sz w:val="22"/>
          <w:szCs w:val="22"/>
        </w:rPr>
        <w:t>RQ4:</w:t>
      </w:r>
      <w:r w:rsidRPr="007E226D">
        <w:rPr>
          <w:rFonts w:ascii="Calibri" w:hAnsi="Calibri" w:cs="Calibri"/>
          <w:sz w:val="22"/>
          <w:szCs w:val="22"/>
        </w:rPr>
        <w:t xml:space="preserve"> Based on the identified churn drivers, what data-informed retention strategies should banks prioritise?</w:t>
      </w:r>
    </w:p>
    <w:p w14:paraId="1AA5756F" w14:textId="4389FB64" w:rsidR="007E226D" w:rsidRDefault="007E226D" w:rsidP="007E226D">
      <w:pPr>
        <w:pStyle w:val="ListParagraph"/>
        <w:numPr>
          <w:ilvl w:val="0"/>
          <w:numId w:val="28"/>
        </w:numPr>
        <w:jc w:val="both"/>
        <w:rPr>
          <w:rFonts w:ascii="Calibri" w:hAnsi="Calibri" w:cs="Calibri"/>
          <w:sz w:val="22"/>
          <w:szCs w:val="22"/>
        </w:rPr>
      </w:pPr>
      <w:r w:rsidRPr="007E226D">
        <w:rPr>
          <w:rFonts w:ascii="Calibri" w:hAnsi="Calibri" w:cs="Calibri"/>
          <w:b/>
          <w:bCs/>
          <w:sz w:val="22"/>
          <w:szCs w:val="22"/>
        </w:rPr>
        <w:t>RQ5:</w:t>
      </w:r>
      <w:r w:rsidRPr="007E226D">
        <w:rPr>
          <w:rFonts w:ascii="Calibri" w:hAnsi="Calibri" w:cs="Calibri"/>
          <w:sz w:val="22"/>
          <w:szCs w:val="22"/>
        </w:rPr>
        <w:t xml:space="preserve"> How can the insights from this analysis be applied to the Australian banking sector to reduce customer churn?</w:t>
      </w:r>
    </w:p>
    <w:p w14:paraId="50079534" w14:textId="77777777" w:rsidR="007E226D" w:rsidRDefault="007E226D" w:rsidP="007E226D">
      <w:pPr>
        <w:jc w:val="both"/>
        <w:rPr>
          <w:rFonts w:ascii="Calibri" w:hAnsi="Calibri" w:cs="Calibri"/>
          <w:b/>
          <w:bCs/>
        </w:rPr>
      </w:pPr>
      <w:r w:rsidRPr="007E226D">
        <w:rPr>
          <w:rFonts w:ascii="Calibri" w:hAnsi="Calibri" w:cs="Calibri"/>
          <w:b/>
          <w:bCs/>
        </w:rPr>
        <w:t>3.2 Challenges Encountered</w:t>
      </w:r>
    </w:p>
    <w:p w14:paraId="46F838C1" w14:textId="77777777" w:rsidR="00EC495A" w:rsidRPr="00EC495A" w:rsidRDefault="00EC495A" w:rsidP="00EC495A">
      <w:pPr>
        <w:jc w:val="both"/>
        <w:rPr>
          <w:rFonts w:ascii="Calibri" w:hAnsi="Calibri" w:cs="Calibri"/>
          <w:sz w:val="22"/>
          <w:szCs w:val="22"/>
        </w:rPr>
      </w:pPr>
      <w:r w:rsidRPr="00EC495A">
        <w:rPr>
          <w:rFonts w:ascii="Calibri" w:hAnsi="Calibri" w:cs="Calibri"/>
          <w:sz w:val="22"/>
          <w:szCs w:val="22"/>
        </w:rPr>
        <w:t>There were multiple challenges when defining the framework for this project. Some of these challenges were proceeded with intentional choices of methods.</w:t>
      </w:r>
    </w:p>
    <w:p w14:paraId="6DAFD8A1" w14:textId="77777777" w:rsidR="00EC495A" w:rsidRPr="00EC495A" w:rsidRDefault="00EC495A" w:rsidP="00EC495A">
      <w:pPr>
        <w:jc w:val="both"/>
        <w:rPr>
          <w:rFonts w:ascii="Calibri" w:hAnsi="Calibri" w:cs="Calibri"/>
          <w:sz w:val="22"/>
          <w:szCs w:val="22"/>
        </w:rPr>
      </w:pPr>
      <w:r w:rsidRPr="00EC495A">
        <w:rPr>
          <w:rFonts w:ascii="Calibri" w:hAnsi="Calibri" w:cs="Calibri"/>
          <w:sz w:val="22"/>
          <w:szCs w:val="22"/>
        </w:rPr>
        <w:t>The first of these challenges was that of data. The datasets were scrutinized and compared to select the data most appropriate to the needs of the research. The dataset selected for this project was the Churn Modelling dataset available on Kaggle. This dataset has met the requirements of prior peer-reviewed research (concerning banking churn) [11].</w:t>
      </w:r>
    </w:p>
    <w:p w14:paraId="143A2CA2" w14:textId="77777777" w:rsidR="00EC495A" w:rsidRPr="00EC495A" w:rsidRDefault="00EC495A" w:rsidP="00EC495A">
      <w:pPr>
        <w:jc w:val="both"/>
        <w:rPr>
          <w:rFonts w:ascii="Calibri" w:hAnsi="Calibri" w:cs="Calibri"/>
          <w:sz w:val="22"/>
          <w:szCs w:val="22"/>
        </w:rPr>
      </w:pPr>
      <w:r w:rsidRPr="00EC495A">
        <w:rPr>
          <w:rFonts w:ascii="Calibri" w:hAnsi="Calibri" w:cs="Calibri"/>
          <w:sz w:val="22"/>
          <w:szCs w:val="22"/>
        </w:rPr>
        <w:t>The second challenge was selection of the model. As was initially intended, only one model was deployed. However, three models of increasing complexity were selected and deployed. These were Logistic Regression, Random Forest, and Gradient Boosting. Balanced performance of the model, when viewed from the perspective of either side of this equation (business or predictive) was the primary reason for this. Decision-makers would have limited utility for a model that was very accurate but one that could not be reliably interpreted [11].</w:t>
      </w:r>
    </w:p>
    <w:p w14:paraId="1F64C851" w14:textId="77777777" w:rsidR="00EC495A" w:rsidRPr="00EC495A" w:rsidRDefault="00EC495A" w:rsidP="00EC495A">
      <w:pPr>
        <w:jc w:val="both"/>
        <w:rPr>
          <w:rFonts w:ascii="Calibri" w:hAnsi="Calibri" w:cs="Calibri"/>
          <w:sz w:val="22"/>
          <w:szCs w:val="22"/>
        </w:rPr>
      </w:pPr>
      <w:r w:rsidRPr="00EC495A">
        <w:rPr>
          <w:rFonts w:ascii="Calibri" w:hAnsi="Calibri" w:cs="Calibri"/>
          <w:sz w:val="22"/>
          <w:szCs w:val="22"/>
        </w:rPr>
        <w:t xml:space="preserve">The third and most problematic challenge was that of class imbalance. The ratio of churners to non-churners has been found to be approximately 20:80 in this dataset. A model that predicted "no churn" for every customer based on this dataset would nonetheless have a lofty accuracy of 80%. This accuracy </w:t>
      </w:r>
      <w:r w:rsidRPr="00EC495A">
        <w:rPr>
          <w:rFonts w:ascii="Calibri" w:hAnsi="Calibri" w:cs="Calibri"/>
          <w:sz w:val="22"/>
          <w:szCs w:val="22"/>
        </w:rPr>
        <w:lastRenderedPageBreak/>
        <w:t>is misleading, and, as evidenced by Tran et al. (2023), the performance of a model in imbalanced classification is better evaluated using ROC-AUC, Precision, Recall, and F1 Score [11].</w:t>
      </w:r>
    </w:p>
    <w:p w14:paraId="0A328D6C" w14:textId="22A7C96D" w:rsidR="007E226D" w:rsidRDefault="00EC495A" w:rsidP="00EC495A">
      <w:pPr>
        <w:jc w:val="both"/>
        <w:rPr>
          <w:rFonts w:ascii="Calibri" w:hAnsi="Calibri" w:cs="Calibri"/>
          <w:sz w:val="22"/>
          <w:szCs w:val="22"/>
        </w:rPr>
      </w:pPr>
      <w:r w:rsidRPr="00EC495A">
        <w:rPr>
          <w:rFonts w:ascii="Calibri" w:hAnsi="Calibri" w:cs="Calibri"/>
          <w:sz w:val="22"/>
          <w:szCs w:val="22"/>
        </w:rPr>
        <w:t xml:space="preserve">Decisions concerning data processing represented the final challenge. These data processing decisions involved </w:t>
      </w:r>
      <w:r>
        <w:rPr>
          <w:rFonts w:ascii="Calibri" w:hAnsi="Calibri" w:cs="Calibri"/>
          <w:sz w:val="22"/>
          <w:szCs w:val="22"/>
        </w:rPr>
        <w:t xml:space="preserve">the </w:t>
      </w:r>
      <w:r w:rsidRPr="00EC495A">
        <w:rPr>
          <w:rFonts w:ascii="Calibri" w:hAnsi="Calibri" w:cs="Calibri"/>
          <w:sz w:val="22"/>
          <w:szCs w:val="22"/>
        </w:rPr>
        <w:t>selection of which columns should be retained or removed and what methods should be used to convert GST (Geography, Sex, and T) into numerical forms that could be processed by machine learning algorithms without the introduction of spurious rank order.</w:t>
      </w:r>
    </w:p>
    <w:p w14:paraId="403B1EC0" w14:textId="77777777" w:rsidR="00EC495A" w:rsidRDefault="00EC495A" w:rsidP="00EC495A">
      <w:pPr>
        <w:jc w:val="both"/>
        <w:rPr>
          <w:rFonts w:ascii="Calibri" w:hAnsi="Calibri" w:cs="Calibri"/>
          <w:sz w:val="22"/>
          <w:szCs w:val="22"/>
        </w:rPr>
      </w:pPr>
    </w:p>
    <w:p w14:paraId="71182FA9" w14:textId="77777777" w:rsidR="00EC495A" w:rsidRPr="00EC495A" w:rsidRDefault="00EC495A" w:rsidP="00EC495A">
      <w:pPr>
        <w:jc w:val="both"/>
        <w:rPr>
          <w:rFonts w:ascii="Calibri" w:hAnsi="Calibri" w:cs="Calibri"/>
          <w:b/>
          <w:bCs/>
        </w:rPr>
      </w:pPr>
      <w:r w:rsidRPr="00EC495A">
        <w:rPr>
          <w:rFonts w:ascii="Calibri" w:hAnsi="Calibri" w:cs="Calibri"/>
          <w:b/>
          <w:bCs/>
        </w:rPr>
        <w:t>3.3 Data Preprocessing and Wrangling</w:t>
      </w:r>
    </w:p>
    <w:p w14:paraId="1A44DC5C" w14:textId="5EB8DCD9" w:rsidR="00EC495A" w:rsidRDefault="00EC495A" w:rsidP="00EC495A">
      <w:pPr>
        <w:jc w:val="both"/>
        <w:rPr>
          <w:rFonts w:ascii="Calibri" w:hAnsi="Calibri" w:cs="Calibri"/>
          <w:sz w:val="22"/>
          <w:szCs w:val="22"/>
        </w:rPr>
      </w:pPr>
      <w:r w:rsidRPr="00EC495A">
        <w:rPr>
          <w:rFonts w:ascii="Calibri" w:hAnsi="Calibri" w:cs="Calibri"/>
          <w:sz w:val="22"/>
          <w:szCs w:val="22"/>
        </w:rPr>
        <w:t>Step 3 of the project notebook [3] employed pandas and scikit-learn [5] for the purpose of data preprocessing. Three identifier columns were dropped (RowNumber, CustomerId, Surname) since they do not contribute to a predictive signal. To tackle the problem of multicollinearity for categorical features, one-hot encoding (pd.get_dummies with drop_first=True) was used. Stratified sampling preserved the original churn ratio of the dataset, and the data was split 80/20 into training and testing sets, respectively. To standardise numeric features, the StandardScaler was employed. It was fitted only to the training set to avoid data leakage. This provided suitable inputs for distance and coefficient based models. Tran et al. (2023) used the same dataset and applied a similar preprocessing methodology [11].</w:t>
      </w:r>
    </w:p>
    <w:p w14:paraId="529B242D" w14:textId="77777777" w:rsidR="00E8561A" w:rsidRDefault="00E8561A" w:rsidP="00EC495A">
      <w:pPr>
        <w:jc w:val="both"/>
        <w:rPr>
          <w:rFonts w:ascii="Calibri" w:hAnsi="Calibri" w:cs="Calibri"/>
          <w:sz w:val="22"/>
          <w:szCs w:val="22"/>
        </w:rPr>
      </w:pPr>
    </w:p>
    <w:p w14:paraId="16CD83D8" w14:textId="77777777" w:rsidR="00E8561A" w:rsidRPr="00E8561A" w:rsidRDefault="00E8561A" w:rsidP="00E8561A">
      <w:pPr>
        <w:jc w:val="both"/>
        <w:rPr>
          <w:rFonts w:ascii="Calibri" w:hAnsi="Calibri" w:cs="Calibri"/>
          <w:b/>
          <w:bCs/>
          <w:sz w:val="22"/>
          <w:szCs w:val="22"/>
        </w:rPr>
      </w:pPr>
      <w:r w:rsidRPr="00E8561A">
        <w:rPr>
          <w:rFonts w:ascii="Calibri" w:hAnsi="Calibri" w:cs="Calibri"/>
          <w:b/>
          <w:bCs/>
          <w:sz w:val="22"/>
          <w:szCs w:val="22"/>
        </w:rPr>
        <w:t>3.4 Algorithm Selection and Justification</w:t>
      </w:r>
    </w:p>
    <w:p w14:paraId="1EB795FC" w14:textId="08EFA02D" w:rsidR="00E8561A" w:rsidRDefault="00E8561A" w:rsidP="00E8561A">
      <w:pPr>
        <w:jc w:val="both"/>
        <w:rPr>
          <w:rFonts w:ascii="Calibri" w:hAnsi="Calibri" w:cs="Calibri"/>
          <w:sz w:val="22"/>
          <w:szCs w:val="22"/>
        </w:rPr>
      </w:pPr>
      <w:r w:rsidRPr="00E8561A">
        <w:rPr>
          <w:rFonts w:ascii="Calibri" w:hAnsi="Calibri" w:cs="Calibri"/>
          <w:sz w:val="22"/>
          <w:szCs w:val="22"/>
        </w:rPr>
        <w:t>The selected algorithms span low, medium, and high complexity categories. The low complexity algorithm is Logistic Regression, which is a linear, simple to explain, and interpretable baseline [6]. The Random Forest algorithm is selected for medium complexity. It is an ensemble of multiple decision trees and can capture non-linear interactions [7]. Compared to Random Forest, Gradient Boosting, selected for high complexity, is also an ensemble, but a sequential one, and is known to have the best performance for tabular data [8]. It is suggested in literature regarding statistical learning to compare models of varying complexity to assess if there are significant gains in predictive performance when using more complex models [9]. Simultaneously, Tran et al. (2023) used the same data and found that ensemble methods always outperformed linear methods [11].</w:t>
      </w:r>
    </w:p>
    <w:p w14:paraId="5F43DAEA" w14:textId="77777777" w:rsidR="00E8561A" w:rsidRDefault="00E8561A" w:rsidP="00E8561A">
      <w:pPr>
        <w:jc w:val="both"/>
        <w:rPr>
          <w:rFonts w:ascii="Calibri" w:hAnsi="Calibri" w:cs="Calibri"/>
          <w:sz w:val="22"/>
          <w:szCs w:val="22"/>
        </w:rPr>
      </w:pPr>
    </w:p>
    <w:p w14:paraId="22AFB559" w14:textId="77777777" w:rsidR="00E8561A" w:rsidRPr="00E8561A" w:rsidRDefault="00E8561A" w:rsidP="00E8561A">
      <w:pPr>
        <w:jc w:val="both"/>
        <w:rPr>
          <w:rFonts w:ascii="Calibri" w:hAnsi="Calibri" w:cs="Calibri"/>
          <w:b/>
          <w:bCs/>
        </w:rPr>
      </w:pPr>
      <w:r w:rsidRPr="00E8561A">
        <w:rPr>
          <w:rFonts w:ascii="Calibri" w:hAnsi="Calibri" w:cs="Calibri"/>
          <w:b/>
          <w:bCs/>
        </w:rPr>
        <w:t>3.5 Connecting the Dataset to the Research Questions</w:t>
      </w:r>
    </w:p>
    <w:p w14:paraId="23BA34CC" w14:textId="49CCD167" w:rsidR="00E8561A" w:rsidRDefault="00E8561A" w:rsidP="00E8561A">
      <w:pPr>
        <w:jc w:val="both"/>
        <w:rPr>
          <w:rFonts w:ascii="Calibri" w:hAnsi="Calibri" w:cs="Calibri"/>
          <w:sz w:val="22"/>
          <w:szCs w:val="22"/>
        </w:rPr>
      </w:pPr>
      <w:r w:rsidRPr="00E8561A">
        <w:rPr>
          <w:rFonts w:ascii="Calibri" w:hAnsi="Calibri" w:cs="Calibri"/>
          <w:sz w:val="22"/>
          <w:szCs w:val="22"/>
        </w:rPr>
        <w:t>Each research question is addressed at a specific stage of the analysis. RQ1 is answered through correlation analysis (Step 2) and feature importance scoring (Step 6); RQ2 is answered through the geography-based churn comparison (Step 2, Figure 2); RQ3 is answered through the model comparison (Steps 4–5); and RQ4–RQ5 are addressed through the interpretation of feature importance and the discussion of Australian application in Section 5. This structured mapping ensures every research question raised in Section 3.1 is directly traceable to an analytical output, satisfying the requirement for evidence-based business conclusions.</w:t>
      </w:r>
    </w:p>
    <w:p w14:paraId="58CC5B3C" w14:textId="77777777" w:rsidR="00E8561A" w:rsidRPr="00E8561A" w:rsidRDefault="00E8561A" w:rsidP="00E8561A">
      <w:pPr>
        <w:jc w:val="both"/>
        <w:rPr>
          <w:rFonts w:ascii="Calibri" w:hAnsi="Calibri" w:cs="Calibri"/>
          <w:b/>
          <w:bCs/>
        </w:rPr>
      </w:pPr>
      <w:r w:rsidRPr="00E8561A">
        <w:rPr>
          <w:rFonts w:ascii="Calibri" w:hAnsi="Calibri" w:cs="Calibri"/>
          <w:b/>
          <w:bCs/>
        </w:rPr>
        <w:lastRenderedPageBreak/>
        <w:t>4.1 Goals and Hypotheses</w:t>
      </w:r>
    </w:p>
    <w:p w14:paraId="2BB7F75D" w14:textId="77777777" w:rsidR="00E8561A" w:rsidRPr="00E8561A" w:rsidRDefault="00E8561A" w:rsidP="00E8561A">
      <w:pPr>
        <w:jc w:val="both"/>
        <w:rPr>
          <w:rFonts w:ascii="Calibri" w:hAnsi="Calibri" w:cs="Calibri"/>
          <w:sz w:val="22"/>
          <w:szCs w:val="22"/>
        </w:rPr>
      </w:pPr>
      <w:r w:rsidRPr="00E8561A">
        <w:rPr>
          <w:rFonts w:ascii="Calibri" w:hAnsi="Calibri" w:cs="Calibri"/>
          <w:sz w:val="22"/>
          <w:szCs w:val="22"/>
        </w:rPr>
        <w:t>The analysis was based on the three testable hypotheses listed in Section 3, specifically regarding the research questions:</w:t>
      </w:r>
    </w:p>
    <w:p w14:paraId="59B8B45C" w14:textId="77777777" w:rsidR="00E8561A" w:rsidRPr="00E8561A" w:rsidRDefault="00E8561A" w:rsidP="00E8561A">
      <w:pPr>
        <w:pStyle w:val="ListParagraph"/>
        <w:numPr>
          <w:ilvl w:val="0"/>
          <w:numId w:val="29"/>
        </w:numPr>
        <w:jc w:val="both"/>
        <w:rPr>
          <w:rFonts w:ascii="Calibri" w:hAnsi="Calibri" w:cs="Calibri"/>
          <w:sz w:val="22"/>
          <w:szCs w:val="22"/>
        </w:rPr>
      </w:pPr>
      <w:r w:rsidRPr="00E8561A">
        <w:rPr>
          <w:rFonts w:ascii="Calibri" w:hAnsi="Calibri" w:cs="Calibri"/>
          <w:b/>
          <w:bCs/>
          <w:sz w:val="22"/>
          <w:szCs w:val="22"/>
        </w:rPr>
        <w:t>H1</w:t>
      </w:r>
      <w:r w:rsidRPr="00E8561A">
        <w:rPr>
          <w:rFonts w:ascii="Calibri" w:hAnsi="Calibri" w:cs="Calibri"/>
          <w:sz w:val="22"/>
          <w:szCs w:val="22"/>
        </w:rPr>
        <w:t>: The geographic location of customers is associated with levels of customer churn.</w:t>
      </w:r>
    </w:p>
    <w:p w14:paraId="0344027D" w14:textId="3ED7C35B" w:rsidR="00E8561A" w:rsidRPr="00E8561A" w:rsidRDefault="00E8561A" w:rsidP="00E8561A">
      <w:pPr>
        <w:pStyle w:val="ListParagraph"/>
        <w:numPr>
          <w:ilvl w:val="0"/>
          <w:numId w:val="29"/>
        </w:numPr>
        <w:jc w:val="both"/>
        <w:rPr>
          <w:rFonts w:ascii="Calibri" w:hAnsi="Calibri" w:cs="Calibri"/>
          <w:sz w:val="22"/>
          <w:szCs w:val="22"/>
        </w:rPr>
      </w:pPr>
      <w:r w:rsidRPr="00E8561A">
        <w:rPr>
          <w:rFonts w:ascii="Calibri" w:hAnsi="Calibri" w:cs="Calibri"/>
          <w:b/>
          <w:bCs/>
          <w:sz w:val="22"/>
          <w:szCs w:val="22"/>
        </w:rPr>
        <w:t>H2:</w:t>
      </w:r>
      <w:r w:rsidRPr="00E8561A">
        <w:rPr>
          <w:rFonts w:ascii="Calibri" w:hAnsi="Calibri" w:cs="Calibri"/>
          <w:sz w:val="22"/>
          <w:szCs w:val="22"/>
        </w:rPr>
        <w:t xml:space="preserve"> Age and the activity status of users leverage significant behavioural insight when assessing the likelihood of churn.</w:t>
      </w:r>
    </w:p>
    <w:p w14:paraId="651DAF02" w14:textId="77777777" w:rsidR="00E8561A" w:rsidRPr="00E8561A" w:rsidRDefault="00E8561A" w:rsidP="00E8561A">
      <w:pPr>
        <w:pStyle w:val="ListParagraph"/>
        <w:numPr>
          <w:ilvl w:val="0"/>
          <w:numId w:val="29"/>
        </w:numPr>
        <w:jc w:val="both"/>
        <w:rPr>
          <w:rFonts w:ascii="Calibri" w:hAnsi="Calibri" w:cs="Calibri"/>
          <w:sz w:val="22"/>
          <w:szCs w:val="22"/>
        </w:rPr>
      </w:pPr>
      <w:r w:rsidRPr="00E8561A">
        <w:rPr>
          <w:rFonts w:ascii="Calibri" w:hAnsi="Calibri" w:cs="Calibri"/>
          <w:b/>
          <w:bCs/>
          <w:sz w:val="22"/>
          <w:szCs w:val="22"/>
        </w:rPr>
        <w:t>H3:</w:t>
      </w:r>
      <w:r w:rsidRPr="00E8561A">
        <w:rPr>
          <w:rFonts w:ascii="Calibri" w:hAnsi="Calibri" w:cs="Calibri"/>
          <w:sz w:val="22"/>
          <w:szCs w:val="22"/>
        </w:rPr>
        <w:t xml:space="preserve"> Non-linear ensemble techniques will better serve predicting churn compared to linear models.</w:t>
      </w:r>
    </w:p>
    <w:p w14:paraId="36C9332B" w14:textId="02E8A0F8" w:rsidR="00E8561A" w:rsidRDefault="00E8561A" w:rsidP="00E8561A">
      <w:pPr>
        <w:jc w:val="both"/>
        <w:rPr>
          <w:rFonts w:ascii="Calibri" w:hAnsi="Calibri" w:cs="Calibri"/>
          <w:sz w:val="22"/>
          <w:szCs w:val="22"/>
        </w:rPr>
      </w:pPr>
      <w:r w:rsidRPr="00E8561A">
        <w:rPr>
          <w:rFonts w:ascii="Calibri" w:hAnsi="Calibri" w:cs="Calibri"/>
          <w:sz w:val="22"/>
          <w:szCs w:val="22"/>
        </w:rPr>
        <w:t xml:space="preserve">Hypotheses were explored through a combination of EDA and predictive </w:t>
      </w:r>
      <w:r>
        <w:rPr>
          <w:rFonts w:ascii="Calibri" w:hAnsi="Calibri" w:cs="Calibri"/>
          <w:sz w:val="22"/>
          <w:szCs w:val="22"/>
        </w:rPr>
        <w:t>modelling</w:t>
      </w:r>
      <w:r w:rsidRPr="00E8561A">
        <w:rPr>
          <w:rFonts w:ascii="Calibri" w:hAnsi="Calibri" w:cs="Calibri"/>
          <w:sz w:val="22"/>
          <w:szCs w:val="22"/>
        </w:rPr>
        <w:t>. Qualitatively, success was measured through visual representations of patterns. Quantitatively, success was measured through evaluation metrics of accuracy, precision, recall, F1 score, and ROC-AUC, with preference given to ROC-AUC given the dataset's class distribution imbalance.</w:t>
      </w:r>
    </w:p>
    <w:p w14:paraId="28C384D8" w14:textId="77777777" w:rsidR="00E8561A" w:rsidRDefault="00E8561A" w:rsidP="00E8561A">
      <w:pPr>
        <w:jc w:val="both"/>
        <w:rPr>
          <w:rFonts w:ascii="Calibri" w:hAnsi="Calibri" w:cs="Calibri"/>
          <w:b/>
          <w:bCs/>
          <w:sz w:val="22"/>
          <w:szCs w:val="22"/>
        </w:rPr>
      </w:pPr>
    </w:p>
    <w:p w14:paraId="5723D84B" w14:textId="12217649" w:rsidR="00E8561A" w:rsidRPr="00E8561A" w:rsidRDefault="00E8561A" w:rsidP="00E8561A">
      <w:pPr>
        <w:jc w:val="both"/>
        <w:rPr>
          <w:rFonts w:ascii="Calibri" w:hAnsi="Calibri" w:cs="Calibri"/>
          <w:b/>
          <w:bCs/>
        </w:rPr>
      </w:pPr>
      <w:r w:rsidRPr="00E8561A">
        <w:rPr>
          <w:rFonts w:ascii="Calibri" w:hAnsi="Calibri" w:cs="Calibri"/>
          <w:b/>
          <w:bCs/>
        </w:rPr>
        <w:t>4.2 Tools and Libraries</w:t>
      </w:r>
    </w:p>
    <w:p w14:paraId="36D3CBF8" w14:textId="152D9E60" w:rsidR="00E8561A" w:rsidRDefault="00E8561A" w:rsidP="00E8561A">
      <w:pPr>
        <w:jc w:val="both"/>
        <w:rPr>
          <w:rFonts w:ascii="Calibri" w:hAnsi="Calibri" w:cs="Calibri"/>
          <w:sz w:val="22"/>
          <w:szCs w:val="22"/>
        </w:rPr>
      </w:pPr>
      <w:r w:rsidRPr="00E8561A">
        <w:rPr>
          <w:rFonts w:ascii="Calibri" w:hAnsi="Calibri" w:cs="Calibri"/>
          <w:sz w:val="22"/>
          <w:szCs w:val="22"/>
        </w:rPr>
        <w:t>The analysis was conducted in Python within a Jupyter Notebook environment, hosted in the project's GitHub repository [3]. Five core libraries underpinned the workflow: pandas for data loading and manipulation, NumPy for numerical operations, matplotlib and seaborn for statistical visualisation, and scikit-learn [5] for preprocessing, model training, and evaluation. This stack is widely considered industry standard for tabular data science in Python. All code is reproducible and openly accessible via the project repository [3].</w:t>
      </w:r>
    </w:p>
    <w:p w14:paraId="050398F0" w14:textId="77777777" w:rsidR="00E8561A" w:rsidRDefault="00E8561A" w:rsidP="00E8561A">
      <w:pPr>
        <w:jc w:val="both"/>
        <w:rPr>
          <w:rFonts w:ascii="Calibri" w:hAnsi="Calibri" w:cs="Calibri"/>
          <w:sz w:val="22"/>
          <w:szCs w:val="22"/>
        </w:rPr>
      </w:pPr>
    </w:p>
    <w:p w14:paraId="44F439BB" w14:textId="77777777" w:rsidR="00B8315F" w:rsidRPr="00B8315F" w:rsidRDefault="00B8315F" w:rsidP="00B8315F">
      <w:pPr>
        <w:pStyle w:val="Heading2"/>
        <w:spacing w:line="360" w:lineRule="auto"/>
        <w:rPr>
          <w:rFonts w:ascii="Calibri" w:hAnsi="Calibri" w:cs="Calibri"/>
          <w:b/>
          <w:bCs/>
          <w:color w:val="auto"/>
          <w:sz w:val="24"/>
          <w:szCs w:val="24"/>
        </w:rPr>
      </w:pPr>
      <w:bookmarkStart w:id="1" w:name="_Toc229080376"/>
      <w:r w:rsidRPr="00B8315F">
        <w:rPr>
          <w:rFonts w:ascii="Calibri" w:hAnsi="Calibri" w:cs="Calibri"/>
          <w:b/>
          <w:bCs/>
          <w:color w:val="auto"/>
          <w:sz w:val="24"/>
          <w:szCs w:val="24"/>
        </w:rPr>
        <w:t>4.3 Exploratory Data Analysis</w:t>
      </w:r>
      <w:bookmarkEnd w:id="1"/>
    </w:p>
    <w:p w14:paraId="68579A64"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Five visualisations were produced to investigate the structure of the data and test the hypotheses, all generated in Step 2 of the project notebook [3].</w:t>
      </w:r>
    </w:p>
    <w:p w14:paraId="03CAD7E8"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t>Figure 1 — Target Distribution.</w:t>
      </w:r>
      <w:r w:rsidRPr="007B3C1C">
        <w:rPr>
          <w:rFonts w:ascii="Calibri" w:hAnsi="Calibri" w:cs="Calibri"/>
          <w:sz w:val="22"/>
          <w:szCs w:val="22"/>
        </w:rPr>
        <w:t xml:space="preserve"> A count plot of the Exited variable confirms a substantial class imbalance, with approximately 7,963 customers retained and 2,037 churned. This finding directly justified the use of stratified sampling during the train/test split and the prioritisation of ROC-AUC over raw accuracy as the primary evaluation metric.</w:t>
      </w:r>
    </w:p>
    <w:p w14:paraId="17C99023"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lastRenderedPageBreak/>
        <w:drawing>
          <wp:inline distT="0" distB="0" distL="0" distR="0" wp14:anchorId="58ED3E44" wp14:editId="207AAA8B">
            <wp:extent cx="4678680" cy="2966269"/>
            <wp:effectExtent l="0" t="0" r="7620" b="5715"/>
            <wp:docPr id="3711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029" cy="2967758"/>
                    </a:xfrm>
                    <a:prstGeom prst="rect">
                      <a:avLst/>
                    </a:prstGeom>
                    <a:noFill/>
                    <a:ln>
                      <a:noFill/>
                    </a:ln>
                  </pic:spPr>
                </pic:pic>
              </a:graphicData>
            </a:graphic>
          </wp:inline>
        </w:drawing>
      </w:r>
    </w:p>
    <w:p w14:paraId="2AAB52AD" w14:textId="77777777" w:rsidR="00B8315F" w:rsidRPr="007B3C1C" w:rsidRDefault="00B8315F" w:rsidP="00B8315F">
      <w:pPr>
        <w:pStyle w:val="Caption"/>
        <w:spacing w:line="360" w:lineRule="auto"/>
        <w:jc w:val="both"/>
        <w:rPr>
          <w:rFonts w:ascii="Calibri" w:hAnsi="Calibri" w:cs="Calibri"/>
          <w:sz w:val="22"/>
          <w:szCs w:val="22"/>
        </w:rPr>
      </w:pPr>
      <w:bookmarkStart w:id="2" w:name="_Toc229081424"/>
      <w:bookmarkStart w:id="3" w:name="_Toc229081640"/>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1</w:t>
      </w:r>
      <w:r w:rsidRPr="007B3C1C">
        <w:rPr>
          <w:rFonts w:ascii="Calibri" w:hAnsi="Calibri" w:cs="Calibri"/>
          <w:sz w:val="22"/>
          <w:szCs w:val="22"/>
        </w:rPr>
        <w:fldChar w:fldCharType="end"/>
      </w:r>
      <w:r w:rsidRPr="007B3C1C">
        <w:rPr>
          <w:rFonts w:ascii="Calibri" w:hAnsi="Calibri" w:cs="Calibri"/>
          <w:sz w:val="22"/>
          <w:szCs w:val="22"/>
        </w:rPr>
        <w:t>: Distribution of the target variable Exited, illustrating the class imbalance with approximately 7,963 retained customers (80%) and 2,037 churned customers (20%).</w:t>
      </w:r>
      <w:bookmarkEnd w:id="2"/>
      <w:bookmarkEnd w:id="3"/>
    </w:p>
    <w:p w14:paraId="098F8706"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t>Figure 2 — Churn by Geography.</w:t>
      </w:r>
      <w:r w:rsidRPr="007B3C1C">
        <w:rPr>
          <w:rFonts w:ascii="Calibri" w:hAnsi="Calibri" w:cs="Calibri"/>
          <w:sz w:val="22"/>
          <w:szCs w:val="22"/>
        </w:rPr>
        <w:t xml:space="preserve"> A grouped count plot of churn against Geography reveals a striking disparity: customers based in </w:t>
      </w:r>
      <w:r w:rsidRPr="007B3C1C">
        <w:rPr>
          <w:rFonts w:ascii="Calibri" w:hAnsi="Calibri" w:cs="Calibri"/>
          <w:b/>
          <w:bCs/>
          <w:sz w:val="22"/>
          <w:szCs w:val="22"/>
        </w:rPr>
        <w:t>Germany churn at approximately 32%, almost double the rate observed in France and Spain (~16%)</w:t>
      </w:r>
      <w:r w:rsidRPr="007B3C1C">
        <w:rPr>
          <w:rFonts w:ascii="Calibri" w:hAnsi="Calibri" w:cs="Calibri"/>
          <w:sz w:val="22"/>
          <w:szCs w:val="22"/>
        </w:rPr>
        <w:t xml:space="preserve">. This visual evidence directly supports </w:t>
      </w:r>
      <w:r w:rsidRPr="007B3C1C">
        <w:rPr>
          <w:rFonts w:ascii="Calibri" w:hAnsi="Calibri" w:cs="Calibri"/>
          <w:b/>
          <w:bCs/>
          <w:sz w:val="22"/>
          <w:szCs w:val="22"/>
        </w:rPr>
        <w:t>H1</w:t>
      </w:r>
      <w:r w:rsidRPr="007B3C1C">
        <w:rPr>
          <w:rFonts w:ascii="Calibri" w:hAnsi="Calibri" w:cs="Calibri"/>
          <w:sz w:val="22"/>
          <w:szCs w:val="22"/>
        </w:rPr>
        <w:t xml:space="preserve"> and answers </w:t>
      </w:r>
      <w:r w:rsidRPr="007B3C1C">
        <w:rPr>
          <w:rFonts w:ascii="Calibri" w:hAnsi="Calibri" w:cs="Calibri"/>
          <w:b/>
          <w:bCs/>
          <w:sz w:val="22"/>
          <w:szCs w:val="22"/>
        </w:rPr>
        <w:t>RQ2</w:t>
      </w:r>
      <w:r w:rsidRPr="007B3C1C">
        <w:rPr>
          <w:rFonts w:ascii="Calibri" w:hAnsi="Calibri" w:cs="Calibri"/>
          <w:sz w:val="22"/>
          <w:szCs w:val="22"/>
        </w:rPr>
        <w:t>, suggesting that country-specific market dynamics play a meaningful role in retention.</w:t>
      </w:r>
    </w:p>
    <w:p w14:paraId="623BB24A"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1CED694B" wp14:editId="5AED3112">
            <wp:extent cx="4777740" cy="2288115"/>
            <wp:effectExtent l="0" t="0" r="3810" b="0"/>
            <wp:docPr id="552468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5444" cy="2296594"/>
                    </a:xfrm>
                    <a:prstGeom prst="rect">
                      <a:avLst/>
                    </a:prstGeom>
                    <a:noFill/>
                    <a:ln>
                      <a:noFill/>
                    </a:ln>
                  </pic:spPr>
                </pic:pic>
              </a:graphicData>
            </a:graphic>
          </wp:inline>
        </w:drawing>
      </w:r>
    </w:p>
    <w:p w14:paraId="2733BB2B" w14:textId="77777777" w:rsidR="00B8315F" w:rsidRPr="007B3C1C" w:rsidRDefault="00B8315F" w:rsidP="00B8315F">
      <w:pPr>
        <w:pStyle w:val="Caption"/>
        <w:spacing w:line="360" w:lineRule="auto"/>
        <w:jc w:val="both"/>
        <w:rPr>
          <w:rFonts w:ascii="Calibri" w:hAnsi="Calibri" w:cs="Calibri"/>
          <w:sz w:val="22"/>
          <w:szCs w:val="22"/>
        </w:rPr>
      </w:pPr>
      <w:bookmarkStart w:id="4" w:name="_Toc229081425"/>
      <w:bookmarkStart w:id="5" w:name="_Toc229081641"/>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2</w:t>
      </w:r>
      <w:r w:rsidRPr="007B3C1C">
        <w:rPr>
          <w:rFonts w:ascii="Calibri" w:hAnsi="Calibri" w:cs="Calibri"/>
          <w:sz w:val="22"/>
          <w:szCs w:val="22"/>
        </w:rPr>
        <w:fldChar w:fldCharType="end"/>
      </w:r>
      <w:r w:rsidRPr="007B3C1C">
        <w:rPr>
          <w:rFonts w:ascii="Calibri" w:hAnsi="Calibri" w:cs="Calibri"/>
          <w:sz w:val="22"/>
          <w:szCs w:val="22"/>
        </w:rPr>
        <w:t>: Customer churn distribution by country of residence, showing Germany's elevated churn rate (~32%) relative to France and Spain (~16% each).</w:t>
      </w:r>
      <w:bookmarkEnd w:id="4"/>
      <w:bookmarkEnd w:id="5"/>
    </w:p>
    <w:p w14:paraId="06A024E2"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lastRenderedPageBreak/>
        <w:t>Figure 3 — Churn by Gender.</w:t>
      </w:r>
      <w:r w:rsidRPr="007B3C1C">
        <w:rPr>
          <w:rFonts w:ascii="Calibri" w:hAnsi="Calibri" w:cs="Calibri"/>
          <w:sz w:val="22"/>
          <w:szCs w:val="22"/>
        </w:rPr>
        <w:t xml:space="preserve"> A similar grouped count plot for Gender indicates that female customers churn at a higher rate than male customers (~25% versus ~16%). This supports the gender component of </w:t>
      </w:r>
      <w:r w:rsidRPr="007B3C1C">
        <w:rPr>
          <w:rFonts w:ascii="Calibri" w:hAnsi="Calibri" w:cs="Calibri"/>
          <w:b/>
          <w:bCs/>
          <w:sz w:val="22"/>
          <w:szCs w:val="22"/>
        </w:rPr>
        <w:t>H2</w:t>
      </w:r>
      <w:r w:rsidRPr="007B3C1C">
        <w:rPr>
          <w:rFonts w:ascii="Calibri" w:hAnsi="Calibri" w:cs="Calibri"/>
          <w:sz w:val="22"/>
          <w:szCs w:val="22"/>
        </w:rPr>
        <w:t>.</w:t>
      </w:r>
    </w:p>
    <w:p w14:paraId="48B3B7C9"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58805CAC" wp14:editId="4F702A38">
            <wp:extent cx="4107180" cy="2515648"/>
            <wp:effectExtent l="0" t="0" r="7620" b="0"/>
            <wp:docPr id="1521416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0216" cy="2517507"/>
                    </a:xfrm>
                    <a:prstGeom prst="rect">
                      <a:avLst/>
                    </a:prstGeom>
                    <a:noFill/>
                    <a:ln>
                      <a:noFill/>
                    </a:ln>
                  </pic:spPr>
                </pic:pic>
              </a:graphicData>
            </a:graphic>
          </wp:inline>
        </w:drawing>
      </w:r>
    </w:p>
    <w:p w14:paraId="319E7103" w14:textId="77777777" w:rsidR="00B8315F" w:rsidRPr="007B3C1C" w:rsidRDefault="00B8315F" w:rsidP="00B8315F">
      <w:pPr>
        <w:pStyle w:val="Caption"/>
        <w:spacing w:line="360" w:lineRule="auto"/>
        <w:jc w:val="both"/>
        <w:rPr>
          <w:rFonts w:ascii="Calibri" w:hAnsi="Calibri" w:cs="Calibri"/>
          <w:sz w:val="22"/>
          <w:szCs w:val="22"/>
        </w:rPr>
      </w:pPr>
      <w:bookmarkStart w:id="6" w:name="_Toc229081426"/>
      <w:bookmarkStart w:id="7" w:name="_Toc229081642"/>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3</w:t>
      </w:r>
      <w:r w:rsidRPr="007B3C1C">
        <w:rPr>
          <w:rFonts w:ascii="Calibri" w:hAnsi="Calibri" w:cs="Calibri"/>
          <w:sz w:val="22"/>
          <w:szCs w:val="22"/>
        </w:rPr>
        <w:fldChar w:fldCharType="end"/>
      </w:r>
      <w:r w:rsidRPr="007B3C1C">
        <w:rPr>
          <w:rFonts w:ascii="Calibri" w:hAnsi="Calibri" w:cs="Calibri"/>
          <w:sz w:val="22"/>
          <w:szCs w:val="22"/>
        </w:rPr>
        <w:t>: Customer churn distribution by gender, indicating a higher churn rate among female customers (~25%) compared to male customers (~16%).</w:t>
      </w:r>
      <w:bookmarkEnd w:id="6"/>
      <w:bookmarkEnd w:id="7"/>
    </w:p>
    <w:p w14:paraId="26625583"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t>Figure 4 — Age Distribution by Churn Status.</w:t>
      </w:r>
      <w:r w:rsidRPr="007B3C1C">
        <w:rPr>
          <w:rFonts w:ascii="Calibri" w:hAnsi="Calibri" w:cs="Calibri"/>
          <w:sz w:val="22"/>
          <w:szCs w:val="22"/>
        </w:rPr>
        <w:t xml:space="preserve"> Overlaying histograms with kernel density estimates for the two classes reveals that customers who churned are concentrated in the 40–60 age range, while retained customers cluster around 30–40. This is the single most informative visualisation in the EDA, providing strong visual support for the age component of </w:t>
      </w:r>
      <w:r w:rsidRPr="007B3C1C">
        <w:rPr>
          <w:rFonts w:ascii="Calibri" w:hAnsi="Calibri" w:cs="Calibri"/>
          <w:b/>
          <w:bCs/>
          <w:sz w:val="22"/>
          <w:szCs w:val="22"/>
        </w:rPr>
        <w:t>H2</w:t>
      </w:r>
      <w:r w:rsidRPr="007B3C1C">
        <w:rPr>
          <w:rFonts w:ascii="Calibri" w:hAnsi="Calibri" w:cs="Calibri"/>
          <w:sz w:val="22"/>
          <w:szCs w:val="22"/>
        </w:rPr>
        <w:t>.</w:t>
      </w:r>
    </w:p>
    <w:p w14:paraId="257738C4"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1D108A3A" wp14:editId="1E938B6B">
            <wp:extent cx="4625340" cy="2312670"/>
            <wp:effectExtent l="0" t="0" r="3810" b="0"/>
            <wp:docPr id="104631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340" cy="2312670"/>
                    </a:xfrm>
                    <a:prstGeom prst="rect">
                      <a:avLst/>
                    </a:prstGeom>
                    <a:noFill/>
                    <a:ln>
                      <a:noFill/>
                    </a:ln>
                  </pic:spPr>
                </pic:pic>
              </a:graphicData>
            </a:graphic>
          </wp:inline>
        </w:drawing>
      </w:r>
    </w:p>
    <w:p w14:paraId="69C97731" w14:textId="77777777" w:rsidR="00B8315F" w:rsidRPr="007B3C1C" w:rsidRDefault="00B8315F" w:rsidP="00B8315F">
      <w:pPr>
        <w:pStyle w:val="Caption"/>
        <w:spacing w:line="360" w:lineRule="auto"/>
        <w:jc w:val="both"/>
        <w:rPr>
          <w:rFonts w:ascii="Calibri" w:hAnsi="Calibri" w:cs="Calibri"/>
          <w:sz w:val="22"/>
          <w:szCs w:val="22"/>
        </w:rPr>
      </w:pPr>
      <w:bookmarkStart w:id="8" w:name="_Toc229081427"/>
      <w:bookmarkStart w:id="9" w:name="_Toc229081643"/>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4</w:t>
      </w:r>
      <w:r w:rsidRPr="007B3C1C">
        <w:rPr>
          <w:rFonts w:ascii="Calibri" w:hAnsi="Calibri" w:cs="Calibri"/>
          <w:sz w:val="22"/>
          <w:szCs w:val="22"/>
        </w:rPr>
        <w:fldChar w:fldCharType="end"/>
      </w:r>
      <w:r w:rsidRPr="007B3C1C">
        <w:rPr>
          <w:rFonts w:ascii="Calibri" w:hAnsi="Calibri" w:cs="Calibri"/>
          <w:sz w:val="22"/>
          <w:szCs w:val="22"/>
        </w:rPr>
        <w:t>: Age distribution of customers grouped by churn status, with overlaid kernel density estimates highlighting the 40–60 age range as the peak churn segment.</w:t>
      </w:r>
      <w:bookmarkEnd w:id="8"/>
      <w:bookmarkEnd w:id="9"/>
    </w:p>
    <w:p w14:paraId="70EE7148"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lastRenderedPageBreak/>
        <w:t>Figure 5 — Correlation Heatmap.</w:t>
      </w:r>
      <w:r w:rsidRPr="007B3C1C">
        <w:rPr>
          <w:rFonts w:ascii="Calibri" w:hAnsi="Calibri" w:cs="Calibri"/>
          <w:sz w:val="22"/>
          <w:szCs w:val="22"/>
        </w:rPr>
        <w:t xml:space="preserve"> A Pearson correlation matrix was computed across the numeric and encoded categorical features. Age shows the strongest positive correlation with churn (r = 0.29), while Is Active Member shows a moderate negative correlation (r = −0.16). The relatively weak linear correlations of other features hinted that </w:t>
      </w:r>
      <w:r w:rsidRPr="007B3C1C">
        <w:rPr>
          <w:rFonts w:ascii="Calibri" w:hAnsi="Calibri" w:cs="Calibri"/>
          <w:b/>
          <w:bCs/>
          <w:sz w:val="22"/>
          <w:szCs w:val="22"/>
        </w:rPr>
        <w:t>non-linear models would be required</w:t>
      </w:r>
      <w:r w:rsidRPr="007B3C1C">
        <w:rPr>
          <w:rFonts w:ascii="Calibri" w:hAnsi="Calibri" w:cs="Calibri"/>
          <w:sz w:val="22"/>
          <w:szCs w:val="22"/>
        </w:rPr>
        <w:t xml:space="preserve"> to fully capture predictive patterns — directly motivating the algorithm selection in Section 3.4 and forming the basis for </w:t>
      </w:r>
      <w:r w:rsidRPr="007B3C1C">
        <w:rPr>
          <w:rFonts w:ascii="Calibri" w:hAnsi="Calibri" w:cs="Calibri"/>
          <w:b/>
          <w:bCs/>
          <w:sz w:val="22"/>
          <w:szCs w:val="22"/>
        </w:rPr>
        <w:t>H3</w:t>
      </w:r>
      <w:r w:rsidRPr="007B3C1C">
        <w:rPr>
          <w:rFonts w:ascii="Calibri" w:hAnsi="Calibri" w:cs="Calibri"/>
          <w:sz w:val="22"/>
          <w:szCs w:val="22"/>
        </w:rPr>
        <w:t>.</w:t>
      </w:r>
    </w:p>
    <w:p w14:paraId="067CD93C"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1D585221" wp14:editId="60536FB0">
            <wp:extent cx="4495800" cy="2258717"/>
            <wp:effectExtent l="0" t="0" r="0" b="8255"/>
            <wp:docPr id="93485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0083" cy="2280965"/>
                    </a:xfrm>
                    <a:prstGeom prst="rect">
                      <a:avLst/>
                    </a:prstGeom>
                    <a:noFill/>
                    <a:ln>
                      <a:noFill/>
                    </a:ln>
                  </pic:spPr>
                </pic:pic>
              </a:graphicData>
            </a:graphic>
          </wp:inline>
        </w:drawing>
      </w:r>
    </w:p>
    <w:p w14:paraId="7EA692DB" w14:textId="77777777" w:rsidR="00B8315F" w:rsidRPr="007B3C1C" w:rsidRDefault="00B8315F" w:rsidP="00B8315F">
      <w:pPr>
        <w:pStyle w:val="Caption"/>
        <w:spacing w:line="360" w:lineRule="auto"/>
        <w:jc w:val="both"/>
        <w:rPr>
          <w:rFonts w:ascii="Calibri" w:hAnsi="Calibri" w:cs="Calibri"/>
          <w:sz w:val="22"/>
          <w:szCs w:val="22"/>
        </w:rPr>
      </w:pPr>
      <w:bookmarkStart w:id="10" w:name="_Toc229081428"/>
      <w:bookmarkStart w:id="11" w:name="_Toc229081644"/>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5</w:t>
      </w:r>
      <w:r w:rsidRPr="007B3C1C">
        <w:rPr>
          <w:rFonts w:ascii="Calibri" w:hAnsi="Calibri" w:cs="Calibri"/>
          <w:sz w:val="22"/>
          <w:szCs w:val="22"/>
        </w:rPr>
        <w:fldChar w:fldCharType="end"/>
      </w:r>
      <w:r w:rsidRPr="007B3C1C">
        <w:rPr>
          <w:rFonts w:ascii="Calibri" w:hAnsi="Calibri" w:cs="Calibri"/>
          <w:sz w:val="22"/>
          <w:szCs w:val="22"/>
        </w:rPr>
        <w:t xml:space="preserve">: Pearson correlation heatmap of numeric and encoded categorical features, with Age showing the strongest positive correlation with churn (r = 0.29) and </w:t>
      </w:r>
      <w:proofErr w:type="spellStart"/>
      <w:r w:rsidRPr="007B3C1C">
        <w:rPr>
          <w:rFonts w:ascii="Calibri" w:hAnsi="Calibri" w:cs="Calibri"/>
          <w:sz w:val="22"/>
          <w:szCs w:val="22"/>
        </w:rPr>
        <w:t>IsActiveMember</w:t>
      </w:r>
      <w:proofErr w:type="spellEnd"/>
      <w:r w:rsidRPr="007B3C1C">
        <w:rPr>
          <w:rFonts w:ascii="Calibri" w:hAnsi="Calibri" w:cs="Calibri"/>
          <w:sz w:val="22"/>
          <w:szCs w:val="22"/>
        </w:rPr>
        <w:t xml:space="preserve"> the strongest negative correlation (r = −0.16).</w:t>
      </w:r>
      <w:bookmarkEnd w:id="10"/>
      <w:bookmarkEnd w:id="11"/>
    </w:p>
    <w:p w14:paraId="675D8A0D" w14:textId="77777777" w:rsidR="00E1671F" w:rsidRDefault="00B8315F" w:rsidP="00E1671F">
      <w:pPr>
        <w:pStyle w:val="Heading2"/>
        <w:spacing w:line="360" w:lineRule="auto"/>
        <w:rPr>
          <w:rFonts w:ascii="Calibri" w:hAnsi="Calibri" w:cs="Calibri"/>
          <w:b/>
          <w:bCs/>
          <w:color w:val="auto"/>
          <w:sz w:val="24"/>
          <w:szCs w:val="24"/>
        </w:rPr>
      </w:pPr>
      <w:bookmarkStart w:id="12" w:name="_Toc229080377"/>
      <w:r w:rsidRPr="00B8315F">
        <w:rPr>
          <w:rFonts w:ascii="Calibri" w:hAnsi="Calibri" w:cs="Calibri"/>
          <w:b/>
          <w:bCs/>
          <w:color w:val="auto"/>
          <w:sz w:val="24"/>
          <w:szCs w:val="24"/>
        </w:rPr>
        <w:t>4.4 High-Level Business Interpretation</w:t>
      </w:r>
      <w:bookmarkStart w:id="13" w:name="_Toc229080378"/>
      <w:bookmarkEnd w:id="12"/>
    </w:p>
    <w:p w14:paraId="0620ECC7" w14:textId="0A85F1B6" w:rsidR="00B8315F" w:rsidRPr="00B8315F" w:rsidRDefault="00E1671F" w:rsidP="00E1671F">
      <w:pPr>
        <w:pStyle w:val="Heading2"/>
        <w:spacing w:line="360" w:lineRule="auto"/>
        <w:rPr>
          <w:rFonts w:ascii="Calibri" w:hAnsi="Calibri" w:cs="Calibri"/>
          <w:b/>
          <w:bCs/>
          <w:color w:val="auto"/>
          <w:sz w:val="24"/>
          <w:szCs w:val="24"/>
        </w:rPr>
      </w:pPr>
      <w:r>
        <w:rPr>
          <w:rFonts w:ascii="Calibri" w:hAnsi="Calibri" w:cs="Calibri"/>
          <w:b/>
          <w:bCs/>
          <w:color w:val="auto"/>
          <w:sz w:val="24"/>
          <w:szCs w:val="24"/>
        </w:rPr>
        <w:t xml:space="preserve"> </w:t>
      </w:r>
      <w:r w:rsidRPr="00E1671F">
        <w:rPr>
          <w:rFonts w:ascii="Calibri" w:eastAsiaTheme="minorHAnsi" w:hAnsi="Calibri" w:cs="Calibri"/>
          <w:color w:val="auto"/>
          <w:sz w:val="22"/>
          <w:szCs w:val="22"/>
        </w:rPr>
        <w:t>The EDA shows three main findings. First, churn tends to concentrate in Germany. Second, customers over 40 show high potentiality of churn. Third, demonstrated engagement reduces churn. Based on these insights, Australian banks will need to implement churn strategies that have a region and a demographic focus. This finding is developed further in section 5.</w:t>
      </w:r>
      <w:r w:rsidR="00B8315F" w:rsidRPr="00B8315F">
        <w:rPr>
          <w:rFonts w:ascii="Calibri" w:hAnsi="Calibri" w:cs="Calibri"/>
          <w:b/>
          <w:bCs/>
          <w:color w:val="auto"/>
          <w:sz w:val="24"/>
          <w:szCs w:val="24"/>
        </w:rPr>
        <w:t>5. Results and Recommendations</w:t>
      </w:r>
      <w:bookmarkEnd w:id="13"/>
    </w:p>
    <w:p w14:paraId="3828419F" w14:textId="77777777" w:rsidR="00B8315F" w:rsidRPr="00B8315F" w:rsidRDefault="00B8315F" w:rsidP="00B8315F">
      <w:pPr>
        <w:pStyle w:val="Heading2"/>
        <w:spacing w:line="360" w:lineRule="auto"/>
        <w:rPr>
          <w:rFonts w:ascii="Calibri" w:hAnsi="Calibri" w:cs="Calibri"/>
          <w:b/>
          <w:bCs/>
          <w:color w:val="auto"/>
          <w:sz w:val="24"/>
          <w:szCs w:val="24"/>
        </w:rPr>
      </w:pPr>
      <w:bookmarkStart w:id="14" w:name="_Toc229080379"/>
      <w:r w:rsidRPr="00B8315F">
        <w:rPr>
          <w:rFonts w:ascii="Calibri" w:hAnsi="Calibri" w:cs="Calibri"/>
          <w:b/>
          <w:bCs/>
          <w:color w:val="auto"/>
          <w:sz w:val="24"/>
          <w:szCs w:val="24"/>
        </w:rPr>
        <w:t>5.1 Model Performance Results</w:t>
      </w:r>
      <w:bookmarkEnd w:id="14"/>
    </w:p>
    <w:p w14:paraId="0C4E6DF9" w14:textId="77777777" w:rsidR="00E1671F" w:rsidRDefault="00E1671F" w:rsidP="00B8315F">
      <w:pPr>
        <w:spacing w:line="360" w:lineRule="auto"/>
        <w:jc w:val="both"/>
        <w:rPr>
          <w:rFonts w:ascii="Calibri" w:hAnsi="Calibri" w:cs="Calibri"/>
          <w:sz w:val="22"/>
          <w:szCs w:val="22"/>
        </w:rPr>
      </w:pPr>
      <w:r w:rsidRPr="00E1671F">
        <w:rPr>
          <w:rFonts w:ascii="Calibri" w:hAnsi="Calibri" w:cs="Calibri"/>
          <w:sz w:val="22"/>
          <w:szCs w:val="22"/>
        </w:rPr>
        <w:t xml:space="preserve">Each of the three models was evaluated on the metrics of accuracy, precision, recall, F1 score, and ROC-AUC using the held-out 20% test set of customers, which consisted of 2,000 records. With respect to these metrics, the best performing model was Gradient Boosting, with an F1 score of 0.60, a recall of 0.49 for churn, and a ROC-AUC of 0.87. The Random Forest model performed almost as well and was just slightly below that metric. The final model, Logistic Regression, achieved an impressive 81% accuracy, but had a recall of only 0.19 for churn, therefore, illustrating that accuracy is the wrong metric to focus on with imbalanced data. The confusion matrix (Figure 6) illustrates that 407 of the sample churn records </w:t>
      </w:r>
      <w:r w:rsidRPr="00E1671F">
        <w:rPr>
          <w:rFonts w:ascii="Calibri" w:hAnsi="Calibri" w:cs="Calibri"/>
          <w:sz w:val="22"/>
          <w:szCs w:val="22"/>
        </w:rPr>
        <w:lastRenderedPageBreak/>
        <w:t xml:space="preserve">were correctly identified by Gradient Boosting. These results were consistent with the findings by Tran et al. (2023) who demonstrated similar findings in their data </w:t>
      </w:r>
      <w:proofErr w:type="gramStart"/>
      <w:r w:rsidRPr="00E1671F">
        <w:rPr>
          <w:rFonts w:ascii="Calibri" w:hAnsi="Calibri" w:cs="Calibri"/>
          <w:sz w:val="22"/>
          <w:szCs w:val="22"/>
        </w:rPr>
        <w:t>set, and</w:t>
      </w:r>
      <w:proofErr w:type="gramEnd"/>
      <w:r w:rsidRPr="00E1671F">
        <w:rPr>
          <w:rFonts w:ascii="Calibri" w:hAnsi="Calibri" w:cs="Calibri"/>
          <w:sz w:val="22"/>
          <w:szCs w:val="22"/>
        </w:rPr>
        <w:t xml:space="preserve"> reaffirmed the chosen methods and evaluations within this study [11].</w:t>
      </w:r>
    </w:p>
    <w:p w14:paraId="346CCDC5" w14:textId="2DDCD7C5" w:rsidR="00B8315F" w:rsidRPr="007B3C1C" w:rsidRDefault="00B8315F" w:rsidP="00B8315F">
      <w:pPr>
        <w:spacing w:line="360" w:lineRule="auto"/>
        <w:jc w:val="both"/>
        <w:rPr>
          <w:rFonts w:ascii="Calibri" w:hAnsi="Calibri" w:cs="Calibri"/>
          <w:sz w:val="22"/>
          <w:szCs w:val="22"/>
        </w:rPr>
      </w:pPr>
      <w:r w:rsidRPr="007B3C1C">
        <w:rPr>
          <w:rFonts w:ascii="Calibri" w:hAnsi="Calibri" w:cs="Calibri"/>
          <w:b/>
          <w:bCs/>
          <w:sz w:val="22"/>
          <w:szCs w:val="22"/>
        </w:rPr>
        <w:t>Table 2:</w:t>
      </w:r>
      <w:r w:rsidRPr="007B3C1C">
        <w:rPr>
          <w:rFonts w:ascii="Calibri" w:hAnsi="Calibri" w:cs="Calibri"/>
          <w:sz w:val="22"/>
          <w:szCs w:val="22"/>
        </w:rPr>
        <w:t xml:space="preserve"> Comparative evaluation metrics across all three models</w:t>
      </w:r>
    </w:p>
    <w:tbl>
      <w:tblPr>
        <w:tblW w:w="9121" w:type="dxa"/>
        <w:tblCellSpacing w:w="15" w:type="dxa"/>
        <w:tblCellMar>
          <w:top w:w="15" w:type="dxa"/>
          <w:left w:w="15" w:type="dxa"/>
          <w:bottom w:w="15" w:type="dxa"/>
          <w:right w:w="15" w:type="dxa"/>
        </w:tblCellMar>
        <w:tblLook w:val="04A0" w:firstRow="1" w:lastRow="0" w:firstColumn="1" w:lastColumn="0" w:noHBand="0" w:noVBand="1"/>
      </w:tblPr>
      <w:tblGrid>
        <w:gridCol w:w="2731"/>
        <w:gridCol w:w="1342"/>
        <w:gridCol w:w="1379"/>
        <w:gridCol w:w="930"/>
        <w:gridCol w:w="1320"/>
        <w:gridCol w:w="1419"/>
      </w:tblGrid>
      <w:tr w:rsidR="00B8315F" w:rsidRPr="007B3C1C" w14:paraId="3A20CD2F" w14:textId="77777777" w:rsidTr="00613E8B">
        <w:trPr>
          <w:trHeight w:val="608"/>
          <w:tblHeader/>
          <w:tblCellSpacing w:w="15" w:type="dxa"/>
        </w:trPr>
        <w:tc>
          <w:tcPr>
            <w:tcW w:w="0" w:type="auto"/>
            <w:tcBorders>
              <w:top w:val="single" w:sz="4" w:space="0" w:color="auto"/>
              <w:left w:val="single" w:sz="4" w:space="0" w:color="auto"/>
              <w:right w:val="single" w:sz="4" w:space="0" w:color="auto"/>
            </w:tcBorders>
            <w:vAlign w:val="center"/>
            <w:hideMark/>
          </w:tcPr>
          <w:p w14:paraId="4D1ECC1E"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Model</w:t>
            </w:r>
          </w:p>
        </w:tc>
        <w:tc>
          <w:tcPr>
            <w:tcW w:w="0" w:type="auto"/>
            <w:tcBorders>
              <w:top w:val="single" w:sz="4" w:space="0" w:color="auto"/>
            </w:tcBorders>
            <w:vAlign w:val="center"/>
            <w:hideMark/>
          </w:tcPr>
          <w:p w14:paraId="318974AA"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Accuracy</w:t>
            </w:r>
          </w:p>
        </w:tc>
        <w:tc>
          <w:tcPr>
            <w:tcW w:w="0" w:type="auto"/>
            <w:tcBorders>
              <w:top w:val="single" w:sz="4" w:space="0" w:color="auto"/>
              <w:left w:val="single" w:sz="4" w:space="0" w:color="auto"/>
            </w:tcBorders>
            <w:vAlign w:val="center"/>
            <w:hideMark/>
          </w:tcPr>
          <w:p w14:paraId="014D6877"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Precision</w:t>
            </w:r>
          </w:p>
        </w:tc>
        <w:tc>
          <w:tcPr>
            <w:tcW w:w="0" w:type="auto"/>
            <w:tcBorders>
              <w:top w:val="single" w:sz="4" w:space="0" w:color="auto"/>
              <w:left w:val="single" w:sz="4" w:space="0" w:color="auto"/>
            </w:tcBorders>
            <w:vAlign w:val="center"/>
            <w:hideMark/>
          </w:tcPr>
          <w:p w14:paraId="11AD5461"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Recall</w:t>
            </w:r>
          </w:p>
        </w:tc>
        <w:tc>
          <w:tcPr>
            <w:tcW w:w="0" w:type="auto"/>
            <w:tcBorders>
              <w:top w:val="single" w:sz="4" w:space="0" w:color="auto"/>
              <w:left w:val="single" w:sz="4" w:space="0" w:color="auto"/>
              <w:right w:val="single" w:sz="4" w:space="0" w:color="auto"/>
            </w:tcBorders>
            <w:vAlign w:val="center"/>
            <w:hideMark/>
          </w:tcPr>
          <w:p w14:paraId="418ADB17"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F1-Score</w:t>
            </w:r>
          </w:p>
        </w:tc>
        <w:tc>
          <w:tcPr>
            <w:tcW w:w="0" w:type="auto"/>
            <w:tcBorders>
              <w:top w:val="single" w:sz="4" w:space="0" w:color="auto"/>
              <w:right w:val="single" w:sz="4" w:space="0" w:color="auto"/>
            </w:tcBorders>
            <w:vAlign w:val="center"/>
            <w:hideMark/>
          </w:tcPr>
          <w:p w14:paraId="0703DC23" w14:textId="77777777" w:rsidR="00B8315F" w:rsidRPr="007B3C1C" w:rsidRDefault="00B8315F" w:rsidP="00613E8B">
            <w:pPr>
              <w:spacing w:line="360" w:lineRule="auto"/>
              <w:jc w:val="both"/>
              <w:rPr>
                <w:rFonts w:ascii="Calibri" w:hAnsi="Calibri" w:cs="Calibri"/>
                <w:b/>
                <w:bCs/>
                <w:sz w:val="22"/>
                <w:szCs w:val="22"/>
              </w:rPr>
            </w:pPr>
            <w:r w:rsidRPr="007B3C1C">
              <w:rPr>
                <w:rFonts w:ascii="Calibri" w:hAnsi="Calibri" w:cs="Calibri"/>
                <w:b/>
                <w:bCs/>
                <w:sz w:val="22"/>
                <w:szCs w:val="22"/>
              </w:rPr>
              <w:t>ROC-AUC</w:t>
            </w:r>
          </w:p>
        </w:tc>
      </w:tr>
      <w:tr w:rsidR="00B8315F" w:rsidRPr="007B3C1C" w14:paraId="25CD30E2" w14:textId="77777777" w:rsidTr="00613E8B">
        <w:trPr>
          <w:trHeight w:val="622"/>
          <w:tblCellSpacing w:w="15" w:type="dxa"/>
        </w:trPr>
        <w:tc>
          <w:tcPr>
            <w:tcW w:w="0" w:type="auto"/>
            <w:tcBorders>
              <w:top w:val="single" w:sz="4" w:space="0" w:color="auto"/>
              <w:left w:val="single" w:sz="4" w:space="0" w:color="auto"/>
              <w:right w:val="single" w:sz="4" w:space="0" w:color="auto"/>
            </w:tcBorders>
            <w:vAlign w:val="center"/>
            <w:hideMark/>
          </w:tcPr>
          <w:p w14:paraId="176C4CD5"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Logistic Regression</w:t>
            </w:r>
          </w:p>
        </w:tc>
        <w:tc>
          <w:tcPr>
            <w:tcW w:w="0" w:type="auto"/>
            <w:tcBorders>
              <w:top w:val="single" w:sz="4" w:space="0" w:color="auto"/>
            </w:tcBorders>
            <w:vAlign w:val="center"/>
            <w:hideMark/>
          </w:tcPr>
          <w:p w14:paraId="30CC492B"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0.81</w:t>
            </w:r>
          </w:p>
        </w:tc>
        <w:tc>
          <w:tcPr>
            <w:tcW w:w="0" w:type="auto"/>
            <w:tcBorders>
              <w:top w:val="single" w:sz="4" w:space="0" w:color="auto"/>
              <w:left w:val="single" w:sz="4" w:space="0" w:color="auto"/>
            </w:tcBorders>
            <w:vAlign w:val="center"/>
            <w:hideMark/>
          </w:tcPr>
          <w:p w14:paraId="281FBC88"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0.59</w:t>
            </w:r>
          </w:p>
        </w:tc>
        <w:tc>
          <w:tcPr>
            <w:tcW w:w="0" w:type="auto"/>
            <w:tcBorders>
              <w:top w:val="single" w:sz="4" w:space="0" w:color="auto"/>
              <w:left w:val="single" w:sz="4" w:space="0" w:color="auto"/>
            </w:tcBorders>
            <w:vAlign w:val="center"/>
            <w:hideMark/>
          </w:tcPr>
          <w:p w14:paraId="649072F0"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0.19</w:t>
            </w:r>
          </w:p>
        </w:tc>
        <w:tc>
          <w:tcPr>
            <w:tcW w:w="0" w:type="auto"/>
            <w:tcBorders>
              <w:top w:val="single" w:sz="4" w:space="0" w:color="auto"/>
              <w:left w:val="single" w:sz="4" w:space="0" w:color="auto"/>
              <w:right w:val="single" w:sz="4" w:space="0" w:color="auto"/>
            </w:tcBorders>
            <w:vAlign w:val="center"/>
            <w:hideMark/>
          </w:tcPr>
          <w:p w14:paraId="1496509C"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0.28</w:t>
            </w:r>
          </w:p>
        </w:tc>
        <w:tc>
          <w:tcPr>
            <w:tcW w:w="0" w:type="auto"/>
            <w:tcBorders>
              <w:top w:val="single" w:sz="4" w:space="0" w:color="auto"/>
              <w:right w:val="single" w:sz="4" w:space="0" w:color="auto"/>
            </w:tcBorders>
            <w:vAlign w:val="center"/>
            <w:hideMark/>
          </w:tcPr>
          <w:p w14:paraId="659F27F8"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0.77</w:t>
            </w:r>
          </w:p>
        </w:tc>
      </w:tr>
      <w:tr w:rsidR="00B8315F" w:rsidRPr="007B3C1C" w14:paraId="23585817" w14:textId="77777777" w:rsidTr="00613E8B">
        <w:trPr>
          <w:trHeight w:val="608"/>
          <w:tblCellSpacing w:w="15" w:type="dxa"/>
        </w:trPr>
        <w:tc>
          <w:tcPr>
            <w:tcW w:w="0" w:type="auto"/>
            <w:tcBorders>
              <w:top w:val="single" w:sz="4" w:space="0" w:color="auto"/>
              <w:left w:val="single" w:sz="4" w:space="0" w:color="auto"/>
              <w:right w:val="single" w:sz="4" w:space="0" w:color="auto"/>
            </w:tcBorders>
            <w:vAlign w:val="center"/>
            <w:hideMark/>
          </w:tcPr>
          <w:p w14:paraId="4BD91522"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Random Forest</w:t>
            </w:r>
          </w:p>
        </w:tc>
        <w:tc>
          <w:tcPr>
            <w:tcW w:w="0" w:type="auto"/>
            <w:tcBorders>
              <w:top w:val="single" w:sz="4" w:space="0" w:color="auto"/>
            </w:tcBorders>
            <w:vAlign w:val="center"/>
            <w:hideMark/>
          </w:tcPr>
          <w:p w14:paraId="620C9AAF"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0.86</w:t>
            </w:r>
          </w:p>
        </w:tc>
        <w:tc>
          <w:tcPr>
            <w:tcW w:w="0" w:type="auto"/>
            <w:tcBorders>
              <w:top w:val="single" w:sz="4" w:space="0" w:color="auto"/>
              <w:left w:val="single" w:sz="4" w:space="0" w:color="auto"/>
            </w:tcBorders>
            <w:vAlign w:val="center"/>
            <w:hideMark/>
          </w:tcPr>
          <w:p w14:paraId="1897038B"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0.78</w:t>
            </w:r>
          </w:p>
        </w:tc>
        <w:tc>
          <w:tcPr>
            <w:tcW w:w="0" w:type="auto"/>
            <w:tcBorders>
              <w:top w:val="single" w:sz="4" w:space="0" w:color="auto"/>
              <w:left w:val="single" w:sz="4" w:space="0" w:color="auto"/>
            </w:tcBorders>
            <w:vAlign w:val="center"/>
            <w:hideMark/>
          </w:tcPr>
          <w:p w14:paraId="746FA869"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0.46</w:t>
            </w:r>
          </w:p>
        </w:tc>
        <w:tc>
          <w:tcPr>
            <w:tcW w:w="0" w:type="auto"/>
            <w:tcBorders>
              <w:top w:val="single" w:sz="4" w:space="0" w:color="auto"/>
              <w:left w:val="single" w:sz="4" w:space="0" w:color="auto"/>
              <w:right w:val="single" w:sz="4" w:space="0" w:color="auto"/>
            </w:tcBorders>
            <w:vAlign w:val="center"/>
            <w:hideMark/>
          </w:tcPr>
          <w:p w14:paraId="7A9CB7D5"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0.58</w:t>
            </w:r>
          </w:p>
        </w:tc>
        <w:tc>
          <w:tcPr>
            <w:tcW w:w="0" w:type="auto"/>
            <w:tcBorders>
              <w:top w:val="single" w:sz="4" w:space="0" w:color="auto"/>
              <w:right w:val="single" w:sz="4" w:space="0" w:color="auto"/>
            </w:tcBorders>
            <w:vAlign w:val="center"/>
            <w:hideMark/>
          </w:tcPr>
          <w:p w14:paraId="69455199"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sz w:val="22"/>
                <w:szCs w:val="22"/>
              </w:rPr>
              <w:t>0.85</w:t>
            </w:r>
          </w:p>
        </w:tc>
      </w:tr>
      <w:tr w:rsidR="00B8315F" w:rsidRPr="007B3C1C" w14:paraId="0B7F55AA" w14:textId="77777777" w:rsidTr="00613E8B">
        <w:trPr>
          <w:trHeight w:val="62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38275A"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Gradient Boosting</w:t>
            </w:r>
          </w:p>
        </w:tc>
        <w:tc>
          <w:tcPr>
            <w:tcW w:w="0" w:type="auto"/>
            <w:tcBorders>
              <w:top w:val="single" w:sz="4" w:space="0" w:color="auto"/>
              <w:bottom w:val="single" w:sz="4" w:space="0" w:color="auto"/>
            </w:tcBorders>
            <w:vAlign w:val="center"/>
            <w:hideMark/>
          </w:tcPr>
          <w:p w14:paraId="784A55A0"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0.87</w:t>
            </w:r>
          </w:p>
        </w:tc>
        <w:tc>
          <w:tcPr>
            <w:tcW w:w="0" w:type="auto"/>
            <w:tcBorders>
              <w:top w:val="single" w:sz="4" w:space="0" w:color="auto"/>
              <w:left w:val="single" w:sz="4" w:space="0" w:color="auto"/>
              <w:bottom w:val="single" w:sz="4" w:space="0" w:color="auto"/>
            </w:tcBorders>
            <w:vAlign w:val="center"/>
            <w:hideMark/>
          </w:tcPr>
          <w:p w14:paraId="56C3C23A"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0.79</w:t>
            </w:r>
          </w:p>
        </w:tc>
        <w:tc>
          <w:tcPr>
            <w:tcW w:w="0" w:type="auto"/>
            <w:tcBorders>
              <w:top w:val="single" w:sz="4" w:space="0" w:color="auto"/>
              <w:left w:val="single" w:sz="4" w:space="0" w:color="auto"/>
              <w:bottom w:val="single" w:sz="4" w:space="0" w:color="auto"/>
            </w:tcBorders>
            <w:vAlign w:val="center"/>
            <w:hideMark/>
          </w:tcPr>
          <w:p w14:paraId="2EFF0283"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0.49</w:t>
            </w:r>
          </w:p>
        </w:tc>
        <w:tc>
          <w:tcPr>
            <w:tcW w:w="0" w:type="auto"/>
            <w:tcBorders>
              <w:top w:val="single" w:sz="4" w:space="0" w:color="auto"/>
              <w:left w:val="single" w:sz="4" w:space="0" w:color="auto"/>
              <w:bottom w:val="single" w:sz="4" w:space="0" w:color="auto"/>
              <w:right w:val="single" w:sz="4" w:space="0" w:color="auto"/>
            </w:tcBorders>
            <w:vAlign w:val="center"/>
            <w:hideMark/>
          </w:tcPr>
          <w:p w14:paraId="08103475"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0.60</w:t>
            </w:r>
          </w:p>
        </w:tc>
        <w:tc>
          <w:tcPr>
            <w:tcW w:w="0" w:type="auto"/>
            <w:tcBorders>
              <w:top w:val="single" w:sz="4" w:space="0" w:color="auto"/>
              <w:bottom w:val="single" w:sz="4" w:space="0" w:color="auto"/>
              <w:right w:val="single" w:sz="4" w:space="0" w:color="auto"/>
            </w:tcBorders>
            <w:vAlign w:val="center"/>
            <w:hideMark/>
          </w:tcPr>
          <w:p w14:paraId="70B93050" w14:textId="77777777" w:rsidR="00B8315F" w:rsidRPr="007B3C1C" w:rsidRDefault="00B8315F" w:rsidP="00613E8B">
            <w:pPr>
              <w:spacing w:line="360" w:lineRule="auto"/>
              <w:jc w:val="both"/>
              <w:rPr>
                <w:rFonts w:ascii="Calibri" w:hAnsi="Calibri" w:cs="Calibri"/>
                <w:sz w:val="22"/>
                <w:szCs w:val="22"/>
              </w:rPr>
            </w:pPr>
            <w:r w:rsidRPr="007B3C1C">
              <w:rPr>
                <w:rFonts w:ascii="Calibri" w:hAnsi="Calibri" w:cs="Calibri"/>
                <w:b/>
                <w:bCs/>
                <w:sz w:val="22"/>
                <w:szCs w:val="22"/>
              </w:rPr>
              <w:t>0.87</w:t>
            </w:r>
          </w:p>
        </w:tc>
      </w:tr>
    </w:tbl>
    <w:p w14:paraId="2F06241D" w14:textId="77777777" w:rsidR="00B8315F" w:rsidRPr="007B3C1C" w:rsidRDefault="00B8315F" w:rsidP="00B8315F">
      <w:pPr>
        <w:spacing w:line="360" w:lineRule="auto"/>
        <w:jc w:val="both"/>
        <w:rPr>
          <w:rFonts w:ascii="Calibri" w:hAnsi="Calibri" w:cs="Calibri"/>
          <w:sz w:val="22"/>
          <w:szCs w:val="22"/>
        </w:rPr>
      </w:pPr>
    </w:p>
    <w:p w14:paraId="19A43FB5"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7BF09983" wp14:editId="583E29FA">
            <wp:extent cx="4922520" cy="2788920"/>
            <wp:effectExtent l="0" t="0" r="0" b="0"/>
            <wp:docPr id="1464793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2520" cy="2788920"/>
                    </a:xfrm>
                    <a:prstGeom prst="rect">
                      <a:avLst/>
                    </a:prstGeom>
                    <a:noFill/>
                    <a:ln>
                      <a:noFill/>
                    </a:ln>
                  </pic:spPr>
                </pic:pic>
              </a:graphicData>
            </a:graphic>
          </wp:inline>
        </w:drawing>
      </w:r>
    </w:p>
    <w:p w14:paraId="4D2CCE0E" w14:textId="77777777" w:rsidR="00B8315F" w:rsidRPr="007B3C1C" w:rsidRDefault="00B8315F" w:rsidP="00B8315F">
      <w:pPr>
        <w:pStyle w:val="Caption"/>
        <w:spacing w:line="360" w:lineRule="auto"/>
        <w:jc w:val="both"/>
        <w:rPr>
          <w:rFonts w:ascii="Calibri" w:hAnsi="Calibri" w:cs="Calibri"/>
          <w:sz w:val="22"/>
          <w:szCs w:val="22"/>
        </w:rPr>
      </w:pPr>
      <w:bookmarkStart w:id="15" w:name="_Toc229081429"/>
      <w:bookmarkStart w:id="16" w:name="_Toc229081645"/>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6</w:t>
      </w:r>
      <w:r w:rsidRPr="007B3C1C">
        <w:rPr>
          <w:rFonts w:ascii="Calibri" w:hAnsi="Calibri" w:cs="Calibri"/>
          <w:sz w:val="22"/>
          <w:szCs w:val="22"/>
        </w:rPr>
        <w:fldChar w:fldCharType="end"/>
      </w:r>
      <w:r w:rsidRPr="007B3C1C">
        <w:rPr>
          <w:rFonts w:ascii="Calibri" w:hAnsi="Calibri" w:cs="Calibri"/>
          <w:sz w:val="22"/>
          <w:szCs w:val="22"/>
        </w:rPr>
        <w:t>: Confusion matrix of the Gradient Boosting model on the test set (n = 2,000), correctly identifying 199 of 407 actual churners.</w:t>
      </w:r>
      <w:bookmarkEnd w:id="15"/>
      <w:bookmarkEnd w:id="16"/>
    </w:p>
    <w:p w14:paraId="4AE9DDFB"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 xml:space="preserve">The ROC curves (Figure 7) and metric comparison chart (Figure 8) visually confirm Gradient Boosting's superiority and validate </w:t>
      </w:r>
      <w:r w:rsidRPr="007B3C1C">
        <w:rPr>
          <w:rFonts w:ascii="Calibri" w:hAnsi="Calibri" w:cs="Calibri"/>
          <w:b/>
          <w:bCs/>
          <w:sz w:val="22"/>
          <w:szCs w:val="22"/>
        </w:rPr>
        <w:t>H3</w:t>
      </w:r>
      <w:r w:rsidRPr="007B3C1C">
        <w:rPr>
          <w:rFonts w:ascii="Calibri" w:hAnsi="Calibri" w:cs="Calibri"/>
          <w:sz w:val="22"/>
          <w:szCs w:val="22"/>
        </w:rPr>
        <w:t xml:space="preserve"> — that non-linear ensemble methods outperform linear models for this task.</w:t>
      </w:r>
    </w:p>
    <w:p w14:paraId="08F5B96F"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lastRenderedPageBreak/>
        <w:drawing>
          <wp:inline distT="0" distB="0" distL="0" distR="0" wp14:anchorId="63DD5188" wp14:editId="3C8DB5F5">
            <wp:extent cx="4503420" cy="2741900"/>
            <wp:effectExtent l="0" t="0" r="0" b="1905"/>
            <wp:docPr id="1391176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3791" cy="2748214"/>
                    </a:xfrm>
                    <a:prstGeom prst="rect">
                      <a:avLst/>
                    </a:prstGeom>
                    <a:noFill/>
                    <a:ln>
                      <a:noFill/>
                    </a:ln>
                  </pic:spPr>
                </pic:pic>
              </a:graphicData>
            </a:graphic>
          </wp:inline>
        </w:drawing>
      </w:r>
    </w:p>
    <w:p w14:paraId="55D7833B" w14:textId="77777777" w:rsidR="00B8315F" w:rsidRPr="007B3C1C" w:rsidRDefault="00B8315F" w:rsidP="00B8315F">
      <w:pPr>
        <w:pStyle w:val="Caption"/>
        <w:spacing w:line="360" w:lineRule="auto"/>
        <w:jc w:val="both"/>
        <w:rPr>
          <w:rFonts w:ascii="Calibri" w:hAnsi="Calibri" w:cs="Calibri"/>
          <w:sz w:val="22"/>
          <w:szCs w:val="22"/>
        </w:rPr>
      </w:pPr>
      <w:bookmarkStart w:id="17" w:name="_Toc229081430"/>
      <w:bookmarkStart w:id="18" w:name="_Toc229081646"/>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7</w:t>
      </w:r>
      <w:r w:rsidRPr="007B3C1C">
        <w:rPr>
          <w:rFonts w:ascii="Calibri" w:hAnsi="Calibri" w:cs="Calibri"/>
          <w:sz w:val="22"/>
          <w:szCs w:val="22"/>
        </w:rPr>
        <w:fldChar w:fldCharType="end"/>
      </w:r>
      <w:r w:rsidRPr="007B3C1C">
        <w:rPr>
          <w:rFonts w:ascii="Calibri" w:hAnsi="Calibri" w:cs="Calibri"/>
          <w:sz w:val="22"/>
          <w:szCs w:val="22"/>
        </w:rPr>
        <w:t>: Receiver Operating Characteristic (ROC) curves for all three models, with Gradient Boosting achieving the highest area under the curve (AUC = 0.87).</w:t>
      </w:r>
      <w:bookmarkEnd w:id="17"/>
      <w:bookmarkEnd w:id="18"/>
    </w:p>
    <w:p w14:paraId="47D25935"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drawing>
          <wp:inline distT="0" distB="0" distL="0" distR="0" wp14:anchorId="238A52E5" wp14:editId="0C9ADB55">
            <wp:extent cx="4495800" cy="2697480"/>
            <wp:effectExtent l="0" t="0" r="0" b="7620"/>
            <wp:docPr id="963619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0159" cy="2700095"/>
                    </a:xfrm>
                    <a:prstGeom prst="rect">
                      <a:avLst/>
                    </a:prstGeom>
                    <a:noFill/>
                    <a:ln>
                      <a:noFill/>
                    </a:ln>
                  </pic:spPr>
                </pic:pic>
              </a:graphicData>
            </a:graphic>
          </wp:inline>
        </w:drawing>
      </w:r>
    </w:p>
    <w:p w14:paraId="6BB519DF" w14:textId="77777777" w:rsidR="00B8315F" w:rsidRPr="007B3C1C" w:rsidRDefault="00B8315F" w:rsidP="00B8315F">
      <w:pPr>
        <w:pStyle w:val="Caption"/>
        <w:spacing w:line="360" w:lineRule="auto"/>
        <w:jc w:val="both"/>
        <w:rPr>
          <w:rFonts w:ascii="Calibri" w:hAnsi="Calibri" w:cs="Calibri"/>
          <w:sz w:val="22"/>
          <w:szCs w:val="22"/>
        </w:rPr>
      </w:pPr>
      <w:bookmarkStart w:id="19" w:name="_Toc229081431"/>
      <w:bookmarkStart w:id="20" w:name="_Toc229081647"/>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8</w:t>
      </w:r>
      <w:r w:rsidRPr="007B3C1C">
        <w:rPr>
          <w:rFonts w:ascii="Calibri" w:hAnsi="Calibri" w:cs="Calibri"/>
          <w:sz w:val="22"/>
          <w:szCs w:val="22"/>
        </w:rPr>
        <w:fldChar w:fldCharType="end"/>
      </w:r>
      <w:r w:rsidRPr="007B3C1C">
        <w:rPr>
          <w:rFonts w:ascii="Calibri" w:hAnsi="Calibri" w:cs="Calibri"/>
          <w:sz w:val="22"/>
          <w:szCs w:val="22"/>
        </w:rPr>
        <w:t>: Comparative performance of all three models across five evaluation metrics — accuracy, precision, recall, F1-score, and ROC-AUC.</w:t>
      </w:r>
      <w:bookmarkEnd w:id="19"/>
      <w:bookmarkEnd w:id="20"/>
    </w:p>
    <w:p w14:paraId="1DAE7521" w14:textId="77777777" w:rsidR="00B8315F" w:rsidRPr="00B8315F" w:rsidRDefault="00B8315F" w:rsidP="00B8315F">
      <w:pPr>
        <w:pStyle w:val="Heading2"/>
        <w:spacing w:line="360" w:lineRule="auto"/>
        <w:rPr>
          <w:rFonts w:ascii="Calibri" w:hAnsi="Calibri" w:cs="Calibri"/>
          <w:b/>
          <w:bCs/>
          <w:color w:val="auto"/>
          <w:sz w:val="24"/>
          <w:szCs w:val="24"/>
        </w:rPr>
      </w:pPr>
      <w:bookmarkStart w:id="21" w:name="_Toc229080380"/>
      <w:r w:rsidRPr="00B8315F">
        <w:rPr>
          <w:rFonts w:ascii="Calibri" w:hAnsi="Calibri" w:cs="Calibri"/>
          <w:b/>
          <w:bCs/>
          <w:color w:val="auto"/>
          <w:sz w:val="24"/>
          <w:szCs w:val="24"/>
        </w:rPr>
        <w:t>5.2 Key Drivers of Churn</w:t>
      </w:r>
      <w:bookmarkEnd w:id="21"/>
    </w:p>
    <w:p w14:paraId="48D022DE"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 xml:space="preserve">Feature importance scores extracted from the Random Forest model (Figure 9) rank </w:t>
      </w:r>
      <w:r w:rsidRPr="007B3C1C">
        <w:rPr>
          <w:rFonts w:ascii="Calibri" w:hAnsi="Calibri" w:cs="Calibri"/>
          <w:b/>
          <w:bCs/>
          <w:sz w:val="22"/>
          <w:szCs w:val="22"/>
        </w:rPr>
        <w:t>Age as the dominant predictor of churn (≈24%)</w:t>
      </w:r>
      <w:r w:rsidRPr="007B3C1C">
        <w:rPr>
          <w:rFonts w:ascii="Calibri" w:hAnsi="Calibri" w:cs="Calibri"/>
          <w:sz w:val="22"/>
          <w:szCs w:val="22"/>
        </w:rPr>
        <w:t xml:space="preserve">, followed by Estimated Salary, Balance, Credit Score, and Num of Products. This finding triangulates with the EDA: Age was the strongest correlate in the heatmap (r = 0.29) and the most visually striking variable in the histogram, confirming </w:t>
      </w:r>
      <w:r w:rsidRPr="007B3C1C">
        <w:rPr>
          <w:rFonts w:ascii="Calibri" w:hAnsi="Calibri" w:cs="Calibri"/>
          <w:b/>
          <w:bCs/>
          <w:sz w:val="22"/>
          <w:szCs w:val="22"/>
        </w:rPr>
        <w:t>H2</w:t>
      </w:r>
      <w:r w:rsidRPr="007B3C1C">
        <w:rPr>
          <w:rFonts w:ascii="Calibri" w:hAnsi="Calibri" w:cs="Calibri"/>
          <w:sz w:val="22"/>
          <w:szCs w:val="22"/>
        </w:rPr>
        <w:t>.</w:t>
      </w:r>
    </w:p>
    <w:p w14:paraId="73D67B1B" w14:textId="77777777" w:rsidR="00B8315F" w:rsidRPr="007B3C1C" w:rsidRDefault="00B8315F" w:rsidP="00B8315F">
      <w:pPr>
        <w:keepNext/>
        <w:spacing w:line="360" w:lineRule="auto"/>
        <w:jc w:val="both"/>
        <w:rPr>
          <w:rFonts w:ascii="Calibri" w:hAnsi="Calibri" w:cs="Calibri"/>
          <w:sz w:val="22"/>
          <w:szCs w:val="22"/>
        </w:rPr>
      </w:pPr>
      <w:r w:rsidRPr="007B3C1C">
        <w:rPr>
          <w:rFonts w:ascii="Calibri" w:hAnsi="Calibri" w:cs="Calibri"/>
          <w:noProof/>
          <w:sz w:val="22"/>
          <w:szCs w:val="22"/>
        </w:rPr>
        <w:lastRenderedPageBreak/>
        <w:drawing>
          <wp:inline distT="0" distB="0" distL="0" distR="0" wp14:anchorId="2BDD11F0" wp14:editId="5B05F7A8">
            <wp:extent cx="5204460" cy="2357966"/>
            <wp:effectExtent l="0" t="0" r="0" b="4445"/>
            <wp:docPr id="252848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6974" cy="2363636"/>
                    </a:xfrm>
                    <a:prstGeom prst="rect">
                      <a:avLst/>
                    </a:prstGeom>
                    <a:noFill/>
                    <a:ln>
                      <a:noFill/>
                    </a:ln>
                  </pic:spPr>
                </pic:pic>
              </a:graphicData>
            </a:graphic>
          </wp:inline>
        </w:drawing>
      </w:r>
    </w:p>
    <w:p w14:paraId="063DC08F" w14:textId="77777777" w:rsidR="00B8315F" w:rsidRPr="007B3C1C" w:rsidRDefault="00B8315F" w:rsidP="00B8315F">
      <w:pPr>
        <w:pStyle w:val="Caption"/>
        <w:spacing w:line="360" w:lineRule="auto"/>
        <w:jc w:val="both"/>
        <w:rPr>
          <w:rFonts w:ascii="Calibri" w:hAnsi="Calibri" w:cs="Calibri"/>
          <w:sz w:val="22"/>
          <w:szCs w:val="22"/>
        </w:rPr>
      </w:pPr>
      <w:bookmarkStart w:id="22" w:name="_Toc229081432"/>
      <w:bookmarkStart w:id="23" w:name="_Toc229081648"/>
      <w:r w:rsidRPr="007B3C1C">
        <w:rPr>
          <w:rFonts w:ascii="Calibri" w:hAnsi="Calibri" w:cs="Calibri"/>
          <w:sz w:val="22"/>
          <w:szCs w:val="22"/>
        </w:rPr>
        <w:t xml:space="preserve">Figure </w:t>
      </w:r>
      <w:r w:rsidRPr="007B3C1C">
        <w:rPr>
          <w:rFonts w:ascii="Calibri" w:hAnsi="Calibri" w:cs="Calibri"/>
          <w:sz w:val="22"/>
          <w:szCs w:val="22"/>
        </w:rPr>
        <w:fldChar w:fldCharType="begin"/>
      </w:r>
      <w:r w:rsidRPr="007B3C1C">
        <w:rPr>
          <w:rFonts w:ascii="Calibri" w:hAnsi="Calibri" w:cs="Calibri"/>
          <w:sz w:val="22"/>
          <w:szCs w:val="22"/>
        </w:rPr>
        <w:instrText xml:space="preserve"> SEQ Figure \* ARABIC </w:instrText>
      </w:r>
      <w:r w:rsidRPr="007B3C1C">
        <w:rPr>
          <w:rFonts w:ascii="Calibri" w:hAnsi="Calibri" w:cs="Calibri"/>
          <w:sz w:val="22"/>
          <w:szCs w:val="22"/>
        </w:rPr>
        <w:fldChar w:fldCharType="separate"/>
      </w:r>
      <w:r w:rsidRPr="007B3C1C">
        <w:rPr>
          <w:rFonts w:ascii="Calibri" w:hAnsi="Calibri" w:cs="Calibri"/>
          <w:noProof/>
          <w:sz w:val="22"/>
          <w:szCs w:val="22"/>
        </w:rPr>
        <w:t>9</w:t>
      </w:r>
      <w:r w:rsidRPr="007B3C1C">
        <w:rPr>
          <w:rFonts w:ascii="Calibri" w:hAnsi="Calibri" w:cs="Calibri"/>
          <w:sz w:val="22"/>
          <w:szCs w:val="22"/>
        </w:rPr>
        <w:fldChar w:fldCharType="end"/>
      </w:r>
      <w:r w:rsidRPr="007B3C1C">
        <w:rPr>
          <w:rFonts w:ascii="Calibri" w:hAnsi="Calibri" w:cs="Calibri"/>
          <w:sz w:val="22"/>
          <w:szCs w:val="22"/>
        </w:rPr>
        <w:t>: Feature importance scores from the Random Forest model, ranking Age as the dominant predictor of churn (≈24%), followed by financial and engagement features.</w:t>
      </w:r>
      <w:bookmarkEnd w:id="22"/>
      <w:bookmarkEnd w:id="23"/>
    </w:p>
    <w:p w14:paraId="0A10EA45"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 xml:space="preserve"> The geographic split observed in Figure 2 confirms </w:t>
      </w:r>
      <w:r w:rsidRPr="007B3C1C">
        <w:rPr>
          <w:rFonts w:ascii="Calibri" w:hAnsi="Calibri" w:cs="Calibri"/>
          <w:b/>
          <w:bCs/>
          <w:sz w:val="22"/>
          <w:szCs w:val="22"/>
        </w:rPr>
        <w:t>H1</w:t>
      </w:r>
      <w:r w:rsidRPr="007B3C1C">
        <w:rPr>
          <w:rFonts w:ascii="Calibri" w:hAnsi="Calibri" w:cs="Calibri"/>
          <w:sz w:val="22"/>
          <w:szCs w:val="22"/>
        </w:rPr>
        <w:t>, with Germany exhibiting nearly twice the churn rate of France and Spain.</w:t>
      </w:r>
    </w:p>
    <w:p w14:paraId="45F81502" w14:textId="77777777" w:rsidR="00B8315F" w:rsidRPr="00B8315F" w:rsidRDefault="00B8315F" w:rsidP="00B8315F">
      <w:pPr>
        <w:pStyle w:val="Heading2"/>
        <w:spacing w:line="360" w:lineRule="auto"/>
        <w:rPr>
          <w:rFonts w:ascii="Calibri" w:hAnsi="Calibri" w:cs="Calibri"/>
          <w:b/>
          <w:bCs/>
          <w:color w:val="auto"/>
          <w:sz w:val="24"/>
          <w:szCs w:val="24"/>
        </w:rPr>
      </w:pPr>
      <w:bookmarkStart w:id="24" w:name="_Toc229080381"/>
      <w:r w:rsidRPr="00B8315F">
        <w:rPr>
          <w:rFonts w:ascii="Calibri" w:hAnsi="Calibri" w:cs="Calibri"/>
          <w:b/>
          <w:bCs/>
          <w:color w:val="auto"/>
          <w:sz w:val="24"/>
          <w:szCs w:val="24"/>
        </w:rPr>
        <w:t>5.3 Translating European Findings to the Australian Banking Context</w:t>
      </w:r>
      <w:bookmarkEnd w:id="24"/>
    </w:p>
    <w:p w14:paraId="594AD38E"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Although the dataset originates from European banks, the patterns identified are demographic and behavioural rather than country specific. Australia's banking sector exhibits comparable age distributions, similar product portfolios, and equivalent churn dynamics across regional and metropolitan markets [2]. The findings are therefore transferable in principle, though precise magnitudes would differ. Future work should validate these patterns against Australian-specific datasets such as APRA's quarterly Authorised Deposit-taking Institution Performance Statistics [10].</w:t>
      </w:r>
    </w:p>
    <w:p w14:paraId="26A2C2A8" w14:textId="77777777" w:rsidR="00B8315F" w:rsidRPr="00E1671F" w:rsidRDefault="00B8315F" w:rsidP="00B8315F">
      <w:pPr>
        <w:pStyle w:val="Heading2"/>
        <w:spacing w:line="360" w:lineRule="auto"/>
        <w:rPr>
          <w:rFonts w:ascii="Calibri" w:hAnsi="Calibri" w:cs="Calibri"/>
          <w:b/>
          <w:bCs/>
          <w:color w:val="auto"/>
          <w:sz w:val="24"/>
          <w:szCs w:val="24"/>
        </w:rPr>
      </w:pPr>
      <w:bookmarkStart w:id="25" w:name="_Toc229080382"/>
      <w:r w:rsidRPr="00E1671F">
        <w:rPr>
          <w:rFonts w:ascii="Calibri" w:hAnsi="Calibri" w:cs="Calibri"/>
          <w:b/>
          <w:bCs/>
          <w:color w:val="auto"/>
          <w:sz w:val="24"/>
          <w:szCs w:val="24"/>
        </w:rPr>
        <w:t>5.4 Business Recommendations for Australian Banks</w:t>
      </w:r>
      <w:bookmarkEnd w:id="25"/>
    </w:p>
    <w:p w14:paraId="4D12793A" w14:textId="77777777" w:rsidR="00B8315F" w:rsidRPr="007B3C1C" w:rsidRDefault="00B8315F" w:rsidP="00B8315F">
      <w:pPr>
        <w:spacing w:line="360" w:lineRule="auto"/>
        <w:jc w:val="both"/>
        <w:rPr>
          <w:rFonts w:ascii="Calibri" w:hAnsi="Calibri" w:cs="Calibri"/>
          <w:sz w:val="22"/>
          <w:szCs w:val="22"/>
        </w:rPr>
      </w:pPr>
      <w:r w:rsidRPr="007B3C1C">
        <w:rPr>
          <w:rFonts w:ascii="Calibri" w:hAnsi="Calibri" w:cs="Calibri"/>
          <w:sz w:val="22"/>
          <w:szCs w:val="22"/>
        </w:rPr>
        <w:t>Five data-driven recommendations are proposed for the Australian banking sector:</w:t>
      </w:r>
    </w:p>
    <w:p w14:paraId="58C189E0" w14:textId="77777777" w:rsidR="00B8315F" w:rsidRPr="007B3C1C" w:rsidRDefault="00B8315F" w:rsidP="00B8315F">
      <w:pPr>
        <w:numPr>
          <w:ilvl w:val="0"/>
          <w:numId w:val="30"/>
        </w:numPr>
        <w:spacing w:line="360" w:lineRule="auto"/>
        <w:jc w:val="both"/>
        <w:rPr>
          <w:rFonts w:ascii="Calibri" w:hAnsi="Calibri" w:cs="Calibri"/>
          <w:sz w:val="22"/>
          <w:szCs w:val="22"/>
        </w:rPr>
      </w:pPr>
      <w:r w:rsidRPr="007B3C1C">
        <w:rPr>
          <w:rFonts w:ascii="Calibri" w:hAnsi="Calibri" w:cs="Calibri"/>
          <w:b/>
          <w:bCs/>
          <w:sz w:val="22"/>
          <w:szCs w:val="22"/>
        </w:rPr>
        <w:t>Targeted brand-awareness campaigns</w:t>
      </w:r>
      <w:r w:rsidRPr="007B3C1C">
        <w:rPr>
          <w:rFonts w:ascii="Calibri" w:hAnsi="Calibri" w:cs="Calibri"/>
          <w:sz w:val="22"/>
          <w:szCs w:val="22"/>
        </w:rPr>
        <w:t xml:space="preserve"> to ensure tailored offers reach the appropriate customer segments.</w:t>
      </w:r>
    </w:p>
    <w:p w14:paraId="13D32E1E" w14:textId="77777777" w:rsidR="00B8315F" w:rsidRPr="007B3C1C" w:rsidRDefault="00B8315F" w:rsidP="00B8315F">
      <w:pPr>
        <w:numPr>
          <w:ilvl w:val="0"/>
          <w:numId w:val="30"/>
        </w:numPr>
        <w:spacing w:line="360" w:lineRule="auto"/>
        <w:jc w:val="both"/>
        <w:rPr>
          <w:rFonts w:ascii="Calibri" w:hAnsi="Calibri" w:cs="Calibri"/>
          <w:sz w:val="22"/>
          <w:szCs w:val="22"/>
        </w:rPr>
      </w:pPr>
      <w:r w:rsidRPr="007B3C1C">
        <w:rPr>
          <w:rFonts w:ascii="Calibri" w:hAnsi="Calibri" w:cs="Calibri"/>
          <w:b/>
          <w:bCs/>
          <w:sz w:val="22"/>
          <w:szCs w:val="22"/>
        </w:rPr>
        <w:t>Age-segmented cashback programs for customers aged 20–28</w:t>
      </w:r>
      <w:r w:rsidRPr="007B3C1C">
        <w:rPr>
          <w:rFonts w:ascii="Calibri" w:hAnsi="Calibri" w:cs="Calibri"/>
          <w:sz w:val="22"/>
          <w:szCs w:val="22"/>
        </w:rPr>
        <w:t>, building long-term loyalty before they reach the high-risk demographic.</w:t>
      </w:r>
    </w:p>
    <w:p w14:paraId="279D0346" w14:textId="77777777" w:rsidR="00B8315F" w:rsidRPr="007B3C1C" w:rsidRDefault="00B8315F" w:rsidP="00B8315F">
      <w:pPr>
        <w:numPr>
          <w:ilvl w:val="0"/>
          <w:numId w:val="30"/>
        </w:numPr>
        <w:spacing w:line="360" w:lineRule="auto"/>
        <w:jc w:val="both"/>
        <w:rPr>
          <w:rFonts w:ascii="Calibri" w:hAnsi="Calibri" w:cs="Calibri"/>
          <w:sz w:val="22"/>
          <w:szCs w:val="22"/>
        </w:rPr>
      </w:pPr>
      <w:r w:rsidRPr="007B3C1C">
        <w:rPr>
          <w:rFonts w:ascii="Calibri" w:hAnsi="Calibri" w:cs="Calibri"/>
          <w:b/>
          <w:bCs/>
          <w:sz w:val="22"/>
          <w:szCs w:val="22"/>
        </w:rPr>
        <w:t>Localised customer service investment in high-churn regions</w:t>
      </w:r>
      <w:r w:rsidRPr="007B3C1C">
        <w:rPr>
          <w:rFonts w:ascii="Calibri" w:hAnsi="Calibri" w:cs="Calibri"/>
          <w:sz w:val="22"/>
          <w:szCs w:val="22"/>
        </w:rPr>
        <w:t>, mirroring the Germany pattern observed in our data.</w:t>
      </w:r>
    </w:p>
    <w:p w14:paraId="4D936E1E" w14:textId="77777777" w:rsidR="00B8315F" w:rsidRPr="007B3C1C" w:rsidRDefault="00B8315F" w:rsidP="00B8315F">
      <w:pPr>
        <w:numPr>
          <w:ilvl w:val="0"/>
          <w:numId w:val="30"/>
        </w:numPr>
        <w:spacing w:line="360" w:lineRule="auto"/>
        <w:jc w:val="both"/>
        <w:rPr>
          <w:rFonts w:ascii="Calibri" w:hAnsi="Calibri" w:cs="Calibri"/>
          <w:sz w:val="22"/>
          <w:szCs w:val="22"/>
        </w:rPr>
      </w:pPr>
      <w:r w:rsidRPr="007B3C1C">
        <w:rPr>
          <w:rFonts w:ascii="Calibri" w:hAnsi="Calibri" w:cs="Calibri"/>
          <w:b/>
          <w:bCs/>
          <w:sz w:val="22"/>
          <w:szCs w:val="22"/>
        </w:rPr>
        <w:lastRenderedPageBreak/>
        <w:t>Strategic retail and health-sector partnerships</w:t>
      </w:r>
      <w:r w:rsidRPr="007B3C1C">
        <w:rPr>
          <w:rFonts w:ascii="Calibri" w:hAnsi="Calibri" w:cs="Calibri"/>
          <w:sz w:val="22"/>
          <w:szCs w:val="22"/>
        </w:rPr>
        <w:t xml:space="preserve"> (e.g., supermarket and pharmacy chains such as Chemist Warehouse) offering category-based discounts to the 40–60 age group, creating a win-win value model across bank, retailer, and customer.</w:t>
      </w:r>
    </w:p>
    <w:p w14:paraId="2BF45F00" w14:textId="77777777" w:rsidR="00B8315F" w:rsidRDefault="00B8315F" w:rsidP="00B8315F">
      <w:pPr>
        <w:numPr>
          <w:ilvl w:val="0"/>
          <w:numId w:val="30"/>
        </w:numPr>
        <w:spacing w:line="360" w:lineRule="auto"/>
        <w:jc w:val="both"/>
        <w:rPr>
          <w:rFonts w:ascii="Calibri" w:hAnsi="Calibri" w:cs="Calibri"/>
          <w:sz w:val="22"/>
          <w:szCs w:val="22"/>
        </w:rPr>
      </w:pPr>
      <w:r w:rsidRPr="007B3C1C">
        <w:rPr>
          <w:rFonts w:ascii="Calibri" w:hAnsi="Calibri" w:cs="Calibri"/>
          <w:b/>
          <w:bCs/>
          <w:sz w:val="22"/>
          <w:szCs w:val="22"/>
        </w:rPr>
        <w:t>Flexible mortgage products designed for customers aged 40–60</w:t>
      </w:r>
      <w:r w:rsidRPr="007B3C1C">
        <w:rPr>
          <w:rFonts w:ascii="Calibri" w:hAnsi="Calibri" w:cs="Calibri"/>
          <w:sz w:val="22"/>
          <w:szCs w:val="22"/>
        </w:rPr>
        <w:t>, leveraging Australia's strong home-ownership culture and government incentives (FHBG, FHSS) to create long-term product stickiness within the highest churn-risk demographic.</w:t>
      </w:r>
    </w:p>
    <w:p w14:paraId="5AD83E5B" w14:textId="77777777" w:rsidR="00E1671F" w:rsidRPr="00E1671F" w:rsidRDefault="00E1671F" w:rsidP="00E1671F">
      <w:pPr>
        <w:pStyle w:val="Heading2"/>
        <w:spacing w:line="360" w:lineRule="auto"/>
        <w:rPr>
          <w:rFonts w:ascii="Calibri" w:hAnsi="Calibri" w:cs="Calibri"/>
          <w:b/>
          <w:bCs/>
          <w:color w:val="auto"/>
          <w:sz w:val="24"/>
          <w:szCs w:val="24"/>
        </w:rPr>
      </w:pPr>
      <w:bookmarkStart w:id="26" w:name="_Toc229080383"/>
      <w:r w:rsidRPr="00E1671F">
        <w:rPr>
          <w:rFonts w:ascii="Calibri" w:hAnsi="Calibri" w:cs="Calibri"/>
          <w:b/>
          <w:bCs/>
          <w:color w:val="auto"/>
          <w:sz w:val="24"/>
          <w:szCs w:val="24"/>
        </w:rPr>
        <w:t>5.5 Conclusion and Future Work</w:t>
      </w:r>
      <w:bookmarkEnd w:id="26"/>
    </w:p>
    <w:p w14:paraId="38E240AF" w14:textId="29FB8F43" w:rsidR="00E1671F" w:rsidRDefault="00E1671F" w:rsidP="00E1671F">
      <w:pPr>
        <w:spacing w:line="360" w:lineRule="auto"/>
        <w:jc w:val="both"/>
        <w:rPr>
          <w:rFonts w:ascii="Calibri" w:hAnsi="Calibri" w:cs="Calibri"/>
          <w:sz w:val="22"/>
          <w:szCs w:val="22"/>
        </w:rPr>
      </w:pPr>
      <w:r w:rsidRPr="00E1671F">
        <w:rPr>
          <w:rFonts w:ascii="Calibri" w:hAnsi="Calibri" w:cs="Calibri"/>
          <w:sz w:val="22"/>
          <w:szCs w:val="22"/>
        </w:rPr>
        <w:t>This project demonstrated that machine learning can effectively identify at-risk bank customers and uncover the demographic drivers of churn. Among the techniques used, Age-based Gradient Boosting models was the most accurate and detected Age as the primary customer churn predictor. The methodology developed by Tran et al. (2023) established a validated baseline for this analysis. In the future, research can integrate the SMOTE rebalancing technique along with other explainable AI such as SHAP values to foster a balance between optimal model performance and transparency [11]. Other techniques can include implementation of XGBoost, neural networks, extensive hyperparameter tuning, and testing on Australian banking data.</w:t>
      </w:r>
    </w:p>
    <w:p w14:paraId="48DC0207" w14:textId="77777777" w:rsidR="00E1671F" w:rsidRPr="00E1671F" w:rsidRDefault="00E1671F" w:rsidP="00E1671F">
      <w:pPr>
        <w:pStyle w:val="Heading2"/>
        <w:spacing w:line="360" w:lineRule="auto"/>
        <w:rPr>
          <w:rFonts w:ascii="Calibri" w:hAnsi="Calibri" w:cs="Calibri"/>
          <w:b/>
          <w:bCs/>
          <w:color w:val="auto"/>
          <w:sz w:val="24"/>
          <w:szCs w:val="24"/>
        </w:rPr>
      </w:pPr>
      <w:bookmarkStart w:id="27" w:name="_Toc229080384"/>
      <w:r w:rsidRPr="00E1671F">
        <w:rPr>
          <w:rFonts w:ascii="Calibri" w:hAnsi="Calibri" w:cs="Calibri"/>
          <w:b/>
          <w:bCs/>
          <w:color w:val="auto"/>
          <w:sz w:val="24"/>
          <w:szCs w:val="24"/>
        </w:rPr>
        <w:t>References</w:t>
      </w:r>
      <w:bookmarkEnd w:id="27"/>
    </w:p>
    <w:p w14:paraId="3B469A77"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[1] F. F. Reichheld and W. E. Sasser Jr., "Zero defections: Quality comes to services," </w:t>
      </w:r>
      <w:r w:rsidRPr="007B3C1C">
        <w:rPr>
          <w:rFonts w:ascii="Calibri" w:hAnsi="Calibri" w:cs="Calibri"/>
          <w:i/>
          <w:iCs/>
          <w:sz w:val="22"/>
          <w:szCs w:val="22"/>
        </w:rPr>
        <w:t>Harvard Business Review</w:t>
      </w:r>
      <w:r w:rsidRPr="007B3C1C">
        <w:rPr>
          <w:rFonts w:ascii="Calibri" w:hAnsi="Calibri" w:cs="Calibri"/>
          <w:sz w:val="22"/>
          <w:szCs w:val="22"/>
        </w:rPr>
        <w:t>, vol. 68, no. 5, pp. 105–111, 1990.</w:t>
      </w:r>
    </w:p>
    <w:p w14:paraId="1EA08B7E"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[2] Australian Competition and Consumer Commission, "Consumer Data Right (CDR) — Banking sector," 2020. [Online]. Available: </w:t>
      </w:r>
      <w:hyperlink r:id="rId18" w:history="1">
        <w:r w:rsidRPr="007B3C1C">
          <w:rPr>
            <w:rStyle w:val="Hyperlink"/>
            <w:rFonts w:ascii="Calibri" w:hAnsi="Calibri" w:cs="Calibri"/>
            <w:sz w:val="22"/>
            <w:szCs w:val="22"/>
          </w:rPr>
          <w:t>https://www.cdr.gov.au/</w:t>
        </w:r>
      </w:hyperlink>
    </w:p>
    <w:p w14:paraId="10142676"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[3] A. Duggani, "MDA512 Churn Prediction — Project Repository," GitHub, 2026. [Online]. Available: </w:t>
      </w:r>
      <w:hyperlink r:id="rId19" w:history="1">
        <w:r w:rsidRPr="007B3C1C">
          <w:rPr>
            <w:rStyle w:val="Hyperlink"/>
            <w:rFonts w:ascii="Calibri" w:hAnsi="Calibri" w:cs="Calibri"/>
            <w:sz w:val="22"/>
            <w:szCs w:val="22"/>
          </w:rPr>
          <w:t>https://github.com/aravindduggani1/mda512-churn-prediction</w:t>
        </w:r>
      </w:hyperlink>
    </w:p>
    <w:p w14:paraId="70142D7E"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[4] Kaggle, "Churn Modelling Dataset," Kaggle.com, 2018. [Online]. Available: </w:t>
      </w:r>
      <w:hyperlink r:id="rId20" w:history="1">
        <w:r w:rsidRPr="007B3C1C">
          <w:rPr>
            <w:rStyle w:val="Hyperlink"/>
            <w:rFonts w:ascii="Calibri" w:hAnsi="Calibri" w:cs="Calibri"/>
            <w:sz w:val="22"/>
            <w:szCs w:val="22"/>
          </w:rPr>
          <w:t>https://www.kaggle.com/datasets/shrutimechlearn/churn-modelling</w:t>
        </w:r>
      </w:hyperlink>
    </w:p>
    <w:p w14:paraId="5122368E"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[5] F. Pedregosa </w:t>
      </w:r>
      <w:r w:rsidRPr="007B3C1C">
        <w:rPr>
          <w:rFonts w:ascii="Calibri" w:hAnsi="Calibri" w:cs="Calibri"/>
          <w:i/>
          <w:iCs/>
          <w:sz w:val="22"/>
          <w:szCs w:val="22"/>
        </w:rPr>
        <w:t>et al.</w:t>
      </w:r>
      <w:r w:rsidRPr="007B3C1C">
        <w:rPr>
          <w:rFonts w:ascii="Calibri" w:hAnsi="Calibri" w:cs="Calibri"/>
          <w:sz w:val="22"/>
          <w:szCs w:val="22"/>
        </w:rPr>
        <w:t xml:space="preserve">, "Scikit-learn: Machine learning in Python," </w:t>
      </w:r>
      <w:r w:rsidRPr="007B3C1C">
        <w:rPr>
          <w:rFonts w:ascii="Calibri" w:hAnsi="Calibri" w:cs="Calibri"/>
          <w:i/>
          <w:iCs/>
          <w:sz w:val="22"/>
          <w:szCs w:val="22"/>
        </w:rPr>
        <w:t>Journal of Machine Learning Research</w:t>
      </w:r>
      <w:r w:rsidRPr="007B3C1C">
        <w:rPr>
          <w:rFonts w:ascii="Calibri" w:hAnsi="Calibri" w:cs="Calibri"/>
          <w:sz w:val="22"/>
          <w:szCs w:val="22"/>
        </w:rPr>
        <w:t>, vol. 12, pp. 2825–2830, 2011.</w:t>
      </w:r>
    </w:p>
    <w:p w14:paraId="2893C220"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[6] D. W. Hosmer, S. </w:t>
      </w:r>
      <w:proofErr w:type="spellStart"/>
      <w:r w:rsidRPr="007B3C1C">
        <w:rPr>
          <w:rFonts w:ascii="Calibri" w:hAnsi="Calibri" w:cs="Calibri"/>
          <w:sz w:val="22"/>
          <w:szCs w:val="22"/>
        </w:rPr>
        <w:t>Lemeshow</w:t>
      </w:r>
      <w:proofErr w:type="spellEnd"/>
      <w:r w:rsidRPr="007B3C1C">
        <w:rPr>
          <w:rFonts w:ascii="Calibri" w:hAnsi="Calibri" w:cs="Calibri"/>
          <w:sz w:val="22"/>
          <w:szCs w:val="22"/>
        </w:rPr>
        <w:t xml:space="preserve">, and R. X. Sturdivant, </w:t>
      </w:r>
      <w:r w:rsidRPr="007B3C1C">
        <w:rPr>
          <w:rFonts w:ascii="Calibri" w:hAnsi="Calibri" w:cs="Calibri"/>
          <w:i/>
          <w:iCs/>
          <w:sz w:val="22"/>
          <w:szCs w:val="22"/>
        </w:rPr>
        <w:t>Applied Logistic Regression</w:t>
      </w:r>
      <w:r w:rsidRPr="007B3C1C">
        <w:rPr>
          <w:rFonts w:ascii="Calibri" w:hAnsi="Calibri" w:cs="Calibri"/>
          <w:sz w:val="22"/>
          <w:szCs w:val="22"/>
        </w:rPr>
        <w:t>, 3rd ed. Hoboken, NJ, USA: Wiley, 2013.</w:t>
      </w:r>
    </w:p>
    <w:p w14:paraId="478B059D"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lastRenderedPageBreak/>
        <w:t xml:space="preserve">[7] L. </w:t>
      </w:r>
      <w:proofErr w:type="spellStart"/>
      <w:r w:rsidRPr="007B3C1C">
        <w:rPr>
          <w:rFonts w:ascii="Calibri" w:hAnsi="Calibri" w:cs="Calibri"/>
          <w:sz w:val="22"/>
          <w:szCs w:val="22"/>
        </w:rPr>
        <w:t>Breiman</w:t>
      </w:r>
      <w:proofErr w:type="spellEnd"/>
      <w:r w:rsidRPr="007B3C1C">
        <w:rPr>
          <w:rFonts w:ascii="Calibri" w:hAnsi="Calibri" w:cs="Calibri"/>
          <w:sz w:val="22"/>
          <w:szCs w:val="22"/>
        </w:rPr>
        <w:t xml:space="preserve">, "Random forests," </w:t>
      </w:r>
      <w:r w:rsidRPr="007B3C1C">
        <w:rPr>
          <w:rFonts w:ascii="Calibri" w:hAnsi="Calibri" w:cs="Calibri"/>
          <w:i/>
          <w:iCs/>
          <w:sz w:val="22"/>
          <w:szCs w:val="22"/>
        </w:rPr>
        <w:t>Machine Learning</w:t>
      </w:r>
      <w:r w:rsidRPr="007B3C1C">
        <w:rPr>
          <w:rFonts w:ascii="Calibri" w:hAnsi="Calibri" w:cs="Calibri"/>
          <w:sz w:val="22"/>
          <w:szCs w:val="22"/>
        </w:rPr>
        <w:t>, vol. 45, no. 1, pp. 5–32, 2001.</w:t>
      </w:r>
    </w:p>
    <w:p w14:paraId="3B633685"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[8] J. H. Friedman, "Greedy function approximation: A gradient boosting machine," </w:t>
      </w:r>
      <w:r w:rsidRPr="007B3C1C">
        <w:rPr>
          <w:rFonts w:ascii="Calibri" w:hAnsi="Calibri" w:cs="Calibri"/>
          <w:i/>
          <w:iCs/>
          <w:sz w:val="22"/>
          <w:szCs w:val="22"/>
        </w:rPr>
        <w:t>Annals of Statistics</w:t>
      </w:r>
      <w:r w:rsidRPr="007B3C1C">
        <w:rPr>
          <w:rFonts w:ascii="Calibri" w:hAnsi="Calibri" w:cs="Calibri"/>
          <w:sz w:val="22"/>
          <w:szCs w:val="22"/>
        </w:rPr>
        <w:t>, vol. 29, no. 5, pp. 1189–1232, 2001.</w:t>
      </w:r>
    </w:p>
    <w:p w14:paraId="682F6807"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 xml:space="preserve">[9] T. Hastie, R. </w:t>
      </w:r>
      <w:proofErr w:type="spellStart"/>
      <w:r w:rsidRPr="007B3C1C">
        <w:rPr>
          <w:rFonts w:ascii="Calibri" w:hAnsi="Calibri" w:cs="Calibri"/>
          <w:sz w:val="22"/>
          <w:szCs w:val="22"/>
        </w:rPr>
        <w:t>Tibshirani</w:t>
      </w:r>
      <w:proofErr w:type="spellEnd"/>
      <w:r w:rsidRPr="007B3C1C">
        <w:rPr>
          <w:rFonts w:ascii="Calibri" w:hAnsi="Calibri" w:cs="Calibri"/>
          <w:sz w:val="22"/>
          <w:szCs w:val="22"/>
        </w:rPr>
        <w:t xml:space="preserve">, and J. Friedman, </w:t>
      </w:r>
      <w:r w:rsidRPr="007B3C1C">
        <w:rPr>
          <w:rFonts w:ascii="Calibri" w:hAnsi="Calibri" w:cs="Calibri"/>
          <w:i/>
          <w:iCs/>
          <w:sz w:val="22"/>
          <w:szCs w:val="22"/>
        </w:rPr>
        <w:t>The Elements of Statistical Learning</w:t>
      </w:r>
      <w:r w:rsidRPr="007B3C1C">
        <w:rPr>
          <w:rFonts w:ascii="Calibri" w:hAnsi="Calibri" w:cs="Calibri"/>
          <w:sz w:val="22"/>
          <w:szCs w:val="22"/>
        </w:rPr>
        <w:t>, 2nd ed. New York, NY, USA: Springer, 2009.</w:t>
      </w:r>
    </w:p>
    <w:p w14:paraId="7DB6BAF7" w14:textId="77777777" w:rsidR="00E1671F" w:rsidRDefault="00E1671F" w:rsidP="00E1671F">
      <w:pPr>
        <w:spacing w:line="360" w:lineRule="auto"/>
        <w:jc w:val="both"/>
        <w:rPr>
          <w:rFonts w:ascii="Calibri" w:hAnsi="Calibri" w:cs="Calibri"/>
        </w:rPr>
      </w:pPr>
      <w:r w:rsidRPr="007B3C1C">
        <w:rPr>
          <w:rFonts w:ascii="Calibri" w:hAnsi="Calibri" w:cs="Calibri"/>
          <w:sz w:val="22"/>
          <w:szCs w:val="22"/>
        </w:rPr>
        <w:t xml:space="preserve">[10] Australian Prudential Regulation Authority, "Quarterly Authorised Deposit-taking Institution Performance Statistics," 2024. [Online]. Available: </w:t>
      </w:r>
      <w:hyperlink r:id="rId21" w:history="1">
        <w:r w:rsidRPr="007B3C1C">
          <w:rPr>
            <w:rStyle w:val="Hyperlink"/>
            <w:rFonts w:ascii="Calibri" w:hAnsi="Calibri" w:cs="Calibri"/>
            <w:sz w:val="22"/>
            <w:szCs w:val="22"/>
          </w:rPr>
          <w:t>https://www.apra.gov.au/</w:t>
        </w:r>
      </w:hyperlink>
    </w:p>
    <w:p w14:paraId="3F984534" w14:textId="259A3F2E" w:rsidR="00E1671F" w:rsidRDefault="00E1671F" w:rsidP="00E1671F">
      <w:pPr>
        <w:spacing w:line="360" w:lineRule="auto"/>
        <w:jc w:val="both"/>
        <w:rPr>
          <w:rFonts w:ascii="Calibri" w:hAnsi="Calibri" w:cs="Calibri"/>
        </w:rPr>
      </w:pPr>
      <w:r w:rsidRPr="00E1671F">
        <w:rPr>
          <w:rFonts w:ascii="Calibri" w:hAnsi="Calibri" w:cs="Calibri"/>
        </w:rPr>
        <w:t>[11] H. Tran, N. Le, and V.-H. Nguyen, "Customer Churn Prediction in the Banking Sector Using Machine Learning-Based Classification Models," Interdisciplinary Journal of Information, Knowledge, and Management, vol. 18, pp. 87–105, Feb. 2023. [Online]. Available:</w:t>
      </w:r>
      <w:r w:rsidR="00A50713">
        <w:rPr>
          <w:rFonts w:ascii="Calibri" w:hAnsi="Calibri" w:cs="Calibri"/>
        </w:rPr>
        <w:t xml:space="preserve"> </w:t>
      </w:r>
      <w:hyperlink r:id="rId22" w:history="1">
        <w:r w:rsidR="00A50713" w:rsidRPr="00451B1B">
          <w:rPr>
            <w:rStyle w:val="Hyperlink"/>
            <w:rFonts w:ascii="Calibri" w:hAnsi="Calibri" w:cs="Calibri"/>
          </w:rPr>
          <w:t>https://www.researchgate.net/publication/368911804</w:t>
        </w:r>
      </w:hyperlink>
    </w:p>
    <w:p w14:paraId="5854A75F" w14:textId="77777777" w:rsidR="00E1671F" w:rsidRDefault="00E1671F" w:rsidP="00E1671F">
      <w:pPr>
        <w:spacing w:line="360" w:lineRule="auto"/>
        <w:jc w:val="both"/>
        <w:rPr>
          <w:rFonts w:ascii="Calibri" w:hAnsi="Calibri" w:cs="Calibri"/>
        </w:rPr>
      </w:pPr>
    </w:p>
    <w:p w14:paraId="176142DC" w14:textId="77777777" w:rsidR="00E1671F" w:rsidRPr="00E1671F" w:rsidRDefault="00E1671F" w:rsidP="00E1671F">
      <w:pPr>
        <w:spacing w:line="360" w:lineRule="auto"/>
        <w:jc w:val="both"/>
        <w:rPr>
          <w:rFonts w:ascii="Calibri" w:hAnsi="Calibri" w:cs="Calibri"/>
          <w:b/>
          <w:bCs/>
        </w:rPr>
      </w:pPr>
      <w:r w:rsidRPr="00E1671F">
        <w:rPr>
          <w:rFonts w:ascii="Calibri" w:hAnsi="Calibri" w:cs="Calibri"/>
          <w:b/>
          <w:bCs/>
        </w:rPr>
        <w:t>Appendix A — Source Code Repository</w:t>
      </w:r>
    </w:p>
    <w:p w14:paraId="094EB6EF"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The complete Python source code for this project, including the Jupyter Notebook, dataset, generated figures, and supporting files, is publicly available on GitHub:</w:t>
      </w:r>
    </w:p>
    <w:p w14:paraId="2BCCAD77" w14:textId="77777777" w:rsidR="00E1671F" w:rsidRPr="007B3C1C" w:rsidRDefault="00E1671F" w:rsidP="00E1671F">
      <w:pPr>
        <w:spacing w:line="360" w:lineRule="auto"/>
        <w:jc w:val="both"/>
        <w:rPr>
          <w:rFonts w:ascii="Calibri" w:hAnsi="Calibri" w:cs="Calibri"/>
          <w:sz w:val="22"/>
          <w:szCs w:val="22"/>
        </w:rPr>
      </w:pPr>
      <w:hyperlink r:id="rId23" w:history="1">
        <w:r w:rsidRPr="007B3C1C">
          <w:rPr>
            <w:rStyle w:val="Hyperlink"/>
            <w:rFonts w:ascii="Calibri" w:hAnsi="Calibri" w:cs="Calibri"/>
            <w:b/>
            <w:bCs/>
            <w:sz w:val="22"/>
            <w:szCs w:val="22"/>
          </w:rPr>
          <w:t>https://github.com/aravindduggani1/mda512-churn-prediction</w:t>
        </w:r>
      </w:hyperlink>
    </w:p>
    <w:p w14:paraId="6627825F" w14:textId="77777777" w:rsidR="00E1671F" w:rsidRPr="007B3C1C" w:rsidRDefault="00E1671F" w:rsidP="00E1671F">
      <w:pPr>
        <w:spacing w:line="360" w:lineRule="auto"/>
        <w:jc w:val="both"/>
        <w:rPr>
          <w:rFonts w:ascii="Calibri" w:hAnsi="Calibri" w:cs="Calibri"/>
          <w:sz w:val="22"/>
          <w:szCs w:val="22"/>
        </w:rPr>
      </w:pPr>
      <w:r w:rsidRPr="007B3C1C">
        <w:rPr>
          <w:rFonts w:ascii="Calibri" w:hAnsi="Calibri" w:cs="Calibri"/>
          <w:sz w:val="22"/>
          <w:szCs w:val="22"/>
        </w:rPr>
        <w:t>The repository includes:</w:t>
      </w:r>
    </w:p>
    <w:p w14:paraId="14C1760B" w14:textId="77777777" w:rsidR="00E1671F" w:rsidRPr="007B3C1C" w:rsidRDefault="00E1671F" w:rsidP="00E1671F">
      <w:pPr>
        <w:numPr>
          <w:ilvl w:val="0"/>
          <w:numId w:val="31"/>
        </w:numPr>
        <w:spacing w:line="360" w:lineRule="auto"/>
        <w:jc w:val="both"/>
        <w:rPr>
          <w:rFonts w:ascii="Calibri" w:hAnsi="Calibri" w:cs="Calibri"/>
          <w:sz w:val="22"/>
          <w:szCs w:val="22"/>
        </w:rPr>
      </w:pPr>
      <w:r w:rsidRPr="007B3C1C">
        <w:rPr>
          <w:rFonts w:ascii="Calibri" w:hAnsi="Calibri" w:cs="Calibri"/>
          <w:sz w:val="22"/>
          <w:szCs w:val="22"/>
        </w:rPr>
        <w:t>notebooks/</w:t>
      </w:r>
      <w:proofErr w:type="spellStart"/>
      <w:r w:rsidRPr="007B3C1C">
        <w:rPr>
          <w:rFonts w:ascii="Calibri" w:hAnsi="Calibri" w:cs="Calibri"/>
          <w:sz w:val="22"/>
          <w:szCs w:val="22"/>
        </w:rPr>
        <w:t>churn_analysis.ipynb</w:t>
      </w:r>
      <w:proofErr w:type="spellEnd"/>
      <w:r w:rsidRPr="007B3C1C">
        <w:rPr>
          <w:rFonts w:ascii="Calibri" w:hAnsi="Calibri" w:cs="Calibri"/>
          <w:sz w:val="22"/>
          <w:szCs w:val="22"/>
        </w:rPr>
        <w:t xml:space="preserve"> — Full Jupyter Notebook with code, output, and visualisations</w:t>
      </w:r>
    </w:p>
    <w:p w14:paraId="5CDA3D51" w14:textId="77777777" w:rsidR="00E1671F" w:rsidRPr="007B3C1C" w:rsidRDefault="00E1671F" w:rsidP="00E1671F">
      <w:pPr>
        <w:numPr>
          <w:ilvl w:val="0"/>
          <w:numId w:val="31"/>
        </w:numPr>
        <w:spacing w:line="360" w:lineRule="auto"/>
        <w:jc w:val="both"/>
        <w:rPr>
          <w:rFonts w:ascii="Calibri" w:hAnsi="Calibri" w:cs="Calibri"/>
          <w:sz w:val="22"/>
          <w:szCs w:val="22"/>
        </w:rPr>
      </w:pPr>
      <w:r w:rsidRPr="007B3C1C">
        <w:rPr>
          <w:rFonts w:ascii="Calibri" w:hAnsi="Calibri" w:cs="Calibri"/>
          <w:sz w:val="22"/>
          <w:szCs w:val="22"/>
        </w:rPr>
        <w:t>data/Churn_Modelling.csv — The original dataset</w:t>
      </w:r>
    </w:p>
    <w:p w14:paraId="3B6F248B" w14:textId="77777777" w:rsidR="00E1671F" w:rsidRPr="007B3C1C" w:rsidRDefault="00E1671F" w:rsidP="00E1671F">
      <w:pPr>
        <w:numPr>
          <w:ilvl w:val="0"/>
          <w:numId w:val="31"/>
        </w:numPr>
        <w:spacing w:line="360" w:lineRule="auto"/>
        <w:jc w:val="both"/>
        <w:rPr>
          <w:rFonts w:ascii="Calibri" w:hAnsi="Calibri" w:cs="Calibri"/>
          <w:sz w:val="22"/>
          <w:szCs w:val="22"/>
        </w:rPr>
      </w:pPr>
      <w:r w:rsidRPr="007B3C1C">
        <w:rPr>
          <w:rFonts w:ascii="Calibri" w:hAnsi="Calibri" w:cs="Calibri"/>
          <w:sz w:val="22"/>
          <w:szCs w:val="22"/>
        </w:rPr>
        <w:t>figures/ — All nine generated visualisations and result tables (CSV)</w:t>
      </w:r>
    </w:p>
    <w:p w14:paraId="31D9B35A" w14:textId="77777777" w:rsidR="00E1671F" w:rsidRPr="007B3C1C" w:rsidRDefault="00E1671F" w:rsidP="00E1671F">
      <w:pPr>
        <w:numPr>
          <w:ilvl w:val="0"/>
          <w:numId w:val="31"/>
        </w:numPr>
        <w:spacing w:line="360" w:lineRule="auto"/>
        <w:jc w:val="both"/>
        <w:rPr>
          <w:rFonts w:ascii="Calibri" w:hAnsi="Calibri" w:cs="Calibri"/>
          <w:sz w:val="22"/>
          <w:szCs w:val="22"/>
        </w:rPr>
      </w:pPr>
      <w:r w:rsidRPr="007B3C1C">
        <w:rPr>
          <w:rFonts w:ascii="Calibri" w:hAnsi="Calibri" w:cs="Calibri"/>
          <w:sz w:val="22"/>
          <w:szCs w:val="22"/>
        </w:rPr>
        <w:t>requirements.txt — Python library dependencies</w:t>
      </w:r>
    </w:p>
    <w:p w14:paraId="07C248C8" w14:textId="77777777" w:rsidR="00E1671F" w:rsidRPr="007B3C1C" w:rsidRDefault="00E1671F" w:rsidP="00E1671F">
      <w:pPr>
        <w:numPr>
          <w:ilvl w:val="0"/>
          <w:numId w:val="31"/>
        </w:numPr>
        <w:spacing w:line="360" w:lineRule="auto"/>
        <w:jc w:val="both"/>
        <w:rPr>
          <w:rFonts w:ascii="Calibri" w:hAnsi="Calibri" w:cs="Calibri"/>
          <w:sz w:val="22"/>
          <w:szCs w:val="22"/>
        </w:rPr>
      </w:pPr>
      <w:r w:rsidRPr="007B3C1C">
        <w:rPr>
          <w:rFonts w:ascii="Calibri" w:hAnsi="Calibri" w:cs="Calibri"/>
          <w:sz w:val="22"/>
          <w:szCs w:val="22"/>
        </w:rPr>
        <w:t>README.md — Project overview and setup instructions</w:t>
      </w:r>
    </w:p>
    <w:p w14:paraId="5A7119A0" w14:textId="1C03E4D8" w:rsidR="00EC495A" w:rsidRDefault="00E1671F" w:rsidP="00A50713">
      <w:pPr>
        <w:spacing w:line="360" w:lineRule="auto"/>
        <w:jc w:val="both"/>
        <w:rPr>
          <w:rFonts w:ascii="Calibri" w:hAnsi="Calibri" w:cs="Calibri"/>
          <w:sz w:val="22"/>
          <w:szCs w:val="22"/>
        </w:rPr>
      </w:pPr>
      <w:r w:rsidRPr="007B3C1C">
        <w:rPr>
          <w:rFonts w:ascii="Calibri" w:hAnsi="Calibri" w:cs="Calibri"/>
          <w:sz w:val="22"/>
          <w:szCs w:val="22"/>
        </w:rPr>
        <w:t>The notebook is structured into six logical steps that mirror the report sections: (1) data loading and exploration, (2) exploratory data analysis, (3) preprocessing, (4) model training, (5) model evaluation, and (6) feature importance analysis.</w:t>
      </w:r>
    </w:p>
    <w:p w14:paraId="19A18C55" w14:textId="77777777" w:rsidR="00EC495A" w:rsidRDefault="00EC495A" w:rsidP="00EC495A">
      <w:pPr>
        <w:jc w:val="both"/>
        <w:rPr>
          <w:rFonts w:ascii="Calibri" w:hAnsi="Calibri" w:cs="Calibri"/>
          <w:sz w:val="22"/>
          <w:szCs w:val="22"/>
        </w:rPr>
      </w:pPr>
    </w:p>
    <w:p w14:paraId="0D3CF008" w14:textId="77777777" w:rsidR="00EC495A" w:rsidRDefault="00EC495A" w:rsidP="00EC495A">
      <w:pPr>
        <w:jc w:val="both"/>
        <w:rPr>
          <w:rFonts w:ascii="Calibri" w:hAnsi="Calibri" w:cs="Calibri"/>
          <w:sz w:val="22"/>
          <w:szCs w:val="22"/>
        </w:rPr>
      </w:pPr>
    </w:p>
    <w:p w14:paraId="735FA7BC" w14:textId="77777777" w:rsidR="00EC495A" w:rsidRPr="007E226D" w:rsidRDefault="00EC495A" w:rsidP="00EC495A">
      <w:pPr>
        <w:jc w:val="both"/>
        <w:rPr>
          <w:rFonts w:ascii="Calibri" w:hAnsi="Calibri" w:cs="Calibri"/>
          <w:b/>
          <w:bCs/>
        </w:rPr>
      </w:pPr>
    </w:p>
    <w:sectPr w:rsidR="00EC495A" w:rsidRPr="007E226D" w:rsidSect="00081971">
      <w:headerReference w:type="default" r:id="rId24"/>
      <w:pgSz w:w="11906" w:h="16838"/>
      <w:pgMar w:top="1440" w:right="1247"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47E8" w14:textId="77777777" w:rsidR="00FB53F4" w:rsidRDefault="00FB53F4" w:rsidP="00FA252D">
      <w:pPr>
        <w:spacing w:after="0" w:line="240" w:lineRule="auto"/>
      </w:pPr>
      <w:r>
        <w:separator/>
      </w:r>
    </w:p>
  </w:endnote>
  <w:endnote w:type="continuationSeparator" w:id="0">
    <w:p w14:paraId="54CA323C" w14:textId="77777777" w:rsidR="00FB53F4" w:rsidRDefault="00FB53F4" w:rsidP="00FA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7067E" w14:textId="77777777" w:rsidR="00FB53F4" w:rsidRDefault="00FB53F4" w:rsidP="00FA252D">
      <w:pPr>
        <w:spacing w:after="0" w:line="240" w:lineRule="auto"/>
      </w:pPr>
      <w:r>
        <w:separator/>
      </w:r>
    </w:p>
  </w:footnote>
  <w:footnote w:type="continuationSeparator" w:id="0">
    <w:p w14:paraId="7B4BEE12" w14:textId="77777777" w:rsidR="00FB53F4" w:rsidRDefault="00FB53F4" w:rsidP="00FA2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63"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6"/>
      <w:gridCol w:w="5937"/>
    </w:tblGrid>
    <w:tr w:rsidR="00F165AE" w14:paraId="7243B305" w14:textId="77777777" w:rsidTr="00440ECD">
      <w:tc>
        <w:tcPr>
          <w:tcW w:w="3726" w:type="dxa"/>
        </w:tcPr>
        <w:p w14:paraId="165686A6" w14:textId="77777777" w:rsidR="00F165AE" w:rsidRDefault="00F165AE" w:rsidP="00F165AE">
          <w:pPr>
            <w:pStyle w:val="Header"/>
          </w:pPr>
          <w:r>
            <w:rPr>
              <w:noProof/>
              <w:lang w:bidi="ne-NP"/>
            </w:rPr>
            <w:drawing>
              <wp:inline distT="0" distB="0" distL="0" distR="0" wp14:anchorId="62A34FA7" wp14:editId="2E339741">
                <wp:extent cx="2225809" cy="771525"/>
                <wp:effectExtent l="0" t="0" r="3175" b="0"/>
                <wp:docPr id="259940869" name="Picture 259940869" descr="A logo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logo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9293" cy="783131"/>
                        </a:xfrm>
                        <a:prstGeom prst="rect">
                          <a:avLst/>
                        </a:prstGeom>
                      </pic:spPr>
                    </pic:pic>
                  </a:graphicData>
                </a:graphic>
              </wp:inline>
            </w:drawing>
          </w:r>
        </w:p>
      </w:tc>
      <w:tc>
        <w:tcPr>
          <w:tcW w:w="5937" w:type="dxa"/>
          <w:vAlign w:val="center"/>
        </w:tcPr>
        <w:p w14:paraId="10784D8C" w14:textId="78AA2D5D" w:rsidR="00F165AE" w:rsidRPr="006C3761" w:rsidRDefault="00F165AE" w:rsidP="00F165AE">
          <w:pPr>
            <w:pStyle w:val="Header"/>
            <w:tabs>
              <w:tab w:val="clear" w:pos="4513"/>
            </w:tabs>
            <w:ind w:right="1050"/>
            <w:jc w:val="center"/>
            <w:rPr>
              <w:rFonts w:ascii="Roboto" w:hAnsi="Roboto"/>
              <w:b/>
              <w:bCs/>
              <w:sz w:val="36"/>
              <w:szCs w:val="36"/>
            </w:rPr>
          </w:pPr>
        </w:p>
      </w:tc>
    </w:tr>
  </w:tbl>
  <w:p w14:paraId="54211561" w14:textId="46E9F4D7" w:rsidR="00FA252D" w:rsidRPr="00F165AE" w:rsidRDefault="00F165AE" w:rsidP="00F165AE">
    <w:pPr>
      <w:pStyle w:val="Header"/>
    </w:pPr>
    <w:r>
      <w:rPr>
        <w:noProof/>
      </w:rPr>
      <w:drawing>
        <wp:anchor distT="0" distB="0" distL="0" distR="0" simplePos="0" relativeHeight="251659264" behindDoc="0" locked="0" layoutInCell="1" allowOverlap="1" wp14:anchorId="0C3E6D70" wp14:editId="4DF4E45F">
          <wp:simplePos x="0" y="0"/>
          <wp:positionH relativeFrom="page">
            <wp:align>right</wp:align>
          </wp:positionH>
          <wp:positionV relativeFrom="page">
            <wp:align>top</wp:align>
          </wp:positionV>
          <wp:extent cx="1123315" cy="1228090"/>
          <wp:effectExtent l="0" t="0" r="635" b="0"/>
          <wp:wrapNone/>
          <wp:docPr id="1063700571" name="Image 1" descr="A red and blue rectang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566617" name="Image 1" descr="A red and blue rectangles&#10;&#10;AI-generated content may be incorrect."/>
                  <pic:cNvPicPr/>
                </pic:nvPicPr>
                <pic:blipFill>
                  <a:blip r:embed="rId2" cstate="print"/>
                  <a:stretch>
                    <a:fillRect/>
                  </a:stretch>
                </pic:blipFill>
                <pic:spPr>
                  <a:xfrm>
                    <a:off x="0" y="0"/>
                    <a:ext cx="1123315" cy="12280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4F628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02A73"/>
    <w:multiLevelType w:val="hybridMultilevel"/>
    <w:tmpl w:val="524216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B368FD"/>
    <w:multiLevelType w:val="hybridMultilevel"/>
    <w:tmpl w:val="21A887B8"/>
    <w:lvl w:ilvl="0" w:tplc="3FB45170">
      <w:numFmt w:val="bullet"/>
      <w:lvlText w:val=""/>
      <w:lvlJc w:val="left"/>
      <w:pPr>
        <w:ind w:left="389" w:hanging="284"/>
      </w:pPr>
      <w:rPr>
        <w:rFonts w:ascii="Symbol" w:eastAsia="Symbol" w:hAnsi="Symbol" w:cs="Symbol" w:hint="default"/>
        <w:w w:val="100"/>
        <w:sz w:val="24"/>
        <w:szCs w:val="24"/>
        <w:lang w:val="en-US" w:eastAsia="en-US" w:bidi="ar-SA"/>
      </w:rPr>
    </w:lvl>
    <w:lvl w:ilvl="1" w:tplc="8BE209DA">
      <w:numFmt w:val="bullet"/>
      <w:lvlText w:val="•"/>
      <w:lvlJc w:val="left"/>
      <w:pPr>
        <w:ind w:left="1120" w:hanging="284"/>
      </w:pPr>
      <w:rPr>
        <w:rFonts w:hint="default"/>
        <w:lang w:val="en-US" w:eastAsia="en-US" w:bidi="ar-SA"/>
      </w:rPr>
    </w:lvl>
    <w:lvl w:ilvl="2" w:tplc="341C67FC">
      <w:numFmt w:val="bullet"/>
      <w:lvlText w:val="•"/>
      <w:lvlJc w:val="left"/>
      <w:pPr>
        <w:ind w:left="1861" w:hanging="284"/>
      </w:pPr>
      <w:rPr>
        <w:rFonts w:hint="default"/>
        <w:lang w:val="en-US" w:eastAsia="en-US" w:bidi="ar-SA"/>
      </w:rPr>
    </w:lvl>
    <w:lvl w:ilvl="3" w:tplc="A260EF28">
      <w:numFmt w:val="bullet"/>
      <w:lvlText w:val="•"/>
      <w:lvlJc w:val="left"/>
      <w:pPr>
        <w:ind w:left="2602" w:hanging="284"/>
      </w:pPr>
      <w:rPr>
        <w:rFonts w:hint="default"/>
        <w:lang w:val="en-US" w:eastAsia="en-US" w:bidi="ar-SA"/>
      </w:rPr>
    </w:lvl>
    <w:lvl w:ilvl="4" w:tplc="95F67E8A">
      <w:numFmt w:val="bullet"/>
      <w:lvlText w:val="•"/>
      <w:lvlJc w:val="left"/>
      <w:pPr>
        <w:ind w:left="3343" w:hanging="284"/>
      </w:pPr>
      <w:rPr>
        <w:rFonts w:hint="default"/>
        <w:lang w:val="en-US" w:eastAsia="en-US" w:bidi="ar-SA"/>
      </w:rPr>
    </w:lvl>
    <w:lvl w:ilvl="5" w:tplc="DB3E7718">
      <w:numFmt w:val="bullet"/>
      <w:lvlText w:val="•"/>
      <w:lvlJc w:val="left"/>
      <w:pPr>
        <w:ind w:left="4084" w:hanging="284"/>
      </w:pPr>
      <w:rPr>
        <w:rFonts w:hint="default"/>
        <w:lang w:val="en-US" w:eastAsia="en-US" w:bidi="ar-SA"/>
      </w:rPr>
    </w:lvl>
    <w:lvl w:ilvl="6" w:tplc="42B6C308">
      <w:numFmt w:val="bullet"/>
      <w:lvlText w:val="•"/>
      <w:lvlJc w:val="left"/>
      <w:pPr>
        <w:ind w:left="4825" w:hanging="284"/>
      </w:pPr>
      <w:rPr>
        <w:rFonts w:hint="default"/>
        <w:lang w:val="en-US" w:eastAsia="en-US" w:bidi="ar-SA"/>
      </w:rPr>
    </w:lvl>
    <w:lvl w:ilvl="7" w:tplc="AE3E050A">
      <w:numFmt w:val="bullet"/>
      <w:lvlText w:val="•"/>
      <w:lvlJc w:val="left"/>
      <w:pPr>
        <w:ind w:left="5566" w:hanging="284"/>
      </w:pPr>
      <w:rPr>
        <w:rFonts w:hint="default"/>
        <w:lang w:val="en-US" w:eastAsia="en-US" w:bidi="ar-SA"/>
      </w:rPr>
    </w:lvl>
    <w:lvl w:ilvl="8" w:tplc="8AF201E6">
      <w:numFmt w:val="bullet"/>
      <w:lvlText w:val="•"/>
      <w:lvlJc w:val="left"/>
      <w:pPr>
        <w:ind w:left="6307" w:hanging="284"/>
      </w:pPr>
      <w:rPr>
        <w:rFonts w:hint="default"/>
        <w:lang w:val="en-US" w:eastAsia="en-US" w:bidi="ar-SA"/>
      </w:rPr>
    </w:lvl>
  </w:abstractNum>
  <w:abstractNum w:abstractNumId="3" w15:restartNumberingAfterBreak="0">
    <w:nsid w:val="10D20A15"/>
    <w:multiLevelType w:val="hybridMultilevel"/>
    <w:tmpl w:val="E0D4C6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66798B"/>
    <w:multiLevelType w:val="multilevel"/>
    <w:tmpl w:val="481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15598"/>
    <w:multiLevelType w:val="hybridMultilevel"/>
    <w:tmpl w:val="BAA6E86E"/>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A4C713B"/>
    <w:multiLevelType w:val="hybridMultilevel"/>
    <w:tmpl w:val="87F8C1E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1485045"/>
    <w:multiLevelType w:val="hybridMultilevel"/>
    <w:tmpl w:val="6A3C0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5B94955"/>
    <w:multiLevelType w:val="hybridMultilevel"/>
    <w:tmpl w:val="0C92C08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7F27380"/>
    <w:multiLevelType w:val="hybridMultilevel"/>
    <w:tmpl w:val="69F8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BA30E90"/>
    <w:multiLevelType w:val="hybridMultilevel"/>
    <w:tmpl w:val="03F29680"/>
    <w:lvl w:ilvl="0" w:tplc="8BDE242C">
      <w:start w:val="1"/>
      <w:numFmt w:val="lowerLetter"/>
      <w:lvlText w:val="%1)"/>
      <w:lvlJc w:val="left"/>
      <w:pPr>
        <w:ind w:left="1080" w:hanging="360"/>
      </w:pPr>
      <w:rPr>
        <w:rFonts w:ascii="Calibri" w:hAnsi="Calibri" w:cs="Calibri" w:hint="default"/>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3CCF2271"/>
    <w:multiLevelType w:val="hybridMultilevel"/>
    <w:tmpl w:val="C6EE5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AE6A9A"/>
    <w:multiLevelType w:val="hybridMultilevel"/>
    <w:tmpl w:val="D0D64858"/>
    <w:lvl w:ilvl="0" w:tplc="0C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3F340076"/>
    <w:multiLevelType w:val="hybridMultilevel"/>
    <w:tmpl w:val="8064D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A834068"/>
    <w:multiLevelType w:val="hybridMultilevel"/>
    <w:tmpl w:val="B6B8625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CF6383D"/>
    <w:multiLevelType w:val="hybridMultilevel"/>
    <w:tmpl w:val="5B9CE68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F7F712E"/>
    <w:multiLevelType w:val="hybridMultilevel"/>
    <w:tmpl w:val="FE3AB878"/>
    <w:lvl w:ilvl="0" w:tplc="6AA6C36E">
      <w:start w:val="1"/>
      <w:numFmt w:val="lowerLetter"/>
      <w:lvlText w:val="%1)"/>
      <w:lvlJc w:val="left"/>
      <w:pPr>
        <w:ind w:left="833" w:hanging="360"/>
      </w:pPr>
      <w:rPr>
        <w:b/>
        <w:bCs/>
      </w:rPr>
    </w:lvl>
    <w:lvl w:ilvl="1" w:tplc="0C090019" w:tentative="1">
      <w:start w:val="1"/>
      <w:numFmt w:val="lowerLetter"/>
      <w:lvlText w:val="%2."/>
      <w:lvlJc w:val="left"/>
      <w:pPr>
        <w:ind w:left="1553" w:hanging="360"/>
      </w:pPr>
    </w:lvl>
    <w:lvl w:ilvl="2" w:tplc="0C09001B" w:tentative="1">
      <w:start w:val="1"/>
      <w:numFmt w:val="lowerRoman"/>
      <w:lvlText w:val="%3."/>
      <w:lvlJc w:val="right"/>
      <w:pPr>
        <w:ind w:left="2273" w:hanging="180"/>
      </w:pPr>
    </w:lvl>
    <w:lvl w:ilvl="3" w:tplc="0C09000F" w:tentative="1">
      <w:start w:val="1"/>
      <w:numFmt w:val="decimal"/>
      <w:lvlText w:val="%4."/>
      <w:lvlJc w:val="left"/>
      <w:pPr>
        <w:ind w:left="2993" w:hanging="360"/>
      </w:pPr>
    </w:lvl>
    <w:lvl w:ilvl="4" w:tplc="0C090019" w:tentative="1">
      <w:start w:val="1"/>
      <w:numFmt w:val="lowerLetter"/>
      <w:lvlText w:val="%5."/>
      <w:lvlJc w:val="left"/>
      <w:pPr>
        <w:ind w:left="3713" w:hanging="360"/>
      </w:pPr>
    </w:lvl>
    <w:lvl w:ilvl="5" w:tplc="0C09001B" w:tentative="1">
      <w:start w:val="1"/>
      <w:numFmt w:val="lowerRoman"/>
      <w:lvlText w:val="%6."/>
      <w:lvlJc w:val="right"/>
      <w:pPr>
        <w:ind w:left="4433" w:hanging="180"/>
      </w:pPr>
    </w:lvl>
    <w:lvl w:ilvl="6" w:tplc="0C09000F" w:tentative="1">
      <w:start w:val="1"/>
      <w:numFmt w:val="decimal"/>
      <w:lvlText w:val="%7."/>
      <w:lvlJc w:val="left"/>
      <w:pPr>
        <w:ind w:left="5153" w:hanging="360"/>
      </w:pPr>
    </w:lvl>
    <w:lvl w:ilvl="7" w:tplc="0C090019" w:tentative="1">
      <w:start w:val="1"/>
      <w:numFmt w:val="lowerLetter"/>
      <w:lvlText w:val="%8."/>
      <w:lvlJc w:val="left"/>
      <w:pPr>
        <w:ind w:left="5873" w:hanging="360"/>
      </w:pPr>
    </w:lvl>
    <w:lvl w:ilvl="8" w:tplc="0C09001B" w:tentative="1">
      <w:start w:val="1"/>
      <w:numFmt w:val="lowerRoman"/>
      <w:lvlText w:val="%9."/>
      <w:lvlJc w:val="right"/>
      <w:pPr>
        <w:ind w:left="6593" w:hanging="180"/>
      </w:pPr>
    </w:lvl>
  </w:abstractNum>
  <w:abstractNum w:abstractNumId="17" w15:restartNumberingAfterBreak="0">
    <w:nsid w:val="501F0890"/>
    <w:multiLevelType w:val="hybridMultilevel"/>
    <w:tmpl w:val="41606E6A"/>
    <w:lvl w:ilvl="0" w:tplc="0C090001">
      <w:start w:val="1"/>
      <w:numFmt w:val="bullet"/>
      <w:lvlText w:val=""/>
      <w:lvlJc w:val="left"/>
      <w:pPr>
        <w:tabs>
          <w:tab w:val="num" w:pos="790"/>
        </w:tabs>
        <w:ind w:left="790" w:hanging="360"/>
      </w:pPr>
      <w:rPr>
        <w:rFonts w:ascii="Symbol" w:hAnsi="Symbol" w:hint="default"/>
      </w:rPr>
    </w:lvl>
    <w:lvl w:ilvl="1" w:tplc="0C090003" w:tentative="1">
      <w:start w:val="1"/>
      <w:numFmt w:val="bullet"/>
      <w:lvlText w:val="o"/>
      <w:lvlJc w:val="left"/>
      <w:pPr>
        <w:tabs>
          <w:tab w:val="num" w:pos="1510"/>
        </w:tabs>
        <w:ind w:left="1510" w:hanging="360"/>
      </w:pPr>
      <w:rPr>
        <w:rFonts w:ascii="Courier New" w:hAnsi="Courier New" w:cs="Courier New" w:hint="default"/>
      </w:rPr>
    </w:lvl>
    <w:lvl w:ilvl="2" w:tplc="0C090005" w:tentative="1">
      <w:start w:val="1"/>
      <w:numFmt w:val="bullet"/>
      <w:lvlText w:val=""/>
      <w:lvlJc w:val="left"/>
      <w:pPr>
        <w:tabs>
          <w:tab w:val="num" w:pos="2230"/>
        </w:tabs>
        <w:ind w:left="2230" w:hanging="360"/>
      </w:pPr>
      <w:rPr>
        <w:rFonts w:ascii="Wingdings" w:hAnsi="Wingdings" w:hint="default"/>
      </w:rPr>
    </w:lvl>
    <w:lvl w:ilvl="3" w:tplc="0C090001" w:tentative="1">
      <w:start w:val="1"/>
      <w:numFmt w:val="bullet"/>
      <w:lvlText w:val=""/>
      <w:lvlJc w:val="left"/>
      <w:pPr>
        <w:tabs>
          <w:tab w:val="num" w:pos="2950"/>
        </w:tabs>
        <w:ind w:left="2950" w:hanging="360"/>
      </w:pPr>
      <w:rPr>
        <w:rFonts w:ascii="Symbol" w:hAnsi="Symbol" w:hint="default"/>
      </w:rPr>
    </w:lvl>
    <w:lvl w:ilvl="4" w:tplc="0C090003" w:tentative="1">
      <w:start w:val="1"/>
      <w:numFmt w:val="bullet"/>
      <w:lvlText w:val="o"/>
      <w:lvlJc w:val="left"/>
      <w:pPr>
        <w:tabs>
          <w:tab w:val="num" w:pos="3670"/>
        </w:tabs>
        <w:ind w:left="3670" w:hanging="360"/>
      </w:pPr>
      <w:rPr>
        <w:rFonts w:ascii="Courier New" w:hAnsi="Courier New" w:cs="Courier New" w:hint="default"/>
      </w:rPr>
    </w:lvl>
    <w:lvl w:ilvl="5" w:tplc="0C090005" w:tentative="1">
      <w:start w:val="1"/>
      <w:numFmt w:val="bullet"/>
      <w:lvlText w:val=""/>
      <w:lvlJc w:val="left"/>
      <w:pPr>
        <w:tabs>
          <w:tab w:val="num" w:pos="4390"/>
        </w:tabs>
        <w:ind w:left="4390" w:hanging="360"/>
      </w:pPr>
      <w:rPr>
        <w:rFonts w:ascii="Wingdings" w:hAnsi="Wingdings" w:hint="default"/>
      </w:rPr>
    </w:lvl>
    <w:lvl w:ilvl="6" w:tplc="0C090001" w:tentative="1">
      <w:start w:val="1"/>
      <w:numFmt w:val="bullet"/>
      <w:lvlText w:val=""/>
      <w:lvlJc w:val="left"/>
      <w:pPr>
        <w:tabs>
          <w:tab w:val="num" w:pos="5110"/>
        </w:tabs>
        <w:ind w:left="5110" w:hanging="360"/>
      </w:pPr>
      <w:rPr>
        <w:rFonts w:ascii="Symbol" w:hAnsi="Symbol" w:hint="default"/>
      </w:rPr>
    </w:lvl>
    <w:lvl w:ilvl="7" w:tplc="0C090003" w:tentative="1">
      <w:start w:val="1"/>
      <w:numFmt w:val="bullet"/>
      <w:lvlText w:val="o"/>
      <w:lvlJc w:val="left"/>
      <w:pPr>
        <w:tabs>
          <w:tab w:val="num" w:pos="5830"/>
        </w:tabs>
        <w:ind w:left="5830" w:hanging="360"/>
      </w:pPr>
      <w:rPr>
        <w:rFonts w:ascii="Courier New" w:hAnsi="Courier New" w:cs="Courier New" w:hint="default"/>
      </w:rPr>
    </w:lvl>
    <w:lvl w:ilvl="8" w:tplc="0C090005" w:tentative="1">
      <w:start w:val="1"/>
      <w:numFmt w:val="bullet"/>
      <w:lvlText w:val=""/>
      <w:lvlJc w:val="left"/>
      <w:pPr>
        <w:tabs>
          <w:tab w:val="num" w:pos="6550"/>
        </w:tabs>
        <w:ind w:left="6550" w:hanging="360"/>
      </w:pPr>
      <w:rPr>
        <w:rFonts w:ascii="Wingdings" w:hAnsi="Wingdings" w:hint="default"/>
      </w:rPr>
    </w:lvl>
  </w:abstractNum>
  <w:abstractNum w:abstractNumId="18" w15:restartNumberingAfterBreak="0">
    <w:nsid w:val="51DB0BE0"/>
    <w:multiLevelType w:val="hybridMultilevel"/>
    <w:tmpl w:val="3B3CC5B4"/>
    <w:lvl w:ilvl="0" w:tplc="2C704788">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934106"/>
    <w:multiLevelType w:val="hybridMultilevel"/>
    <w:tmpl w:val="A476E55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D1B1EE9"/>
    <w:multiLevelType w:val="hybridMultilevel"/>
    <w:tmpl w:val="F5D2144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E41312B"/>
    <w:multiLevelType w:val="multilevel"/>
    <w:tmpl w:val="E044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4F4BCA"/>
    <w:multiLevelType w:val="hybridMultilevel"/>
    <w:tmpl w:val="4104C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0102F5"/>
    <w:multiLevelType w:val="hybridMultilevel"/>
    <w:tmpl w:val="20108A6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5F91792F"/>
    <w:multiLevelType w:val="hybridMultilevel"/>
    <w:tmpl w:val="BAA26C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85C5D4B"/>
    <w:multiLevelType w:val="hybridMultilevel"/>
    <w:tmpl w:val="B5D2E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DF08E5"/>
    <w:multiLevelType w:val="hybridMultilevel"/>
    <w:tmpl w:val="E50CB4F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01A6A7D"/>
    <w:multiLevelType w:val="hybridMultilevel"/>
    <w:tmpl w:val="11E27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D57772"/>
    <w:multiLevelType w:val="hybridMultilevel"/>
    <w:tmpl w:val="B19E83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5645879"/>
    <w:multiLevelType w:val="hybridMultilevel"/>
    <w:tmpl w:val="B9E4E7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D42D6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28587155">
    <w:abstractNumId w:val="11"/>
  </w:num>
  <w:num w:numId="2" w16cid:durableId="1342582091">
    <w:abstractNumId w:val="16"/>
  </w:num>
  <w:num w:numId="3" w16cid:durableId="1414861407">
    <w:abstractNumId w:val="18"/>
  </w:num>
  <w:num w:numId="4" w16cid:durableId="2135362370">
    <w:abstractNumId w:val="2"/>
  </w:num>
  <w:num w:numId="5" w16cid:durableId="644045341">
    <w:abstractNumId w:val="10"/>
  </w:num>
  <w:num w:numId="6" w16cid:durableId="1992170424">
    <w:abstractNumId w:val="17"/>
  </w:num>
  <w:num w:numId="7" w16cid:durableId="4331904">
    <w:abstractNumId w:val="24"/>
  </w:num>
  <w:num w:numId="8" w16cid:durableId="1101871925">
    <w:abstractNumId w:val="5"/>
  </w:num>
  <w:num w:numId="9" w16cid:durableId="1907913574">
    <w:abstractNumId w:val="26"/>
  </w:num>
  <w:num w:numId="10" w16cid:durableId="1894803067">
    <w:abstractNumId w:val="15"/>
  </w:num>
  <w:num w:numId="11" w16cid:durableId="1392265047">
    <w:abstractNumId w:val="6"/>
  </w:num>
  <w:num w:numId="12" w16cid:durableId="636379604">
    <w:abstractNumId w:val="19"/>
  </w:num>
  <w:num w:numId="13" w16cid:durableId="1135099433">
    <w:abstractNumId w:val="30"/>
  </w:num>
  <w:num w:numId="14" w16cid:durableId="1562669181">
    <w:abstractNumId w:val="8"/>
  </w:num>
  <w:num w:numId="15" w16cid:durableId="86122760">
    <w:abstractNumId w:val="20"/>
  </w:num>
  <w:num w:numId="16" w16cid:durableId="1797137047">
    <w:abstractNumId w:val="0"/>
  </w:num>
  <w:num w:numId="17" w16cid:durableId="1060710173">
    <w:abstractNumId w:val="12"/>
  </w:num>
  <w:num w:numId="18" w16cid:durableId="1349059806">
    <w:abstractNumId w:val="25"/>
  </w:num>
  <w:num w:numId="19" w16cid:durableId="1346010602">
    <w:abstractNumId w:val="22"/>
  </w:num>
  <w:num w:numId="20" w16cid:durableId="1285231402">
    <w:abstractNumId w:val="29"/>
  </w:num>
  <w:num w:numId="21" w16cid:durableId="730540854">
    <w:abstractNumId w:val="3"/>
  </w:num>
  <w:num w:numId="22" w16cid:durableId="295374958">
    <w:abstractNumId w:val="1"/>
  </w:num>
  <w:num w:numId="23" w16cid:durableId="1822496951">
    <w:abstractNumId w:val="14"/>
  </w:num>
  <w:num w:numId="24" w16cid:durableId="2120181786">
    <w:abstractNumId w:val="28"/>
  </w:num>
  <w:num w:numId="25" w16cid:durableId="540243054">
    <w:abstractNumId w:val="23"/>
  </w:num>
  <w:num w:numId="26" w16cid:durableId="936986516">
    <w:abstractNumId w:val="13"/>
  </w:num>
  <w:num w:numId="27" w16cid:durableId="872621176">
    <w:abstractNumId w:val="9"/>
  </w:num>
  <w:num w:numId="28" w16cid:durableId="783579730">
    <w:abstractNumId w:val="27"/>
  </w:num>
  <w:num w:numId="29" w16cid:durableId="434059305">
    <w:abstractNumId w:val="7"/>
  </w:num>
  <w:num w:numId="30" w16cid:durableId="1738899052">
    <w:abstractNumId w:val="21"/>
  </w:num>
  <w:num w:numId="31" w16cid:durableId="893737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2D"/>
    <w:rsid w:val="00004C1E"/>
    <w:rsid w:val="0003645F"/>
    <w:rsid w:val="000411EB"/>
    <w:rsid w:val="00063A70"/>
    <w:rsid w:val="00064651"/>
    <w:rsid w:val="00067646"/>
    <w:rsid w:val="00081971"/>
    <w:rsid w:val="00090420"/>
    <w:rsid w:val="00091119"/>
    <w:rsid w:val="000A1157"/>
    <w:rsid w:val="000A1365"/>
    <w:rsid w:val="000C075B"/>
    <w:rsid w:val="000C0DA9"/>
    <w:rsid w:val="000C4350"/>
    <w:rsid w:val="000C7986"/>
    <w:rsid w:val="000E3DC8"/>
    <w:rsid w:val="0012058F"/>
    <w:rsid w:val="00123AF6"/>
    <w:rsid w:val="0013032C"/>
    <w:rsid w:val="0013581C"/>
    <w:rsid w:val="00144408"/>
    <w:rsid w:val="00150BC3"/>
    <w:rsid w:val="001571A9"/>
    <w:rsid w:val="001651BD"/>
    <w:rsid w:val="001C3A9C"/>
    <w:rsid w:val="001C6C7C"/>
    <w:rsid w:val="00205204"/>
    <w:rsid w:val="002122FC"/>
    <w:rsid w:val="00223FDE"/>
    <w:rsid w:val="002447C6"/>
    <w:rsid w:val="00265472"/>
    <w:rsid w:val="0027728D"/>
    <w:rsid w:val="00280E60"/>
    <w:rsid w:val="002A76CE"/>
    <w:rsid w:val="002D1F78"/>
    <w:rsid w:val="002D552A"/>
    <w:rsid w:val="00307AA0"/>
    <w:rsid w:val="00311191"/>
    <w:rsid w:val="00320C47"/>
    <w:rsid w:val="00322E85"/>
    <w:rsid w:val="00340ECC"/>
    <w:rsid w:val="00346373"/>
    <w:rsid w:val="00363F23"/>
    <w:rsid w:val="00364545"/>
    <w:rsid w:val="003826EB"/>
    <w:rsid w:val="00391CAE"/>
    <w:rsid w:val="003A0F7C"/>
    <w:rsid w:val="003B1EC1"/>
    <w:rsid w:val="003C5A89"/>
    <w:rsid w:val="003C6238"/>
    <w:rsid w:val="00412EC1"/>
    <w:rsid w:val="00427318"/>
    <w:rsid w:val="0042781D"/>
    <w:rsid w:val="00441FC0"/>
    <w:rsid w:val="00445BB2"/>
    <w:rsid w:val="0046618B"/>
    <w:rsid w:val="00470C68"/>
    <w:rsid w:val="00476749"/>
    <w:rsid w:val="00486923"/>
    <w:rsid w:val="004B7001"/>
    <w:rsid w:val="004C6516"/>
    <w:rsid w:val="004D6B44"/>
    <w:rsid w:val="004F050A"/>
    <w:rsid w:val="004F20BA"/>
    <w:rsid w:val="00507CE5"/>
    <w:rsid w:val="00515D72"/>
    <w:rsid w:val="005170FF"/>
    <w:rsid w:val="00521335"/>
    <w:rsid w:val="0052548D"/>
    <w:rsid w:val="00525AAA"/>
    <w:rsid w:val="00525F6E"/>
    <w:rsid w:val="00526AA4"/>
    <w:rsid w:val="0053294A"/>
    <w:rsid w:val="00571A9C"/>
    <w:rsid w:val="0059270C"/>
    <w:rsid w:val="00596A4B"/>
    <w:rsid w:val="005A40C1"/>
    <w:rsid w:val="005C2440"/>
    <w:rsid w:val="005D1D17"/>
    <w:rsid w:val="005D3E1A"/>
    <w:rsid w:val="005D4AE6"/>
    <w:rsid w:val="005E1187"/>
    <w:rsid w:val="0062110C"/>
    <w:rsid w:val="00623059"/>
    <w:rsid w:val="00624C5C"/>
    <w:rsid w:val="006A55A0"/>
    <w:rsid w:val="006C3761"/>
    <w:rsid w:val="006E3CE2"/>
    <w:rsid w:val="006E5203"/>
    <w:rsid w:val="006E59AE"/>
    <w:rsid w:val="006F3AD2"/>
    <w:rsid w:val="00716A0D"/>
    <w:rsid w:val="00722927"/>
    <w:rsid w:val="007415DC"/>
    <w:rsid w:val="007545A3"/>
    <w:rsid w:val="00767284"/>
    <w:rsid w:val="0077387F"/>
    <w:rsid w:val="00773943"/>
    <w:rsid w:val="007768C1"/>
    <w:rsid w:val="00784DC4"/>
    <w:rsid w:val="00786782"/>
    <w:rsid w:val="007B3D21"/>
    <w:rsid w:val="007B55E6"/>
    <w:rsid w:val="007C081D"/>
    <w:rsid w:val="007D67F8"/>
    <w:rsid w:val="007E226D"/>
    <w:rsid w:val="007E5268"/>
    <w:rsid w:val="007F6BFC"/>
    <w:rsid w:val="00806657"/>
    <w:rsid w:val="00812639"/>
    <w:rsid w:val="00815E28"/>
    <w:rsid w:val="008226E1"/>
    <w:rsid w:val="008431EB"/>
    <w:rsid w:val="0087681B"/>
    <w:rsid w:val="00887D5E"/>
    <w:rsid w:val="008C3153"/>
    <w:rsid w:val="008E2D9D"/>
    <w:rsid w:val="008E6AED"/>
    <w:rsid w:val="008E6B1C"/>
    <w:rsid w:val="008F417E"/>
    <w:rsid w:val="008F4F54"/>
    <w:rsid w:val="00901487"/>
    <w:rsid w:val="00926238"/>
    <w:rsid w:val="0095425E"/>
    <w:rsid w:val="00962D0E"/>
    <w:rsid w:val="009673F2"/>
    <w:rsid w:val="00970CFD"/>
    <w:rsid w:val="00976DD5"/>
    <w:rsid w:val="0097701F"/>
    <w:rsid w:val="0097785B"/>
    <w:rsid w:val="00980AF1"/>
    <w:rsid w:val="009847EB"/>
    <w:rsid w:val="00992EE6"/>
    <w:rsid w:val="009A2A96"/>
    <w:rsid w:val="009A7A16"/>
    <w:rsid w:val="009C2B9E"/>
    <w:rsid w:val="009C4A0F"/>
    <w:rsid w:val="009D0AD5"/>
    <w:rsid w:val="009D3811"/>
    <w:rsid w:val="00A10013"/>
    <w:rsid w:val="00A24B6B"/>
    <w:rsid w:val="00A37A28"/>
    <w:rsid w:val="00A44A66"/>
    <w:rsid w:val="00A45DF1"/>
    <w:rsid w:val="00A47A9B"/>
    <w:rsid w:val="00A50713"/>
    <w:rsid w:val="00A57085"/>
    <w:rsid w:val="00A84157"/>
    <w:rsid w:val="00A96794"/>
    <w:rsid w:val="00AD09E9"/>
    <w:rsid w:val="00AF206B"/>
    <w:rsid w:val="00AF3FE6"/>
    <w:rsid w:val="00B0270D"/>
    <w:rsid w:val="00B34BF1"/>
    <w:rsid w:val="00B43C8A"/>
    <w:rsid w:val="00B61346"/>
    <w:rsid w:val="00B742C4"/>
    <w:rsid w:val="00B80FDC"/>
    <w:rsid w:val="00B8315F"/>
    <w:rsid w:val="00B9578A"/>
    <w:rsid w:val="00BB4036"/>
    <w:rsid w:val="00BC1EF9"/>
    <w:rsid w:val="00BE60B9"/>
    <w:rsid w:val="00BF0C24"/>
    <w:rsid w:val="00BF42A6"/>
    <w:rsid w:val="00C057EC"/>
    <w:rsid w:val="00C077B0"/>
    <w:rsid w:val="00C07859"/>
    <w:rsid w:val="00C1084A"/>
    <w:rsid w:val="00C237C6"/>
    <w:rsid w:val="00C26A4F"/>
    <w:rsid w:val="00C4082D"/>
    <w:rsid w:val="00C56A3B"/>
    <w:rsid w:val="00C7295F"/>
    <w:rsid w:val="00C830F9"/>
    <w:rsid w:val="00CA43C3"/>
    <w:rsid w:val="00CD080A"/>
    <w:rsid w:val="00CD3AC9"/>
    <w:rsid w:val="00CE189C"/>
    <w:rsid w:val="00CF3AD7"/>
    <w:rsid w:val="00CF67E0"/>
    <w:rsid w:val="00D05550"/>
    <w:rsid w:val="00D43F62"/>
    <w:rsid w:val="00D54CA2"/>
    <w:rsid w:val="00D77330"/>
    <w:rsid w:val="00D84F5D"/>
    <w:rsid w:val="00DA48FB"/>
    <w:rsid w:val="00DC1668"/>
    <w:rsid w:val="00DD7EE9"/>
    <w:rsid w:val="00DE13B0"/>
    <w:rsid w:val="00DE4E7D"/>
    <w:rsid w:val="00DE4F14"/>
    <w:rsid w:val="00DF74E2"/>
    <w:rsid w:val="00E10046"/>
    <w:rsid w:val="00E11129"/>
    <w:rsid w:val="00E14040"/>
    <w:rsid w:val="00E1671F"/>
    <w:rsid w:val="00E17774"/>
    <w:rsid w:val="00E30154"/>
    <w:rsid w:val="00E458B1"/>
    <w:rsid w:val="00E74DD4"/>
    <w:rsid w:val="00E835E6"/>
    <w:rsid w:val="00E83CA3"/>
    <w:rsid w:val="00E8561A"/>
    <w:rsid w:val="00E924FF"/>
    <w:rsid w:val="00EA3CB0"/>
    <w:rsid w:val="00EA5629"/>
    <w:rsid w:val="00EC03B3"/>
    <w:rsid w:val="00EC495A"/>
    <w:rsid w:val="00EC753B"/>
    <w:rsid w:val="00EE4701"/>
    <w:rsid w:val="00EE61DB"/>
    <w:rsid w:val="00EF3CF1"/>
    <w:rsid w:val="00F04D6B"/>
    <w:rsid w:val="00F165AE"/>
    <w:rsid w:val="00F1662B"/>
    <w:rsid w:val="00F20DC0"/>
    <w:rsid w:val="00F2403B"/>
    <w:rsid w:val="00F26654"/>
    <w:rsid w:val="00F352F2"/>
    <w:rsid w:val="00F538EE"/>
    <w:rsid w:val="00F65A7F"/>
    <w:rsid w:val="00F9671F"/>
    <w:rsid w:val="00FA252D"/>
    <w:rsid w:val="00FA7B43"/>
    <w:rsid w:val="00FB53F4"/>
    <w:rsid w:val="00FD4F18"/>
  </w:rsids>
  <m:mathPr>
    <m:mathFont m:val="Cambria Math"/>
    <m:brkBin m:val="before"/>
    <m:brkBinSub m:val="--"/>
    <m:smallFrac m:val="0"/>
    <m:dispDef/>
    <m:lMargin m:val="0"/>
    <m:rMargin m:val="0"/>
    <m:defJc m:val="centerGroup"/>
    <m:wrapIndent m:val="1440"/>
    <m:intLim m:val="subSup"/>
    <m:naryLim m:val="undOvr"/>
  </m:mathPr>
  <w:themeFontLang w:val="en-AU"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792DB"/>
  <w15:chartTrackingRefBased/>
  <w15:docId w15:val="{1851661D-E433-46E1-8A4F-49F65AD8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0C1"/>
  </w:style>
  <w:style w:type="paragraph" w:styleId="Heading1">
    <w:name w:val="heading 1"/>
    <w:basedOn w:val="Normal"/>
    <w:next w:val="Normal"/>
    <w:link w:val="Heading1Char"/>
    <w:uiPriority w:val="9"/>
    <w:qFormat/>
    <w:rsid w:val="00FA2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2D"/>
    <w:rPr>
      <w:rFonts w:eastAsiaTheme="majorEastAsia" w:cstheme="majorBidi"/>
      <w:color w:val="272727" w:themeColor="text1" w:themeTint="D8"/>
    </w:rPr>
  </w:style>
  <w:style w:type="paragraph" w:styleId="Title">
    <w:name w:val="Title"/>
    <w:basedOn w:val="Normal"/>
    <w:next w:val="Normal"/>
    <w:link w:val="TitleChar"/>
    <w:uiPriority w:val="10"/>
    <w:qFormat/>
    <w:rsid w:val="00FA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2D"/>
    <w:pPr>
      <w:spacing w:before="160"/>
      <w:jc w:val="center"/>
    </w:pPr>
    <w:rPr>
      <w:i/>
      <w:iCs/>
      <w:color w:val="404040" w:themeColor="text1" w:themeTint="BF"/>
    </w:rPr>
  </w:style>
  <w:style w:type="character" w:customStyle="1" w:styleId="QuoteChar">
    <w:name w:val="Quote Char"/>
    <w:basedOn w:val="DefaultParagraphFont"/>
    <w:link w:val="Quote"/>
    <w:uiPriority w:val="29"/>
    <w:rsid w:val="00FA252D"/>
    <w:rPr>
      <w:i/>
      <w:iCs/>
      <w:color w:val="404040" w:themeColor="text1" w:themeTint="BF"/>
    </w:rPr>
  </w:style>
  <w:style w:type="paragraph" w:styleId="ListParagraph">
    <w:name w:val="List Paragraph"/>
    <w:basedOn w:val="Normal"/>
    <w:uiPriority w:val="1"/>
    <w:qFormat/>
    <w:rsid w:val="00FA252D"/>
    <w:pPr>
      <w:ind w:left="720"/>
      <w:contextualSpacing/>
    </w:pPr>
  </w:style>
  <w:style w:type="character" w:styleId="IntenseEmphasis">
    <w:name w:val="Intense Emphasis"/>
    <w:basedOn w:val="DefaultParagraphFont"/>
    <w:uiPriority w:val="21"/>
    <w:qFormat/>
    <w:rsid w:val="00FA252D"/>
    <w:rPr>
      <w:i/>
      <w:iCs/>
      <w:color w:val="0F4761" w:themeColor="accent1" w:themeShade="BF"/>
    </w:rPr>
  </w:style>
  <w:style w:type="paragraph" w:styleId="IntenseQuote">
    <w:name w:val="Intense Quote"/>
    <w:basedOn w:val="Normal"/>
    <w:next w:val="Normal"/>
    <w:link w:val="IntenseQuoteChar"/>
    <w:uiPriority w:val="30"/>
    <w:qFormat/>
    <w:rsid w:val="00FA2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2D"/>
    <w:rPr>
      <w:i/>
      <w:iCs/>
      <w:color w:val="0F4761" w:themeColor="accent1" w:themeShade="BF"/>
    </w:rPr>
  </w:style>
  <w:style w:type="character" w:styleId="IntenseReference">
    <w:name w:val="Intense Reference"/>
    <w:basedOn w:val="DefaultParagraphFont"/>
    <w:uiPriority w:val="32"/>
    <w:qFormat/>
    <w:rsid w:val="00FA252D"/>
    <w:rPr>
      <w:b/>
      <w:bCs/>
      <w:smallCaps/>
      <w:color w:val="0F4761" w:themeColor="accent1" w:themeShade="BF"/>
      <w:spacing w:val="5"/>
    </w:rPr>
  </w:style>
  <w:style w:type="paragraph" w:styleId="Header">
    <w:name w:val="header"/>
    <w:basedOn w:val="Normal"/>
    <w:link w:val="HeaderChar"/>
    <w:uiPriority w:val="99"/>
    <w:unhideWhenUsed/>
    <w:rsid w:val="00FA2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52D"/>
  </w:style>
  <w:style w:type="paragraph" w:styleId="Footer">
    <w:name w:val="footer"/>
    <w:basedOn w:val="Normal"/>
    <w:link w:val="FooterChar"/>
    <w:uiPriority w:val="99"/>
    <w:unhideWhenUsed/>
    <w:rsid w:val="00FA2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52D"/>
  </w:style>
  <w:style w:type="table" w:styleId="TableGrid">
    <w:name w:val="Table Grid"/>
    <w:basedOn w:val="TableNormal"/>
    <w:uiPriority w:val="59"/>
    <w:rsid w:val="00FA2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A252D"/>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Hyperlink">
    <w:name w:val="Hyperlink"/>
    <w:basedOn w:val="DefaultParagraphFont"/>
    <w:uiPriority w:val="99"/>
    <w:unhideWhenUsed/>
    <w:rsid w:val="00FA252D"/>
    <w:rPr>
      <w:color w:val="467886" w:themeColor="hyperlink"/>
      <w:u w:val="single"/>
    </w:rPr>
  </w:style>
  <w:style w:type="character" w:styleId="UnresolvedMention">
    <w:name w:val="Unresolved Mention"/>
    <w:basedOn w:val="DefaultParagraphFont"/>
    <w:uiPriority w:val="99"/>
    <w:semiHidden/>
    <w:unhideWhenUsed/>
    <w:rsid w:val="00FA252D"/>
    <w:rPr>
      <w:color w:val="605E5C"/>
      <w:shd w:val="clear" w:color="auto" w:fill="E1DFDD"/>
    </w:rPr>
  </w:style>
  <w:style w:type="paragraph" w:styleId="BodyText">
    <w:name w:val="Body Text"/>
    <w:basedOn w:val="Normal"/>
    <w:link w:val="BodyTextChar"/>
    <w:uiPriority w:val="1"/>
    <w:qFormat/>
    <w:rsid w:val="00FA252D"/>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FA252D"/>
    <w:rPr>
      <w:rFonts w:ascii="Calibri" w:eastAsia="Calibri" w:hAnsi="Calibri" w:cs="Calibri"/>
      <w:kern w:val="0"/>
      <w:lang w:val="en-US"/>
      <w14:ligatures w14:val="none"/>
    </w:rPr>
  </w:style>
  <w:style w:type="paragraph" w:styleId="NormalWeb">
    <w:name w:val="Normal (Web)"/>
    <w:basedOn w:val="Normal"/>
    <w:uiPriority w:val="99"/>
    <w:unhideWhenUsed/>
    <w:rsid w:val="00571A9C"/>
    <w:rPr>
      <w:rFonts w:ascii="Times New Roman" w:hAnsi="Times New Roman" w:cs="Times New Roman"/>
    </w:rPr>
  </w:style>
  <w:style w:type="character" w:styleId="PlaceholderText">
    <w:name w:val="Placeholder Text"/>
    <w:basedOn w:val="DefaultParagraphFont"/>
    <w:uiPriority w:val="99"/>
    <w:semiHidden/>
    <w:rsid w:val="006C3761"/>
    <w:rPr>
      <w:color w:val="808080"/>
    </w:rPr>
  </w:style>
  <w:style w:type="paragraph" w:customStyle="1" w:styleId="Default">
    <w:name w:val="Default"/>
    <w:rsid w:val="00AF206B"/>
    <w:pPr>
      <w:autoSpaceDE w:val="0"/>
      <w:autoSpaceDN w:val="0"/>
      <w:adjustRightInd w:val="0"/>
      <w:spacing w:after="0" w:line="240" w:lineRule="auto"/>
    </w:pPr>
    <w:rPr>
      <w:rFonts w:ascii="Calibri" w:hAnsi="Calibri" w:cs="Calibri"/>
      <w:color w:val="000000"/>
      <w:kern w:val="0"/>
      <w14:ligatures w14:val="none"/>
    </w:rPr>
  </w:style>
  <w:style w:type="paragraph" w:styleId="BodyText2">
    <w:name w:val="Body Text 2"/>
    <w:basedOn w:val="Normal"/>
    <w:link w:val="BodyText2Char"/>
    <w:uiPriority w:val="99"/>
    <w:unhideWhenUsed/>
    <w:rsid w:val="00521335"/>
    <w:pPr>
      <w:spacing w:after="120" w:line="480" w:lineRule="auto"/>
    </w:pPr>
  </w:style>
  <w:style w:type="character" w:customStyle="1" w:styleId="BodyText2Char">
    <w:name w:val="Body Text 2 Char"/>
    <w:basedOn w:val="DefaultParagraphFont"/>
    <w:link w:val="BodyText2"/>
    <w:uiPriority w:val="99"/>
    <w:rsid w:val="00521335"/>
  </w:style>
  <w:style w:type="character" w:styleId="CommentReference">
    <w:name w:val="annotation reference"/>
    <w:basedOn w:val="DefaultParagraphFont"/>
    <w:uiPriority w:val="99"/>
    <w:semiHidden/>
    <w:unhideWhenUsed/>
    <w:rsid w:val="00521335"/>
    <w:rPr>
      <w:sz w:val="16"/>
      <w:szCs w:val="16"/>
    </w:rPr>
  </w:style>
  <w:style w:type="paragraph" w:styleId="CommentText">
    <w:name w:val="annotation text"/>
    <w:basedOn w:val="Normal"/>
    <w:link w:val="CommentTextChar"/>
    <w:uiPriority w:val="99"/>
    <w:unhideWhenUsed/>
    <w:rsid w:val="00521335"/>
    <w:pPr>
      <w:spacing w:line="240" w:lineRule="auto"/>
    </w:pPr>
    <w:rPr>
      <w:sz w:val="20"/>
      <w:szCs w:val="20"/>
    </w:rPr>
  </w:style>
  <w:style w:type="character" w:customStyle="1" w:styleId="CommentTextChar">
    <w:name w:val="Comment Text Char"/>
    <w:basedOn w:val="DefaultParagraphFont"/>
    <w:link w:val="CommentText"/>
    <w:uiPriority w:val="99"/>
    <w:rsid w:val="00521335"/>
    <w:rPr>
      <w:sz w:val="20"/>
      <w:szCs w:val="20"/>
    </w:rPr>
  </w:style>
  <w:style w:type="paragraph" w:styleId="CommentSubject">
    <w:name w:val="annotation subject"/>
    <w:basedOn w:val="CommentText"/>
    <w:next w:val="CommentText"/>
    <w:link w:val="CommentSubjectChar"/>
    <w:uiPriority w:val="99"/>
    <w:semiHidden/>
    <w:unhideWhenUsed/>
    <w:rsid w:val="00521335"/>
    <w:rPr>
      <w:b/>
      <w:bCs/>
    </w:rPr>
  </w:style>
  <w:style w:type="character" w:customStyle="1" w:styleId="CommentSubjectChar">
    <w:name w:val="Comment Subject Char"/>
    <w:basedOn w:val="CommentTextChar"/>
    <w:link w:val="CommentSubject"/>
    <w:uiPriority w:val="99"/>
    <w:semiHidden/>
    <w:rsid w:val="00521335"/>
    <w:rPr>
      <w:b/>
      <w:bCs/>
      <w:sz w:val="20"/>
      <w:szCs w:val="20"/>
    </w:rPr>
  </w:style>
  <w:style w:type="paragraph" w:styleId="TOCHeading">
    <w:name w:val="TOC Heading"/>
    <w:basedOn w:val="Heading1"/>
    <w:next w:val="Normal"/>
    <w:uiPriority w:val="39"/>
    <w:unhideWhenUsed/>
    <w:qFormat/>
    <w:rsid w:val="00D0555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05550"/>
    <w:pPr>
      <w:spacing w:after="100"/>
    </w:pPr>
    <w:rPr>
      <w:lang w:val="en-IN"/>
    </w:rPr>
  </w:style>
  <w:style w:type="paragraph" w:styleId="TOC2">
    <w:name w:val="toc 2"/>
    <w:basedOn w:val="Normal"/>
    <w:next w:val="Normal"/>
    <w:autoRedefine/>
    <w:uiPriority w:val="39"/>
    <w:unhideWhenUsed/>
    <w:rsid w:val="00D05550"/>
    <w:pPr>
      <w:spacing w:after="100"/>
      <w:ind w:left="240"/>
    </w:pPr>
    <w:rPr>
      <w:lang w:val="en-IN"/>
    </w:rPr>
  </w:style>
  <w:style w:type="paragraph" w:styleId="Caption">
    <w:name w:val="caption"/>
    <w:basedOn w:val="Normal"/>
    <w:next w:val="Normal"/>
    <w:uiPriority w:val="35"/>
    <w:unhideWhenUsed/>
    <w:qFormat/>
    <w:rsid w:val="00B8315F"/>
    <w:pPr>
      <w:spacing w:after="200" w:line="240" w:lineRule="auto"/>
    </w:pPr>
    <w:rPr>
      <w:i/>
      <w:iCs/>
      <w:color w:val="0E2841" w:themeColor="text2"/>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3574">
      <w:bodyDiv w:val="1"/>
      <w:marLeft w:val="0"/>
      <w:marRight w:val="0"/>
      <w:marTop w:val="0"/>
      <w:marBottom w:val="0"/>
      <w:divBdr>
        <w:top w:val="none" w:sz="0" w:space="0" w:color="auto"/>
        <w:left w:val="none" w:sz="0" w:space="0" w:color="auto"/>
        <w:bottom w:val="none" w:sz="0" w:space="0" w:color="auto"/>
        <w:right w:val="none" w:sz="0" w:space="0" w:color="auto"/>
      </w:divBdr>
    </w:div>
    <w:div w:id="287396933">
      <w:bodyDiv w:val="1"/>
      <w:marLeft w:val="0"/>
      <w:marRight w:val="0"/>
      <w:marTop w:val="0"/>
      <w:marBottom w:val="0"/>
      <w:divBdr>
        <w:top w:val="none" w:sz="0" w:space="0" w:color="auto"/>
        <w:left w:val="none" w:sz="0" w:space="0" w:color="auto"/>
        <w:bottom w:val="none" w:sz="0" w:space="0" w:color="auto"/>
        <w:right w:val="none" w:sz="0" w:space="0" w:color="auto"/>
      </w:divBdr>
    </w:div>
    <w:div w:id="357514729">
      <w:bodyDiv w:val="1"/>
      <w:marLeft w:val="0"/>
      <w:marRight w:val="0"/>
      <w:marTop w:val="0"/>
      <w:marBottom w:val="0"/>
      <w:divBdr>
        <w:top w:val="none" w:sz="0" w:space="0" w:color="auto"/>
        <w:left w:val="none" w:sz="0" w:space="0" w:color="auto"/>
        <w:bottom w:val="none" w:sz="0" w:space="0" w:color="auto"/>
        <w:right w:val="none" w:sz="0" w:space="0" w:color="auto"/>
      </w:divBdr>
    </w:div>
    <w:div w:id="381368214">
      <w:bodyDiv w:val="1"/>
      <w:marLeft w:val="0"/>
      <w:marRight w:val="0"/>
      <w:marTop w:val="0"/>
      <w:marBottom w:val="0"/>
      <w:divBdr>
        <w:top w:val="none" w:sz="0" w:space="0" w:color="auto"/>
        <w:left w:val="none" w:sz="0" w:space="0" w:color="auto"/>
        <w:bottom w:val="none" w:sz="0" w:space="0" w:color="auto"/>
        <w:right w:val="none" w:sz="0" w:space="0" w:color="auto"/>
      </w:divBdr>
    </w:div>
    <w:div w:id="396976853">
      <w:bodyDiv w:val="1"/>
      <w:marLeft w:val="0"/>
      <w:marRight w:val="0"/>
      <w:marTop w:val="0"/>
      <w:marBottom w:val="0"/>
      <w:divBdr>
        <w:top w:val="none" w:sz="0" w:space="0" w:color="auto"/>
        <w:left w:val="none" w:sz="0" w:space="0" w:color="auto"/>
        <w:bottom w:val="none" w:sz="0" w:space="0" w:color="auto"/>
        <w:right w:val="none" w:sz="0" w:space="0" w:color="auto"/>
      </w:divBdr>
    </w:div>
    <w:div w:id="456800991">
      <w:bodyDiv w:val="1"/>
      <w:marLeft w:val="0"/>
      <w:marRight w:val="0"/>
      <w:marTop w:val="0"/>
      <w:marBottom w:val="0"/>
      <w:divBdr>
        <w:top w:val="none" w:sz="0" w:space="0" w:color="auto"/>
        <w:left w:val="none" w:sz="0" w:space="0" w:color="auto"/>
        <w:bottom w:val="none" w:sz="0" w:space="0" w:color="auto"/>
        <w:right w:val="none" w:sz="0" w:space="0" w:color="auto"/>
      </w:divBdr>
    </w:div>
    <w:div w:id="471483592">
      <w:bodyDiv w:val="1"/>
      <w:marLeft w:val="0"/>
      <w:marRight w:val="0"/>
      <w:marTop w:val="0"/>
      <w:marBottom w:val="0"/>
      <w:divBdr>
        <w:top w:val="none" w:sz="0" w:space="0" w:color="auto"/>
        <w:left w:val="none" w:sz="0" w:space="0" w:color="auto"/>
        <w:bottom w:val="none" w:sz="0" w:space="0" w:color="auto"/>
        <w:right w:val="none" w:sz="0" w:space="0" w:color="auto"/>
      </w:divBdr>
    </w:div>
    <w:div w:id="475952114">
      <w:bodyDiv w:val="1"/>
      <w:marLeft w:val="0"/>
      <w:marRight w:val="0"/>
      <w:marTop w:val="0"/>
      <w:marBottom w:val="0"/>
      <w:divBdr>
        <w:top w:val="none" w:sz="0" w:space="0" w:color="auto"/>
        <w:left w:val="none" w:sz="0" w:space="0" w:color="auto"/>
        <w:bottom w:val="none" w:sz="0" w:space="0" w:color="auto"/>
        <w:right w:val="none" w:sz="0" w:space="0" w:color="auto"/>
      </w:divBdr>
    </w:div>
    <w:div w:id="558201626">
      <w:bodyDiv w:val="1"/>
      <w:marLeft w:val="0"/>
      <w:marRight w:val="0"/>
      <w:marTop w:val="0"/>
      <w:marBottom w:val="0"/>
      <w:divBdr>
        <w:top w:val="none" w:sz="0" w:space="0" w:color="auto"/>
        <w:left w:val="none" w:sz="0" w:space="0" w:color="auto"/>
        <w:bottom w:val="none" w:sz="0" w:space="0" w:color="auto"/>
        <w:right w:val="none" w:sz="0" w:space="0" w:color="auto"/>
      </w:divBdr>
    </w:div>
    <w:div w:id="579750880">
      <w:bodyDiv w:val="1"/>
      <w:marLeft w:val="0"/>
      <w:marRight w:val="0"/>
      <w:marTop w:val="0"/>
      <w:marBottom w:val="0"/>
      <w:divBdr>
        <w:top w:val="none" w:sz="0" w:space="0" w:color="auto"/>
        <w:left w:val="none" w:sz="0" w:space="0" w:color="auto"/>
        <w:bottom w:val="none" w:sz="0" w:space="0" w:color="auto"/>
        <w:right w:val="none" w:sz="0" w:space="0" w:color="auto"/>
      </w:divBdr>
    </w:div>
    <w:div w:id="628317133">
      <w:bodyDiv w:val="1"/>
      <w:marLeft w:val="0"/>
      <w:marRight w:val="0"/>
      <w:marTop w:val="0"/>
      <w:marBottom w:val="0"/>
      <w:divBdr>
        <w:top w:val="none" w:sz="0" w:space="0" w:color="auto"/>
        <w:left w:val="none" w:sz="0" w:space="0" w:color="auto"/>
        <w:bottom w:val="none" w:sz="0" w:space="0" w:color="auto"/>
        <w:right w:val="none" w:sz="0" w:space="0" w:color="auto"/>
      </w:divBdr>
    </w:div>
    <w:div w:id="726564537">
      <w:bodyDiv w:val="1"/>
      <w:marLeft w:val="0"/>
      <w:marRight w:val="0"/>
      <w:marTop w:val="0"/>
      <w:marBottom w:val="0"/>
      <w:divBdr>
        <w:top w:val="none" w:sz="0" w:space="0" w:color="auto"/>
        <w:left w:val="none" w:sz="0" w:space="0" w:color="auto"/>
        <w:bottom w:val="none" w:sz="0" w:space="0" w:color="auto"/>
        <w:right w:val="none" w:sz="0" w:space="0" w:color="auto"/>
      </w:divBdr>
    </w:div>
    <w:div w:id="782459938">
      <w:bodyDiv w:val="1"/>
      <w:marLeft w:val="0"/>
      <w:marRight w:val="0"/>
      <w:marTop w:val="0"/>
      <w:marBottom w:val="0"/>
      <w:divBdr>
        <w:top w:val="none" w:sz="0" w:space="0" w:color="auto"/>
        <w:left w:val="none" w:sz="0" w:space="0" w:color="auto"/>
        <w:bottom w:val="none" w:sz="0" w:space="0" w:color="auto"/>
        <w:right w:val="none" w:sz="0" w:space="0" w:color="auto"/>
      </w:divBdr>
    </w:div>
    <w:div w:id="836918538">
      <w:bodyDiv w:val="1"/>
      <w:marLeft w:val="0"/>
      <w:marRight w:val="0"/>
      <w:marTop w:val="0"/>
      <w:marBottom w:val="0"/>
      <w:divBdr>
        <w:top w:val="none" w:sz="0" w:space="0" w:color="auto"/>
        <w:left w:val="none" w:sz="0" w:space="0" w:color="auto"/>
        <w:bottom w:val="none" w:sz="0" w:space="0" w:color="auto"/>
        <w:right w:val="none" w:sz="0" w:space="0" w:color="auto"/>
      </w:divBdr>
    </w:div>
    <w:div w:id="878856998">
      <w:bodyDiv w:val="1"/>
      <w:marLeft w:val="0"/>
      <w:marRight w:val="0"/>
      <w:marTop w:val="0"/>
      <w:marBottom w:val="0"/>
      <w:divBdr>
        <w:top w:val="none" w:sz="0" w:space="0" w:color="auto"/>
        <w:left w:val="none" w:sz="0" w:space="0" w:color="auto"/>
        <w:bottom w:val="none" w:sz="0" w:space="0" w:color="auto"/>
        <w:right w:val="none" w:sz="0" w:space="0" w:color="auto"/>
      </w:divBdr>
    </w:div>
    <w:div w:id="883181218">
      <w:bodyDiv w:val="1"/>
      <w:marLeft w:val="0"/>
      <w:marRight w:val="0"/>
      <w:marTop w:val="0"/>
      <w:marBottom w:val="0"/>
      <w:divBdr>
        <w:top w:val="none" w:sz="0" w:space="0" w:color="auto"/>
        <w:left w:val="none" w:sz="0" w:space="0" w:color="auto"/>
        <w:bottom w:val="none" w:sz="0" w:space="0" w:color="auto"/>
        <w:right w:val="none" w:sz="0" w:space="0" w:color="auto"/>
      </w:divBdr>
    </w:div>
    <w:div w:id="898514380">
      <w:bodyDiv w:val="1"/>
      <w:marLeft w:val="0"/>
      <w:marRight w:val="0"/>
      <w:marTop w:val="0"/>
      <w:marBottom w:val="0"/>
      <w:divBdr>
        <w:top w:val="none" w:sz="0" w:space="0" w:color="auto"/>
        <w:left w:val="none" w:sz="0" w:space="0" w:color="auto"/>
        <w:bottom w:val="none" w:sz="0" w:space="0" w:color="auto"/>
        <w:right w:val="none" w:sz="0" w:space="0" w:color="auto"/>
      </w:divBdr>
    </w:div>
    <w:div w:id="1053850271">
      <w:bodyDiv w:val="1"/>
      <w:marLeft w:val="0"/>
      <w:marRight w:val="0"/>
      <w:marTop w:val="0"/>
      <w:marBottom w:val="0"/>
      <w:divBdr>
        <w:top w:val="none" w:sz="0" w:space="0" w:color="auto"/>
        <w:left w:val="none" w:sz="0" w:space="0" w:color="auto"/>
        <w:bottom w:val="none" w:sz="0" w:space="0" w:color="auto"/>
        <w:right w:val="none" w:sz="0" w:space="0" w:color="auto"/>
      </w:divBdr>
    </w:div>
    <w:div w:id="1152984311">
      <w:bodyDiv w:val="1"/>
      <w:marLeft w:val="0"/>
      <w:marRight w:val="0"/>
      <w:marTop w:val="0"/>
      <w:marBottom w:val="0"/>
      <w:divBdr>
        <w:top w:val="none" w:sz="0" w:space="0" w:color="auto"/>
        <w:left w:val="none" w:sz="0" w:space="0" w:color="auto"/>
        <w:bottom w:val="none" w:sz="0" w:space="0" w:color="auto"/>
        <w:right w:val="none" w:sz="0" w:space="0" w:color="auto"/>
      </w:divBdr>
    </w:div>
    <w:div w:id="1195966918">
      <w:bodyDiv w:val="1"/>
      <w:marLeft w:val="0"/>
      <w:marRight w:val="0"/>
      <w:marTop w:val="0"/>
      <w:marBottom w:val="0"/>
      <w:divBdr>
        <w:top w:val="none" w:sz="0" w:space="0" w:color="auto"/>
        <w:left w:val="none" w:sz="0" w:space="0" w:color="auto"/>
        <w:bottom w:val="none" w:sz="0" w:space="0" w:color="auto"/>
        <w:right w:val="none" w:sz="0" w:space="0" w:color="auto"/>
      </w:divBdr>
    </w:div>
    <w:div w:id="1331719004">
      <w:bodyDiv w:val="1"/>
      <w:marLeft w:val="0"/>
      <w:marRight w:val="0"/>
      <w:marTop w:val="0"/>
      <w:marBottom w:val="0"/>
      <w:divBdr>
        <w:top w:val="none" w:sz="0" w:space="0" w:color="auto"/>
        <w:left w:val="none" w:sz="0" w:space="0" w:color="auto"/>
        <w:bottom w:val="none" w:sz="0" w:space="0" w:color="auto"/>
        <w:right w:val="none" w:sz="0" w:space="0" w:color="auto"/>
      </w:divBdr>
    </w:div>
    <w:div w:id="1391732591">
      <w:bodyDiv w:val="1"/>
      <w:marLeft w:val="0"/>
      <w:marRight w:val="0"/>
      <w:marTop w:val="0"/>
      <w:marBottom w:val="0"/>
      <w:divBdr>
        <w:top w:val="none" w:sz="0" w:space="0" w:color="auto"/>
        <w:left w:val="none" w:sz="0" w:space="0" w:color="auto"/>
        <w:bottom w:val="none" w:sz="0" w:space="0" w:color="auto"/>
        <w:right w:val="none" w:sz="0" w:space="0" w:color="auto"/>
      </w:divBdr>
    </w:div>
    <w:div w:id="1642231517">
      <w:bodyDiv w:val="1"/>
      <w:marLeft w:val="0"/>
      <w:marRight w:val="0"/>
      <w:marTop w:val="0"/>
      <w:marBottom w:val="0"/>
      <w:divBdr>
        <w:top w:val="none" w:sz="0" w:space="0" w:color="auto"/>
        <w:left w:val="none" w:sz="0" w:space="0" w:color="auto"/>
        <w:bottom w:val="none" w:sz="0" w:space="0" w:color="auto"/>
        <w:right w:val="none" w:sz="0" w:space="0" w:color="auto"/>
      </w:divBdr>
    </w:div>
    <w:div w:id="1645309444">
      <w:bodyDiv w:val="1"/>
      <w:marLeft w:val="0"/>
      <w:marRight w:val="0"/>
      <w:marTop w:val="0"/>
      <w:marBottom w:val="0"/>
      <w:divBdr>
        <w:top w:val="none" w:sz="0" w:space="0" w:color="auto"/>
        <w:left w:val="none" w:sz="0" w:space="0" w:color="auto"/>
        <w:bottom w:val="none" w:sz="0" w:space="0" w:color="auto"/>
        <w:right w:val="none" w:sz="0" w:space="0" w:color="auto"/>
      </w:divBdr>
    </w:div>
    <w:div w:id="1665545349">
      <w:bodyDiv w:val="1"/>
      <w:marLeft w:val="0"/>
      <w:marRight w:val="0"/>
      <w:marTop w:val="0"/>
      <w:marBottom w:val="0"/>
      <w:divBdr>
        <w:top w:val="none" w:sz="0" w:space="0" w:color="auto"/>
        <w:left w:val="none" w:sz="0" w:space="0" w:color="auto"/>
        <w:bottom w:val="none" w:sz="0" w:space="0" w:color="auto"/>
        <w:right w:val="none" w:sz="0" w:space="0" w:color="auto"/>
      </w:divBdr>
    </w:div>
    <w:div w:id="1853688172">
      <w:bodyDiv w:val="1"/>
      <w:marLeft w:val="0"/>
      <w:marRight w:val="0"/>
      <w:marTop w:val="0"/>
      <w:marBottom w:val="0"/>
      <w:divBdr>
        <w:top w:val="none" w:sz="0" w:space="0" w:color="auto"/>
        <w:left w:val="none" w:sz="0" w:space="0" w:color="auto"/>
        <w:bottom w:val="none" w:sz="0" w:space="0" w:color="auto"/>
        <w:right w:val="none" w:sz="0" w:space="0" w:color="auto"/>
      </w:divBdr>
    </w:div>
    <w:div w:id="1937253137">
      <w:bodyDiv w:val="1"/>
      <w:marLeft w:val="0"/>
      <w:marRight w:val="0"/>
      <w:marTop w:val="0"/>
      <w:marBottom w:val="0"/>
      <w:divBdr>
        <w:top w:val="none" w:sz="0" w:space="0" w:color="auto"/>
        <w:left w:val="none" w:sz="0" w:space="0" w:color="auto"/>
        <w:bottom w:val="none" w:sz="0" w:space="0" w:color="auto"/>
        <w:right w:val="none" w:sz="0" w:space="0" w:color="auto"/>
      </w:divBdr>
    </w:div>
    <w:div w:id="199139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github.com/aravindduggani1/mda512-churn-prediction" TargetMode="External"/><Relationship Id="rId13" Type="http://schemas.openxmlformats.org/officeDocument/2006/relationships/image" Target="media/image5.png"/><Relationship Id="rId18" Type="http://schemas.openxmlformats.org/officeDocument/2006/relationships/hyperlink" Target="https://www.cdr.gov.a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apra.gov.a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datasets/shrutimechlearn/churn-modell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aravindduggani1/mda512-churn-prediction" TargetMode="External"/><Relationship Id="rId10" Type="http://schemas.openxmlformats.org/officeDocument/2006/relationships/image" Target="media/image2.png"/><Relationship Id="rId19" Type="http://schemas.openxmlformats.org/officeDocument/2006/relationships/hyperlink" Target="https://github.com/aravindduggani1/mda512-churn-predic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researchgate.net/publication/36891180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125958-E70A-41F9-A96F-BA426E6F2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3826</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Wallace</dc:creator>
  <cp:keywords/>
  <dc:description/>
  <cp:lastModifiedBy>Rohan Thapa</cp:lastModifiedBy>
  <cp:revision>5</cp:revision>
  <dcterms:created xsi:type="dcterms:W3CDTF">2026-05-21T09:34:00Z</dcterms:created>
  <dcterms:modified xsi:type="dcterms:W3CDTF">2026-05-21T10:04:00Z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1007c599-3b48-48bd-a8b6-0e4135c34fcd</vt:lpwstr>
  </property>
</Properties>
</file>