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center"/>
        <w:rPr>
          <w:rFonts w:ascii="Lora" w:cs="Lora" w:eastAsia="Lora" w:hAnsi="Lora"/>
          <w:b w:val="1"/>
          <w:bCs w:val="1"/>
          <w:u w:val="single"/>
        </w:rPr>
      </w:pPr>
      <w:bookmarkStart w:colFirst="0" w:colLast="0" w:name="_kquqsn4v0fhw" w:id="0"/>
      <w:bookmarkEnd w:id="0"/>
      <w:r w:rsidDel="00000000" w:rsidR="00000000" w:rsidRPr="00000000">
        <w:rPr>
          <w:rFonts w:ascii="Lora" w:cs="Lora" w:eastAsia="Lora" w:hAnsi="Lora"/>
          <w:b w:val="1"/>
          <w:bCs w:val="1"/>
          <w:u w:val="single"/>
          <w:rtl w:val="0"/>
        </w:rPr>
        <w:t xml:space="preserve">UI/UX DESIGN BRIEF (UDX)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Project Name: Exora — Enterprise Examination &amp; Proctoring Platform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Document Version: 3.0.0-UDX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60" w:lineRule="auto"/>
        <w:rPr>
          <w:rFonts w:ascii="Lora Medium" w:cs="Lora Medium" w:eastAsia="Lora Medium" w:hAnsi="Lora Medium"/>
          <w:sz w:val="34"/>
          <w:szCs w:val="34"/>
        </w:rPr>
      </w:pPr>
      <w:bookmarkStart w:colFirst="0" w:colLast="0" w:name="_ay2hu1o1zjrl" w:id="1"/>
      <w:bookmarkEnd w:id="1"/>
      <w:r w:rsidDel="00000000" w:rsidR="00000000" w:rsidRPr="00000000">
        <w:rPr>
          <w:rFonts w:ascii="Lora Medium" w:cs="Lora Medium" w:eastAsia="Lora Medium" w:hAnsi="Lora Medium"/>
          <w:sz w:val="34"/>
          <w:szCs w:val="34"/>
          <w:rtl w:val="0"/>
        </w:rPr>
        <w:t xml:space="preserve">1. Design Philosophy &amp; Aesthetic Guidelines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Exora follows a strict 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Enterprise SaaS Aesthetic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inspired by modern high-performance cloud tools.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Zero Neon Overload: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Avoids distracting saturated hues in favor of muted slate, zinc, and pitch-black tones.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Typography: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Utilizes 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Space Grotesk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for high-impact headings and numerical counters, paired with 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Inter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for supreme legibility across body text and data tables.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Surface Layering (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panel-card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):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Employs subtle borders (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border-brand-200/70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in light mode, 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border-zinc-800/70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in dark mode) combined with soft drop shadows to create clean visual hierarchy.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="360" w:lineRule="auto"/>
        <w:rPr>
          <w:rFonts w:ascii="Lora Medium" w:cs="Lora Medium" w:eastAsia="Lora Medium" w:hAnsi="Lora Medium"/>
          <w:sz w:val="34"/>
          <w:szCs w:val="34"/>
        </w:rPr>
      </w:pPr>
      <w:bookmarkStart w:colFirst="0" w:colLast="0" w:name="_8rx7wmw0gz5r" w:id="2"/>
      <w:bookmarkEnd w:id="2"/>
      <w:r w:rsidDel="00000000" w:rsidR="00000000" w:rsidRPr="00000000">
        <w:rPr>
          <w:rFonts w:ascii="Lora Medium" w:cs="Lora Medium" w:eastAsia="Lora Medium" w:hAnsi="Lora Medium"/>
          <w:sz w:val="34"/>
          <w:szCs w:val="34"/>
          <w:rtl w:val="0"/>
        </w:rPr>
        <w:t xml:space="preserve">2. Color Palette Specifications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Pitch Blacks / Backgrounds: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#08090b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(Dark Mode Base), 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#0c0d10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(Card Surface), 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#f7f8fa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(Light Mode Canvas).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Brand Slate Scale: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Muted neutral shades ranging from 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brand-50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#f4f5f7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) to 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brand-950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#101117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Semantic Accents: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Emerald (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#10b981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) for success/completed states, Amber (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#f59e0b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) for pending active states, and Rose (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#f43f5e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) for flagged malpractices or errors.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360" w:lineRule="auto"/>
        <w:rPr>
          <w:rFonts w:ascii="Lora Medium" w:cs="Lora Medium" w:eastAsia="Lora Medium" w:hAnsi="Lora Medium"/>
          <w:sz w:val="34"/>
          <w:szCs w:val="34"/>
        </w:rPr>
      </w:pPr>
      <w:bookmarkStart w:colFirst="0" w:colLast="0" w:name="_93dlvj6fda29" w:id="3"/>
      <w:bookmarkEnd w:id="3"/>
      <w:r w:rsidDel="00000000" w:rsidR="00000000" w:rsidRPr="00000000">
        <w:rPr>
          <w:rFonts w:ascii="Lora Medium" w:cs="Lora Medium" w:eastAsia="Lora Medium" w:hAnsi="Lora Medium"/>
          <w:sz w:val="34"/>
          <w:szCs w:val="34"/>
          <w:rtl w:val="0"/>
        </w:rPr>
        <w:t xml:space="preserve">3. Responsive Layout Patterns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Desktop View: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Persistent 64px/256px collapsible sidebar navigation coupled with expansive grid metric cards and split-pane examination workspaces.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Mobile View: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Bottom-docked compact navigation bar (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MobileNav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) ensuring thumb-friendly access to primary views without breaking layout integrity inside restricted browser frames.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