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UAC Care System Load Analytics</w:t>
      </w:r>
    </w:p>
    <w:p>
      <w:pPr>
        <w:spacing w:after="40"/>
        <w:jc w:val="center"/>
      </w:pPr>
      <w:r>
        <w:rPr>
          <w:color w:val="2E75B6"/>
          <w:sz w:val="26"/>
          <w:szCs w:val="26"/>
        </w:rPr>
        <w:t xml:space="preserve">Research Report — EDA, Insights &amp; Recommendations</w:t>
      </w:r>
    </w:p>
    <w:p>
      <w:pPr>
        <w:spacing w:after="400"/>
        <w:jc w:val="center"/>
      </w:pPr>
      <w:r>
        <w:rPr>
          <w:i/>
          <w:iCs/>
          <w:color w:val="555555"/>
          <w:sz w:val="21"/>
          <w:szCs w:val="21"/>
        </w:rPr>
        <w:t xml:space="preserve">Prepared for U.S. Department of Health and Human Services (HHS) Stakeholders</w:t>
      </w:r>
    </w:p>
    <w:p>
      <w:pPr>
        <w:pStyle w:val="Heading1"/>
      </w:pPr>
      <w:r>
        <w:t xml:space="preserve">1. Executive Summary</w:t>
      </w:r>
    </w:p>
    <w:p>
      <w:pPr>
        <w:spacing w:after="150"/>
      </w:pPr>
      <w:r>
        <w:t xml:space="preserve">This project delivers a robust, policy-aligned healthcare analytics framework for monitoring the UAC care system. By translating raw counts into structured capacity insights, it empowers stakeholders to understand, evaluate, and improve the delivery of federally mandated child care services.</w:t>
      </w:r>
    </w:p>
    <w:p>
      <w:pPr>
        <w:spacing w:after="150"/>
      </w:pPr>
      <w:r>
        <w:t xml:space="preserve">Analysis of 1,075 calendar days of operational data (January 2023 – December 2025) shows that the system-wide care load has declined sharply and consistently — driven primarily by a steep drop in new intake volume rather than any breakdown in processing or discharge capacity. The current system is operating in a low-pressure, low-volatility state, but historical data shows the load can swing more than 2x within 18 months, underscoring the need for sustained surge-readiness even during quiet periods.</w:t>
      </w:r>
    </w:p>
    <w:p>
      <w:pPr>
        <w:pStyle w:val="Heading1"/>
      </w:pPr>
      <w:r>
        <w:t xml:space="preserve">2. Background &amp; Objective</w:t>
      </w:r>
    </w:p>
    <w:p>
      <w:pPr>
        <w:spacing w:after="150"/>
      </w:pPr>
      <w:r>
        <w:t xml:space="preserve">The Unaccompanied Alien Children (UAC) Program is a federally mandated pipeline in which children apprehended by Customs and Border Protection (CBP) are transferred to HHS for medical screening, sheltering, and eventual placement with vetted sponsors. Effective operation depends on accurate, continuous awareness of system load and capacity stress — particularly during sudden influxes.</w:t>
      </w:r>
    </w:p>
    <w:p>
      <w:pPr>
        <w:spacing w:after="150"/>
      </w:pPr>
      <w:r>
        <w:t xml:space="preserve">This report quantifies daily and cumulative care load across CBP and HHS, identifies periods of capacity strain and relief, and analyzes the balance between intake, transfers, and discharges, in support of staffing, shelter planning, and policy evaluation.</w:t>
      </w:r>
    </w:p>
    <w:p>
      <w:pPr>
        <w:pStyle w:val="Heading1"/>
      </w:pPr>
      <w:r>
        <w:t xml:space="preserve">3. Methodology Summary</w:t>
      </w:r>
    </w:p>
    <w:p>
      <w:pPr>
        <w:pStyle w:val="ListParagraph"/>
        <w:numPr>
          <w:ilvl w:val="0"/>
          <w:numId w:val="2"/>
        </w:numPr>
        <w:spacing w:after="100"/>
      </w:pPr>
      <w:r>
        <w:t xml:space="preserve">Data ingestion: 1,170 raw daily records loaded; 450 fully-blank trailing rows removed, leaving 720 reported days.</w:t>
      </w:r>
    </w:p>
    <w:p>
      <w:pPr>
        <w:pStyle w:val="ListParagraph"/>
        <w:numPr>
          <w:ilvl w:val="0"/>
          <w:numId w:val="2"/>
        </w:numPr>
        <w:spacing w:after="100"/>
      </w:pPr>
      <w:r>
        <w:t xml:space="preserve">A complete daily calendar index was constructed (Jan 12, 2023 – Dec 21, 2025 = 1,075 days); 355 un-reported days (mostly weekends/holidays) were filled via time-based interpolation.</w:t>
      </w:r>
    </w:p>
    <w:p>
      <w:pPr>
        <w:pStyle w:val="ListParagraph"/>
        <w:numPr>
          <w:ilvl w:val="0"/>
          <w:numId w:val="2"/>
        </w:numPr>
        <w:spacing w:after="100"/>
      </w:pPr>
      <w:r>
        <w:t xml:space="preserve">Logical constraints were validated (Transfers ≤ CBP custody; Discharges ≤ HHS care); violations were flagged for transparency rather than silently removed.</w:t>
      </w:r>
    </w:p>
    <w:p>
      <w:pPr>
        <w:pStyle w:val="ListParagraph"/>
        <w:numPr>
          <w:ilvl w:val="0"/>
          <w:numId w:val="2"/>
        </w:numPr>
        <w:spacing w:after="100"/>
      </w:pPr>
      <w:r>
        <w:t xml:space="preserve">Derived metrics were computed: Total System Load, Net Daily Intake, Care Load Growth Rate, and a floored cumulative Backlog Accumulation indicator.</w:t>
      </w:r>
    </w:p>
    <w:p>
      <w:pPr>
        <w:pStyle w:val="ListParagraph"/>
        <w:numPr>
          <w:ilvl w:val="0"/>
          <w:numId w:val="2"/>
        </w:numPr>
        <w:spacing w:after="100"/>
      </w:pPr>
      <w:r>
        <w:t xml:space="preserve">Pressure indicators were computed using 7-day and 14-day rolling statistics, including a normalized Care Load Volatility Index (coefficient of variation).</w:t>
      </w:r>
    </w:p>
    <w:p>
      <w:pPr>
        <w:pStyle w:val="Heading1"/>
      </w:pPr>
      <w:r>
        <w:t xml:space="preserve">4. Key Findings</w:t>
      </w:r>
    </w:p>
    <w:p>
      <w:pPr>
        <w:pStyle w:val="Heading2"/>
      </w:pPr>
      <w:r>
        <w:t xml:space="preserve">4.1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Check</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Result</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Un-reported calendar days (filled)</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355 of 1,075 days</w:t>
            </w:r>
          </w:p>
        </w:tc>
      </w:tr>
      <w:tr>
        <w:tc>
          <w:tcPr>
            <w:tcW w:type="dxa" w:w="58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Duplicate report dates</w:t>
            </w:r>
          </w:p>
        </w:tc>
        <w:tc>
          <w:tcPr>
            <w:tcW w:type="dxa" w:w="3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0</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Days where Transfers &gt; CBP custody (flagged)</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86 days</w:t>
            </w:r>
          </w:p>
        </w:tc>
      </w:tr>
      <w:tr>
        <w:tc>
          <w:tcPr>
            <w:tcW w:type="dxa" w:w="58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Days where Discharges &gt; HHS care (flagged)</w:t>
            </w:r>
          </w:p>
        </w:tc>
        <w:tc>
          <w:tcPr>
            <w:tcW w:type="dxa" w:w="3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0 days</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Missing values after cleaning</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0</w:t>
            </w:r>
          </w:p>
        </w:tc>
      </w:tr>
    </w:tbl>
    <w:p>
      <w:pPr>
        <w:spacing w:after="150"/>
      </w:pPr>
      <w:r>
        <w:rPr>
          <w:i/>
          <w:iCs/>
          <w:color w:val="555555"/>
          <w:sz w:val="19"/>
          <w:szCs w:val="19"/>
        </w:rPr>
        <w:t xml:space="preserve">The 86 flagged days most likely reflect same-day stock/flow reporting timing rather than genuine data errors, but are retained as a transparency flag for stakeholders rather than corrected or removed.</w:t>
      </w:r>
    </w:p>
    <w:p>
      <w:pPr>
        <w:pStyle w:val="Heading2"/>
      </w:pPr>
      <w:r>
        <w:t xml:space="preserve">4.2 System Load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Metric</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Value</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Total System Load — observed range</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2,002 to 11,762 children</w:t>
            </w:r>
          </w:p>
        </w:tc>
      </w:tr>
      <w:tr>
        <w:tc>
          <w:tcPr>
            <w:tcW w:type="dxa" w:w="58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High-load threshold (90th percentile, HHS care)</w:t>
            </w:r>
          </w:p>
        </w:tc>
        <w:tc>
          <w:tcPr>
            <w:tcW w:type="dxa" w:w="3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9,771 children</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Days within a sustained high-load period (5+ consecutive days)</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100 days</w:t>
            </w:r>
          </w:p>
        </w:tc>
      </w:tr>
      <w:tr>
        <w:tc>
          <w:tcPr>
            <w:tcW w:type="dxa" w:w="58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Days within a prolonged strain window (14-day avg sustained)</w:t>
            </w:r>
          </w:p>
        </w:tc>
        <w:tc>
          <w:tcPr>
            <w:tcW w:type="dxa" w:w="3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98 days</w:t>
            </w:r>
          </w:p>
        </w:tc>
      </w:tr>
      <w:tr>
        <w:tc>
          <w:tcPr>
            <w:tcW w:type="dxa" w:w="5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Peak backlog accumulation reached</w:t>
            </w:r>
          </w:p>
        </w:tc>
        <w:tc>
          <w:tcPr>
            <w:tcW w:type="dxa" w:w="3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4,903.5 (on Dec 18, 2024)</w:t>
            </w:r>
          </w:p>
        </w:tc>
      </w:tr>
    </w:tbl>
    <w:p>
      <w:pPr>
        <w:pStyle w:val="Heading2"/>
      </w:pPr>
      <w:r>
        <w:t xml:space="preserve">4.3 Current KPI Snapshot (most recent 30-day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KPI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Interpretation</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Total Children Under Care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2,502</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Current system-wide load</w:t>
            </w:r>
          </w:p>
        </w:tc>
      </w:tr>
      <w:tr>
        <w:tc>
          <w:tcPr>
            <w:tcW w:type="dxa" w:w="32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Net Intake Pressure (30-day avg)</w:t>
            </w:r>
          </w:p>
        </w:tc>
        <w:tc>
          <w:tcPr>
            <w:tcW w:type="dxa" w:w="20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+0.49</w:t>
            </w:r>
          </w:p>
        </w:tc>
        <w:tc>
          <w:tcPr>
            <w:tcW w:type="dxa" w:w="41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Near equilibrium — inflow ≈ outflow</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Care Load Volatility Index</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0.0025</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Very low — system currently stable</w:t>
            </w:r>
          </w:p>
        </w:tc>
      </w:tr>
      <w:tr>
        <w:tc>
          <w:tcPr>
            <w:tcW w:type="dxa" w:w="32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Backlog Accumulation Rate</w:t>
            </w:r>
          </w:p>
        </w:tc>
        <w:tc>
          <w:tcPr>
            <w:tcW w:type="dxa" w:w="20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−2.43 / day</w:t>
            </w:r>
          </w:p>
        </w:tc>
        <w:tc>
          <w:tcPr>
            <w:tcW w:type="dxa" w:w="41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Backlog shrinking, not growing</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Discharge Offset Ratio</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0.95</w:t>
            </w:r>
          </w:p>
        </w:tc>
        <w:tc>
          <w:tcPr>
            <w:tcW w:type="dxa" w:w="4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95% of inflow is being offset by discharge</w:t>
            </w:r>
          </w:p>
        </w:tc>
      </w:tr>
    </w:tbl>
    <w:p>
      <w:pPr>
        <w:pStyle w:val="Heading1"/>
      </w:pPr>
      <w:r>
        <w:t xml:space="preserve">5. Why Has the Care Load Declined? (Trend Analysis)</w:t>
      </w:r>
    </w:p>
    <w:p>
      <w:pPr>
        <w:spacing w:after="150"/>
      </w:pPr>
      <w:r>
        <w:rPr>
          <w:b w:val="false"/>
          <w:bCs w:val="false"/>
        </w:rPr>
        <w:t xml:space="preserve">The dataset splits cleanly into two equal-length periods for comparison: an Early period (Jan 2023 – Jul 2024) and a Late period (Jul 2024 – 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1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Metric</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Early Avg (2023–24)</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Late Avg (2024–25)</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Change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Daily Intake</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130.3</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53.9</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−58.7%</w:t>
            </w:r>
          </w:p>
        </w:tc>
      </w:tr>
      <w:tr>
        <w:tc>
          <w:tcPr>
            <w:tcW w:type="dxa" w:w="32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CBP Custody Load</w:t>
            </w:r>
          </w:p>
        </w:tc>
        <w:tc>
          <w:tcPr>
            <w:tcW w:type="dxa" w:w="23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235.1</w:t>
            </w:r>
          </w:p>
        </w:tc>
        <w:tc>
          <w:tcPr>
            <w:tcW w:type="dxa" w:w="23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103.2</w:t>
            </w:r>
          </w:p>
        </w:tc>
        <w:tc>
          <w:tcPr>
            <w:tcW w:type="dxa" w:w="1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−56.1%</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Transfers to HHS</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182.0</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73.9</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−59.4%</w:t>
            </w:r>
          </w:p>
        </w:tc>
      </w:tr>
      <w:tr>
        <w:tc>
          <w:tcPr>
            <w:tcW w:type="dxa" w:w="32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HHS Care Load</w:t>
            </w:r>
          </w:p>
        </w:tc>
        <w:tc>
          <w:tcPr>
            <w:tcW w:type="dxa" w:w="23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8,363.6</w:t>
            </w:r>
          </w:p>
        </w:tc>
        <w:tc>
          <w:tcPr>
            <w:tcW w:type="dxa" w:w="23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3,766.1</w:t>
            </w:r>
          </w:p>
        </w:tc>
        <w:tc>
          <w:tcPr>
            <w:tcW w:type="dxa" w:w="15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−55.0%</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Discharges</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288.1</w:t>
            </w:r>
          </w:p>
        </w:tc>
        <w:tc>
          <w:tcPr>
            <w:tcW w:type="dxa" w:w="2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77.5</w:t>
            </w:r>
          </w:p>
        </w:tc>
        <w:tc>
          <w:tcPr>
            <w:tcW w:type="dxa" w:w="1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−73.1%</w:t>
            </w:r>
          </w:p>
        </w:tc>
      </w:tr>
    </w:tbl>
    <w:p>
      <w:pPr>
        <w:spacing w:after="150"/>
      </w:pPr>
      <w:r>
        <w:rPr>
          <w:b/>
          <w:bCs/>
        </w:rPr>
        <w:t xml:space="preserve">The critical pattern: every single metric in the pipeline — intake, custody, transfers, care load, AND discharges — declined by a similar 55–73% over the same period. This is the key diagnostic signal.</w:t>
      </w:r>
    </w:p>
    <w:p>
      <w:pPr>
        <w:spacing w:after="150"/>
      </w:pPr>
      <w:r>
        <w:rPr>
          <w:color w:val="375623"/>
        </w:rPr>
        <w:t xml:space="preserve">If discharges alone had dropped while intake stayed high, that would point to a processing bottleneck (a real operational problem). Instead, discharges fell because there were simply fewer children in care to discharge — the entire pipeline contracted together, proportionally, from the front end. This pattern is consistent with a reduction in new apprehensions/encounters at the border, not a breakdown or improvement in HHS's internal processing capability.</w:t>
      </w:r>
    </w:p>
    <w:p>
      <w:pPr>
        <w:spacing w:after="150"/>
      </w:pPr>
      <w:r>
        <w:t xml:space="preserve">The year-over-year breakdown makes the trend starker: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860"/>
        <w:gridCol w:w="1960"/>
        <w:gridCol w:w="1860"/>
        <w:gridCol w:w="18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Year</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Avg Intake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Avg CBP Custody</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Avg HHS Care</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1"/>
                <w:szCs w:val="21"/>
              </w:rPr>
              <w:t xml:space="preserve">Avg Discharges</w:t>
            </w:r>
          </w:p>
        </w:tc>
      </w:tr>
      <w:tr>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2023</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115.0</w:t>
            </w:r>
          </w:p>
        </w:tc>
        <w:tc>
          <w:tcPr>
            <w:tcW w:type="dxa" w:w="1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196.9</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8,608.4</w:t>
            </w:r>
          </w:p>
        </w:tc>
        <w:tc>
          <w:tcPr>
            <w:tcW w:type="dxa" w:w="18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303.2</w:t>
            </w:r>
          </w:p>
        </w:tc>
      </w:tr>
      <w:tr>
        <w:tc>
          <w:tcPr>
            <w:tcW w:type="dxa" w:w="160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bCs/>
                <w:sz w:val="20"/>
                <w:szCs w:val="20"/>
              </w:rPr>
              <w:t xml:space="preserve">2024</w:t>
            </w:r>
          </w:p>
        </w:tc>
        <w:tc>
          <w:tcPr>
            <w:tcW w:type="dxa" w:w="18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146.6</w:t>
            </w:r>
          </w:p>
        </w:tc>
        <w:tc>
          <w:tcPr>
            <w:tcW w:type="dxa" w:w="19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274.6</w:t>
            </w:r>
          </w:p>
        </w:tc>
        <w:tc>
          <w:tcPr>
            <w:tcW w:type="dxa" w:w="186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7,020.2</w:t>
            </w:r>
          </w:p>
        </w:tc>
        <w:tc>
          <w:tcPr>
            <w:tcW w:type="dxa" w:w="1880"/>
            <w:tcBorders>
              <w:top w:val="single" w:color="CCCCCC" w:sz="1"/>
              <w:left w:val="single" w:color="CCCCCC" w:sz="1"/>
              <w:bottom w:val="single" w:color="CCCCCC" w:sz="1"/>
              <w:right w:val="single" w:color="CCCCCC" w:sz="1"/>
            </w:tcBorders>
            <w:shd w:fill="DCE6F1" w:val="clear"/>
            <w:tcMar>
              <w:top w:type="dxa" w:w="70"/>
              <w:left w:type="dxa" w:w="120"/>
              <w:bottom w:type="dxa" w:w="70"/>
              <w:right w:type="dxa" w:w="120"/>
            </w:tcMar>
          </w:tcPr>
          <w:p>
            <w:r>
              <w:rPr>
                <w:b w:val="false"/>
                <w:bCs w:val="false"/>
                <w:sz w:val="20"/>
                <w:szCs w:val="20"/>
              </w:rPr>
              <w:t xml:space="preserve">215.0</w:t>
            </w:r>
          </w:p>
        </w:tc>
      </w:tr>
      <w:tr>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2025</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12.9</w:t>
            </w:r>
          </w:p>
        </w:tc>
        <w:tc>
          <w:tcPr>
            <w:tcW w:type="dxa" w:w="1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32.5</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2,537.0</w:t>
            </w:r>
          </w:p>
        </w:tc>
        <w:tc>
          <w:tcPr>
            <w:tcW w:type="dxa" w:w="18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29.2</w:t>
            </w:r>
          </w:p>
        </w:tc>
      </w:tr>
    </w:tbl>
    <w:p>
      <w:pPr>
        <w:spacing w:after="150"/>
      </w:pPr>
      <w:r>
        <w:rPr>
          <w:i/>
          <w:iCs/>
        </w:rPr>
        <w:t xml:space="preserve">2025 intake (12.9/day average) is roughly 9% of the 2023 level (115.0/day) — an ≈89% collapse in new apprehensions over two years, with HHS care load following the same downward trajectory at a slight lag (as the existing population was discharged down).</w:t>
      </w:r>
    </w:p>
    <w:p>
      <w:pPr>
        <w:spacing w:after="150"/>
      </w:pPr>
      <w:r>
        <w:rPr>
          <w:color w:val="555555"/>
          <w:sz w:val="19"/>
          <w:szCs w:val="19"/>
        </w:rPr>
        <w:t xml:space="preserve">Important caveat: this dataset contains only operational counts (intake, custody, transfers, discharges) — it does not contain external context such as border policy changes, legal rulings, or regional migration trends. The finding that the decline is intake-driven (not capacity-driven) is well-supported by the data itself; the underlying cause of the intake decline would require cross-referencing with CBP enforcement statistics and immigration policy timelines, which is recommended as a follow-up analysis.</w:t>
      </w:r>
    </w:p>
    <w:p>
      <w:pPr>
        <w:pStyle w:val="Heading1"/>
      </w:pPr>
      <w:r>
        <w:t xml:space="preserve">6. Recommendations for Improvement</w:t>
      </w:r>
    </w:p>
    <w:p>
      <w:pPr>
        <w:pStyle w:val="Heading2"/>
      </w:pPr>
      <w:r>
        <w:t xml:space="preserve">6.1 Maintain Surge-Readiness Despite Current Low Load</w:t>
      </w:r>
    </w:p>
    <w:p>
      <w:pPr>
        <w:pStyle w:val="ListParagraph"/>
        <w:numPr>
          <w:ilvl w:val="0"/>
          <w:numId w:val="2"/>
        </w:numPr>
        <w:spacing w:after="100"/>
      </w:pPr>
      <w:r>
        <w:t xml:space="preserve">Do not permanently downsize shelter capacity based on current low-load conditions. The data shows the system swung from ~8,600 to ~2,500 children within three years — a 2–3x range is well within recent historical precedent, and intake-driven surges can occur with limited advance warning.</w:t>
      </w:r>
    </w:p>
    <w:p>
      <w:pPr>
        <w:pStyle w:val="ListParagraph"/>
        <w:numPr>
          <w:ilvl w:val="0"/>
          <w:numId w:val="2"/>
        </w:numPr>
        <w:spacing w:after="100"/>
      </w:pPr>
      <w:r>
        <w:t xml:space="preserve">Maintain a tiered, scalable staffing and shelter-activation plan that can be triggered using the Net Intake Pressure and Sustained High-Load flags as early warning indicators, rather than relying on lagging headline counts alone.</w:t>
      </w:r>
    </w:p>
    <w:p>
      <w:pPr>
        <w:pStyle w:val="Heading2"/>
      </w:pPr>
      <w:r>
        <w:t xml:space="preserve">6.2 Operationalize the Pressure &amp; Backlog Indicators</w:t>
      </w:r>
    </w:p>
    <w:p>
      <w:pPr>
        <w:pStyle w:val="ListParagraph"/>
        <w:numPr>
          <w:ilvl w:val="0"/>
          <w:numId w:val="2"/>
        </w:numPr>
        <w:spacing w:after="100"/>
      </w:pPr>
      <w:r>
        <w:t xml:space="preserve">Adopt the Backlog Accumulation Rate and Discharge Offset Ratio as standing operational KPIs reviewed on a weekly cadence — they detect building strain (ratio dropping below 1.0, backlog rate turning positive) well before raw headcounts visibly spike.</w:t>
      </w:r>
    </w:p>
    <w:p>
      <w:pPr>
        <w:pStyle w:val="ListParagraph"/>
        <w:numPr>
          <w:ilvl w:val="0"/>
          <w:numId w:val="2"/>
        </w:numPr>
        <w:spacing w:after="100"/>
      </w:pPr>
      <w:r>
        <w:t xml:space="preserve">Set explicit action thresholds tied to the Care Load Volatility Index: a rising volatility index alongside a falling offset ratio should trigger a formal capacity review, even if absolute headcount remains moderate.</w:t>
      </w:r>
    </w:p>
    <w:p>
      <w:pPr>
        <w:pStyle w:val="Heading2"/>
      </w:pPr>
      <w:r>
        <w:t xml:space="preserve">6.3 Improve Data Governance</w:t>
      </w:r>
    </w:p>
    <w:p>
      <w:pPr>
        <w:pStyle w:val="ListParagraph"/>
        <w:numPr>
          <w:ilvl w:val="0"/>
          <w:numId w:val="2"/>
        </w:numPr>
        <w:spacing w:after="100"/>
      </w:pPr>
      <w:r>
        <w:t xml:space="preserve">Investigate the 86 days flagged where Transfers exceeded CBP custody to confirm whether this is a reporting-timing artifact (likely) or a genuine reconciliation issue, and document the explanation for future auditors.</w:t>
      </w:r>
    </w:p>
    <w:p>
      <w:pPr>
        <w:pStyle w:val="ListParagraph"/>
        <w:numPr>
          <w:ilvl w:val="0"/>
          <w:numId w:val="2"/>
        </w:numPr>
        <w:spacing w:after="100"/>
      </w:pPr>
      <w:r>
        <w:t xml:space="preserve">Standardize daily reporting to eliminate the 355 un-reported calendar days identified in this dataset — even though interpolation handled them adequately here, consistent daily reporting would improve the precision of all derived metrics, especially during volatile periods.</w:t>
      </w:r>
    </w:p>
    <w:p>
      <w:pPr>
        <w:pStyle w:val="Heading2"/>
      </w:pPr>
      <w:r>
        <w:t xml:space="preserve">6.4 Extend the Analysis</w:t>
      </w:r>
    </w:p>
    <w:p>
      <w:pPr>
        <w:pStyle w:val="ListParagraph"/>
        <w:numPr>
          <w:ilvl w:val="0"/>
          <w:numId w:val="2"/>
        </w:numPr>
        <w:spacing w:after="100"/>
      </w:pPr>
      <w:r>
        <w:t xml:space="preserve">Incorporate external context data (CBP apprehension statistics, immigration policy change dates, regional migration indicators) to validate and explain the intake decline identified in Section 5, moving from correlation to a defensible causal narrative.</w:t>
      </w:r>
    </w:p>
    <w:p>
      <w:pPr>
        <w:pStyle w:val="ListParagraph"/>
        <w:numPr>
          <w:ilvl w:val="0"/>
          <w:numId w:val="2"/>
        </w:numPr>
        <w:spacing w:after="100"/>
      </w:pPr>
      <w:r>
        <w:t xml:space="preserve">Deploy the accompanying Streamlit dashboard as a living operational tool for HHS program staff, rather than a one-time analysis — the KPI thresholds in this report should be revisited periodically as new data arrives.</w:t>
      </w:r>
    </w:p>
    <w:p>
      <w:pPr>
        <w:pStyle w:val="Heading1"/>
      </w:pPr>
      <w:r>
        <w:t xml:space="preserve">7. Conclusion</w:t>
      </w:r>
    </w:p>
    <w:p>
      <w:pPr>
        <w:spacing w:after="150"/>
      </w:pPr>
      <w:r>
        <w:t xml:space="preserve">This analysis confirms that the UAC care system is currently operating well below historical peak load, in a stable, low-volatility state with a shrinking backlog and a near-balanced discharge offset ratio. The decline is best explained by a sharp, system-wide drop in new intake rather than any internal processing failure or improvement. The principal risk going forward is complacency: historical volatility shows the system can swing sharply, and the analytics framework delivered here — particularly the Net Intake Pressure, Backlog Accumulation Rate, and Care Load Volatility Index — should be maintained as a continuous early-warning system rather than a retrospective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888888"/>
        <w:sz w:val="18"/>
        <w:szCs w:val="18"/>
      </w:rPr>
      <w:t xml:space="preserve">UAC Care System Load Analytics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2026-06-27T09:23:33.990Z</dcterms:created>
  <dcterms:modified xsi:type="dcterms:W3CDTF">2026-06-27T09:23:34.009Z</dcterms:modified>
</cp:coreProperties>
</file>

<file path=docProps/custom.xml><?xml version="1.0" encoding="utf-8"?>
<Properties xmlns="http://schemas.openxmlformats.org/officeDocument/2006/custom-properties" xmlns:vt="http://schemas.openxmlformats.org/officeDocument/2006/docPropsVTypes"/>
</file>