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A"/>
          <w:sz w:val="40"/>
          <w:szCs w:val="40"/>
        </w:rPr>
        <w:t xml:space="preserve">Workforce Attrition Patterns &amp; Risk Hotspot Analysis</w:t>
      </w:r>
    </w:p>
    <w:p>
      <w:pPr>
        <w:spacing w:after="60"/>
      </w:pPr>
      <w:r>
        <w:rPr>
          <w:i/>
          <w:iCs/>
          <w:color w:val="5A5A5A"/>
          <w:sz w:val="24"/>
          <w:szCs w:val="24"/>
        </w:rPr>
        <w:t xml:space="preserve">A Data-Driven Analysis of Employee Turnover at Palo Alto Networks</w:t>
      </w:r>
    </w:p>
    <w:p>
      <w:pPr>
        <w:spacing w:after="300"/>
      </w:pPr>
      <w:r>
        <w:rPr>
          <w:color w:val="5A5A5A"/>
          <w:sz w:val="20"/>
          <w:szCs w:val="20"/>
        </w:rPr>
        <w:t xml:space="preserve">Prepared by Aravinth A  |  Unified Mentor Data Analyst Internship  |  July 2026</w:t>
      </w:r>
    </w:p>
    <w:p>
      <w:pPr>
        <w:pStyle w:val="Heading1"/>
        <w:spacing w:after="140" w:before="280"/>
      </w:pPr>
      <w:r>
        <w:t xml:space="preserve">1. Introduction &amp; Background</w:t>
      </w:r>
    </w:p>
    <w:p>
      <w:pPr>
        <w:spacing w:after="160"/>
        <w:jc w:val="both"/>
      </w:pPr>
      <w:r>
        <w:t xml:space="preserve">Employee attrition carries direct and indirect costs for any organization: recruitment and onboarding overhead, loss of institutional knowledge, and disruption to team productivity. This analysis examines workforce attrition patterns at Palo Alto Networks using a dataset of 1,470 employee records, with the goal of identifying where attrition is concentrated and which structural or behavioral factors are most strongly associated with it.</w:t>
      </w:r>
    </w:p>
    <w:p>
      <w:pPr>
        <w:spacing w:after="160"/>
        <w:jc w:val="both"/>
      </w:pPr>
      <w:r>
        <w:t xml:space="preserve">The analysis follows a structured path: from overall attrition levels, into department and role-level hotspots, demographic patterns, tenure and career-stage effects, and finally workload and mobility factors -- concluding with a consolidated set of KPIs and recommendations for HR intervention.</w:t>
      </w:r>
    </w:p>
    <w:p>
      <w:pPr>
        <w:pStyle w:val="Heading1"/>
        <w:spacing w:after="140" w:before="280"/>
      </w:pPr>
      <w:r>
        <w:t xml:space="preserve">2. Data Overview &amp; Validation</w:t>
      </w:r>
    </w:p>
    <w:p>
      <w:pPr>
        <w:spacing w:after="160"/>
        <w:jc w:val="both"/>
      </w:pPr>
      <w:r>
        <w:t xml:space="preserve">The dataset contains 1,470 employee records across 31 original fields, covering demographic attributes (Age, Gender, Marital Status, Education), employment attributes (Department, Job Role, Years at Company, Years Since Last Promotion), and workload attributes (OverTime, Business Travel, Distance From Home).</w:t>
      </w:r>
    </w:p>
    <w:p>
      <w:pPr>
        <w:spacing w:after="160"/>
        <w:jc w:val="both"/>
      </w:pPr>
      <w:r>
        <w:t xml:space="preserve">Data validation confirmed the dataset required minimal cleaning: zero duplicate records and zero missing values were found across all columns. The Attrition field was already encoded numerically (1 = exited, 0 = retained), so no label-mapping errors were possible at this stage. This is a clean, analysis-ready dataset.</w:t>
      </w:r>
    </w:p>
    <w:p>
      <w:pPr>
        <w:pStyle w:val="Heading1"/>
        <w:spacing w:after="140" w:before="280"/>
      </w:pPr>
      <w:r>
        <w:t xml:space="preserve">3. Overall Attrition Assessment</w:t>
      </w:r>
    </w:p>
    <w:p>
      <w:pPr>
        <w:spacing w:after="160"/>
        <w:jc w:val="both"/>
      </w:pPr>
      <w:r>
        <w:t xml:space="preserve">The organization's overall attrition rate stands at 16.12%, with 237 employees having exited out of 1,470 total records (1,233 retained). This baseline figure is the reference point against which every subsequent breakdown is compared -- a subgroup is only meaningfully "high-risk" if its rate is well above this 16.12% baseline.</w:t>
      </w:r>
    </w:p>
    <w:p>
      <w:pPr>
        <w:pStyle w:val="Heading1"/>
        <w:spacing w:after="140" w:before="280"/>
      </w:pPr>
      <w:r>
        <w:t xml:space="preserve">4. Department &amp; Role-Wise Analysis</w:t>
      </w:r>
    </w:p>
    <w:p>
      <w:pPr>
        <w:spacing w:after="160"/>
        <w:jc w:val="both"/>
      </w:pPr>
      <w:r>
        <w:t xml:space="preserve">Attrition is not evenly distributed across the organization. Sales shows the highest departmental attrition rate at 20.63%, followed by Human Resources at 19.05%, while Research &amp; Development -- the largest department by headcount -- sits lowest at 13.84%.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600"/>
        <w:gridCol w:w="2200"/>
      </w:tblGrid>
      <w:tr>
        <w:tc>
          <w:tcPr>
            <w:tcW w:type="dxa" w:w="3200"/>
            <w:shd w:fill="1B2A4A" w:color="auto" w:val="clear"/>
          </w:tcPr>
          <w:p>
            <w:r>
              <w:rPr>
                <w:b/>
                <w:bCs/>
                <w:color w:val="FFFFFF"/>
                <w:sz w:val="19"/>
                <w:szCs w:val="19"/>
              </w:rPr>
              <w:t xml:space="preserve">Department</w:t>
            </w:r>
          </w:p>
        </w:tc>
        <w:tc>
          <w:tcPr>
            <w:tcW w:type="dxa" w:w="2000"/>
            <w:shd w:fill="1B2A4A" w:color="auto" w:val="clear"/>
          </w:tcPr>
          <w:p>
            <w:r>
              <w:rPr>
                <w:b/>
                <w:bCs/>
                <w:color w:val="FFFFFF"/>
                <w:sz w:val="19"/>
                <w:szCs w:val="19"/>
              </w:rPr>
              <w:t xml:space="preserve">Headcount</w:t>
            </w:r>
          </w:p>
        </w:tc>
        <w:tc>
          <w:tcPr>
            <w:tcW w:type="dxa" w:w="1600"/>
            <w:shd w:fill="1B2A4A" w:color="auto" w:val="clear"/>
          </w:tcPr>
          <w:p>
            <w:r>
              <w:rPr>
                <w:b/>
                <w:bCs/>
                <w:color w:val="FFFFFF"/>
                <w:sz w:val="19"/>
                <w:szCs w:val="19"/>
              </w:rPr>
              <w:t xml:space="preserve">Exits</w:t>
            </w:r>
          </w:p>
        </w:tc>
        <w:tc>
          <w:tcPr>
            <w:tcW w:type="dxa" w:w="2200"/>
            <w:shd w:fill="1B2A4A" w:color="auto" w:val="clear"/>
          </w:tcPr>
          <w:p>
            <w:r>
              <w:rPr>
                <w:b/>
                <w:bCs/>
                <w:color w:val="FFFFFF"/>
                <w:sz w:val="19"/>
                <w:szCs w:val="19"/>
              </w:rPr>
              <w:t xml:space="preserve">Attrition Rate</w:t>
            </w:r>
          </w:p>
        </w:tc>
      </w:tr>
      <w:tr>
        <w:tc>
          <w:tcPr>
            <w:tcW w:type="dxa" w:w="3200"/>
            <w:shd w:fill="F2F5FA" w:color="auto" w:val="clear"/>
          </w:tcPr>
          <w:p>
            <w:r>
              <w:rPr>
                <w:sz w:val="19"/>
                <w:szCs w:val="19"/>
              </w:rPr>
              <w:t xml:space="preserve">Sales</w:t>
            </w:r>
          </w:p>
        </w:tc>
        <w:tc>
          <w:tcPr>
            <w:tcW w:type="dxa" w:w="2000"/>
            <w:shd w:fill="F2F5FA" w:color="auto" w:val="clear"/>
          </w:tcPr>
          <w:p>
            <w:r>
              <w:rPr>
                <w:sz w:val="19"/>
                <w:szCs w:val="19"/>
              </w:rPr>
              <w:t xml:space="preserve">446</w:t>
            </w:r>
          </w:p>
        </w:tc>
        <w:tc>
          <w:tcPr>
            <w:tcW w:type="dxa" w:w="1600"/>
            <w:shd w:fill="F2F5FA" w:color="auto" w:val="clear"/>
          </w:tcPr>
          <w:p>
            <w:r>
              <w:rPr>
                <w:sz w:val="19"/>
                <w:szCs w:val="19"/>
              </w:rPr>
              <w:t xml:space="preserve">92</w:t>
            </w:r>
          </w:p>
        </w:tc>
        <w:tc>
          <w:tcPr>
            <w:tcW w:type="dxa" w:w="2200"/>
            <w:shd w:fill="F2F5FA" w:color="auto" w:val="clear"/>
          </w:tcPr>
          <w:p>
            <w:r>
              <w:rPr>
                <w:sz w:val="19"/>
                <w:szCs w:val="19"/>
              </w:rPr>
              <w:t xml:space="preserve">20.63%</w:t>
            </w:r>
          </w:p>
        </w:tc>
      </w:tr>
      <w:tr>
        <w:tc>
          <w:tcPr>
            <w:tcW w:type="dxa" w:w="3200"/>
            <w:shd w:fill="F2F5FA" w:color="auto" w:val="clear"/>
          </w:tcPr>
          <w:p>
            <w:r>
              <w:rPr>
                <w:sz w:val="19"/>
                <w:szCs w:val="19"/>
              </w:rPr>
              <w:t xml:space="preserve">Human Resources</w:t>
            </w:r>
          </w:p>
        </w:tc>
        <w:tc>
          <w:tcPr>
            <w:tcW w:type="dxa" w:w="2000"/>
            <w:shd w:fill="F2F5FA" w:color="auto" w:val="clear"/>
          </w:tcPr>
          <w:p>
            <w:r>
              <w:rPr>
                <w:sz w:val="19"/>
                <w:szCs w:val="19"/>
              </w:rPr>
              <w:t xml:space="preserve">63</w:t>
            </w:r>
          </w:p>
        </w:tc>
        <w:tc>
          <w:tcPr>
            <w:tcW w:type="dxa" w:w="1600"/>
            <w:shd w:fill="F2F5FA" w:color="auto" w:val="clear"/>
          </w:tcPr>
          <w:p>
            <w:r>
              <w:rPr>
                <w:sz w:val="19"/>
                <w:szCs w:val="19"/>
              </w:rPr>
              <w:t xml:space="preserve">12</w:t>
            </w:r>
          </w:p>
        </w:tc>
        <w:tc>
          <w:tcPr>
            <w:tcW w:type="dxa" w:w="2200"/>
            <w:shd w:fill="F2F5FA" w:color="auto" w:val="clear"/>
          </w:tcPr>
          <w:p>
            <w:r>
              <w:rPr>
                <w:sz w:val="19"/>
                <w:szCs w:val="19"/>
              </w:rPr>
              <w:t xml:space="preserve">19.05%</w:t>
            </w:r>
          </w:p>
        </w:tc>
      </w:tr>
      <w:tr>
        <w:tc>
          <w:tcPr>
            <w:tcW w:type="dxa" w:w="3200"/>
            <w:shd w:fill="F2F5FA" w:color="auto" w:val="clear"/>
          </w:tcPr>
          <w:p>
            <w:r>
              <w:rPr>
                <w:sz w:val="19"/>
                <w:szCs w:val="19"/>
              </w:rPr>
              <w:t xml:space="preserve">Research &amp; Development</w:t>
            </w:r>
          </w:p>
        </w:tc>
        <w:tc>
          <w:tcPr>
            <w:tcW w:type="dxa" w:w="2000"/>
            <w:shd w:fill="F2F5FA" w:color="auto" w:val="clear"/>
          </w:tcPr>
          <w:p>
            <w:r>
              <w:rPr>
                <w:sz w:val="19"/>
                <w:szCs w:val="19"/>
              </w:rPr>
              <w:t xml:space="preserve">961</w:t>
            </w:r>
          </w:p>
        </w:tc>
        <w:tc>
          <w:tcPr>
            <w:tcW w:type="dxa" w:w="1600"/>
            <w:shd w:fill="F2F5FA" w:color="auto" w:val="clear"/>
          </w:tcPr>
          <w:p>
            <w:r>
              <w:rPr>
                <w:sz w:val="19"/>
                <w:szCs w:val="19"/>
              </w:rPr>
              <w:t xml:space="preserve">133</w:t>
            </w:r>
          </w:p>
        </w:tc>
        <w:tc>
          <w:tcPr>
            <w:tcW w:type="dxa" w:w="2200"/>
            <w:shd w:fill="F2F5FA" w:color="auto" w:val="clear"/>
          </w:tcPr>
          <w:p>
            <w:r>
              <w:rPr>
                <w:sz w:val="19"/>
                <w:szCs w:val="19"/>
              </w:rPr>
              <w:t xml:space="preserve">13.84%</w:t>
            </w:r>
          </w:p>
        </w:tc>
      </w:tr>
    </w:tbl>
    <w:p>
      <w:pPr>
        <w:spacing w:after="200"/>
      </w:pPr>
    </w:p>
    <w:p>
      <w:pPr>
        <w:spacing w:after="160"/>
        <w:jc w:val="both"/>
      </w:pPr>
      <w:r>
        <w:t xml:space="preserve">The role-level breakdown reveals a much sharper hotspot: Sales Representatives exit at 39.76% -- more than double the departmental average and 2.5x the organizational baseline. This is the single highest-risk role in the company.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600"/>
        <w:gridCol w:w="2200"/>
      </w:tblGrid>
      <w:tr>
        <w:tc>
          <w:tcPr>
            <w:tcW w:type="dxa" w:w="3200"/>
            <w:shd w:fill="1B2A4A" w:color="auto" w:val="clear"/>
          </w:tcPr>
          <w:p>
            <w:r>
              <w:rPr>
                <w:b/>
                <w:bCs/>
                <w:color w:val="FFFFFF"/>
                <w:sz w:val="19"/>
                <w:szCs w:val="19"/>
              </w:rPr>
              <w:t xml:space="preserve">Job Role</w:t>
            </w:r>
          </w:p>
        </w:tc>
        <w:tc>
          <w:tcPr>
            <w:tcW w:type="dxa" w:w="2000"/>
            <w:shd w:fill="1B2A4A" w:color="auto" w:val="clear"/>
          </w:tcPr>
          <w:p>
            <w:r>
              <w:rPr>
                <w:b/>
                <w:bCs/>
                <w:color w:val="FFFFFF"/>
                <w:sz w:val="19"/>
                <w:szCs w:val="19"/>
              </w:rPr>
              <w:t xml:space="preserve">Headcount</w:t>
            </w:r>
          </w:p>
        </w:tc>
        <w:tc>
          <w:tcPr>
            <w:tcW w:type="dxa" w:w="1600"/>
            <w:shd w:fill="1B2A4A" w:color="auto" w:val="clear"/>
          </w:tcPr>
          <w:p>
            <w:r>
              <w:rPr>
                <w:b/>
                <w:bCs/>
                <w:color w:val="FFFFFF"/>
                <w:sz w:val="19"/>
                <w:szCs w:val="19"/>
              </w:rPr>
              <w:t xml:space="preserve">Exits</w:t>
            </w:r>
          </w:p>
        </w:tc>
        <w:tc>
          <w:tcPr>
            <w:tcW w:type="dxa" w:w="2200"/>
            <w:shd w:fill="1B2A4A" w:color="auto" w:val="clear"/>
          </w:tcPr>
          <w:p>
            <w:r>
              <w:rPr>
                <w:b/>
                <w:bCs/>
                <w:color w:val="FFFFFF"/>
                <w:sz w:val="19"/>
                <w:szCs w:val="19"/>
              </w:rPr>
              <w:t xml:space="preserve">Attrition Rate</w:t>
            </w:r>
          </w:p>
        </w:tc>
      </w:tr>
      <w:tr>
        <w:tc>
          <w:tcPr>
            <w:tcW w:type="dxa" w:w="3200"/>
            <w:shd w:fill="F2F5FA" w:color="auto" w:val="clear"/>
          </w:tcPr>
          <w:p>
            <w:r>
              <w:rPr>
                <w:sz w:val="19"/>
                <w:szCs w:val="19"/>
              </w:rPr>
              <w:t xml:space="preserve">Sales Representative</w:t>
            </w:r>
          </w:p>
        </w:tc>
        <w:tc>
          <w:tcPr>
            <w:tcW w:type="dxa" w:w="2000"/>
            <w:shd w:fill="F2F5FA" w:color="auto" w:val="clear"/>
          </w:tcPr>
          <w:p>
            <w:r>
              <w:rPr>
                <w:sz w:val="19"/>
                <w:szCs w:val="19"/>
              </w:rPr>
              <w:t xml:space="preserve">83</w:t>
            </w:r>
          </w:p>
        </w:tc>
        <w:tc>
          <w:tcPr>
            <w:tcW w:type="dxa" w:w="1600"/>
            <w:shd w:fill="F2F5FA" w:color="auto" w:val="clear"/>
          </w:tcPr>
          <w:p>
            <w:r>
              <w:rPr>
                <w:sz w:val="19"/>
                <w:szCs w:val="19"/>
              </w:rPr>
              <w:t xml:space="preserve">33</w:t>
            </w:r>
          </w:p>
        </w:tc>
        <w:tc>
          <w:tcPr>
            <w:tcW w:type="dxa" w:w="2200"/>
            <w:shd w:fill="F2F5FA" w:color="auto" w:val="clear"/>
          </w:tcPr>
          <w:p>
            <w:r>
              <w:rPr>
                <w:sz w:val="19"/>
                <w:szCs w:val="19"/>
              </w:rPr>
              <w:t xml:space="preserve">39.76%</w:t>
            </w:r>
          </w:p>
        </w:tc>
      </w:tr>
      <w:tr>
        <w:tc>
          <w:tcPr>
            <w:tcW w:type="dxa" w:w="3200"/>
            <w:shd w:fill="F2F5FA" w:color="auto" w:val="clear"/>
          </w:tcPr>
          <w:p>
            <w:r>
              <w:rPr>
                <w:sz w:val="19"/>
                <w:szCs w:val="19"/>
              </w:rPr>
              <w:t xml:space="preserve">Laboratory Technician</w:t>
            </w:r>
          </w:p>
        </w:tc>
        <w:tc>
          <w:tcPr>
            <w:tcW w:type="dxa" w:w="2000"/>
            <w:shd w:fill="F2F5FA" w:color="auto" w:val="clear"/>
          </w:tcPr>
          <w:p>
            <w:r>
              <w:rPr>
                <w:sz w:val="19"/>
                <w:szCs w:val="19"/>
              </w:rPr>
              <w:t xml:space="preserve">259</w:t>
            </w:r>
          </w:p>
        </w:tc>
        <w:tc>
          <w:tcPr>
            <w:tcW w:type="dxa" w:w="1600"/>
            <w:shd w:fill="F2F5FA" w:color="auto" w:val="clear"/>
          </w:tcPr>
          <w:p>
            <w:r>
              <w:rPr>
                <w:sz w:val="19"/>
                <w:szCs w:val="19"/>
              </w:rPr>
              <w:t xml:space="preserve">62</w:t>
            </w:r>
          </w:p>
        </w:tc>
        <w:tc>
          <w:tcPr>
            <w:tcW w:type="dxa" w:w="2200"/>
            <w:shd w:fill="F2F5FA" w:color="auto" w:val="clear"/>
          </w:tcPr>
          <w:p>
            <w:r>
              <w:rPr>
                <w:sz w:val="19"/>
                <w:szCs w:val="19"/>
              </w:rPr>
              <w:t xml:space="preserve">23.94%</w:t>
            </w:r>
          </w:p>
        </w:tc>
      </w:tr>
      <w:tr>
        <w:tc>
          <w:tcPr>
            <w:tcW w:type="dxa" w:w="3200"/>
            <w:shd w:fill="F2F5FA" w:color="auto" w:val="clear"/>
          </w:tcPr>
          <w:p>
            <w:r>
              <w:rPr>
                <w:sz w:val="19"/>
                <w:szCs w:val="19"/>
              </w:rPr>
              <w:t xml:space="preserve">Human Resources (role)</w:t>
            </w:r>
          </w:p>
        </w:tc>
        <w:tc>
          <w:tcPr>
            <w:tcW w:type="dxa" w:w="2000"/>
            <w:shd w:fill="F2F5FA" w:color="auto" w:val="clear"/>
          </w:tcPr>
          <w:p>
            <w:r>
              <w:rPr>
                <w:sz w:val="19"/>
                <w:szCs w:val="19"/>
              </w:rPr>
              <w:t xml:space="preserve">52</w:t>
            </w:r>
          </w:p>
        </w:tc>
        <w:tc>
          <w:tcPr>
            <w:tcW w:type="dxa" w:w="1600"/>
            <w:shd w:fill="F2F5FA" w:color="auto" w:val="clear"/>
          </w:tcPr>
          <w:p>
            <w:r>
              <w:rPr>
                <w:sz w:val="19"/>
                <w:szCs w:val="19"/>
              </w:rPr>
              <w:t xml:space="preserve">12</w:t>
            </w:r>
          </w:p>
        </w:tc>
        <w:tc>
          <w:tcPr>
            <w:tcW w:type="dxa" w:w="2200"/>
            <w:shd w:fill="F2F5FA" w:color="auto" w:val="clear"/>
          </w:tcPr>
          <w:p>
            <w:r>
              <w:rPr>
                <w:sz w:val="19"/>
                <w:szCs w:val="19"/>
              </w:rPr>
              <w:t xml:space="preserve">23.08%</w:t>
            </w:r>
          </w:p>
        </w:tc>
      </w:tr>
      <w:tr>
        <w:tc>
          <w:tcPr>
            <w:tcW w:type="dxa" w:w="3200"/>
            <w:shd w:fill="F2F5FA" w:color="auto" w:val="clear"/>
          </w:tcPr>
          <w:p>
            <w:r>
              <w:rPr>
                <w:sz w:val="19"/>
                <w:szCs w:val="19"/>
              </w:rPr>
              <w:t xml:space="preserve">Sales Executive</w:t>
            </w:r>
          </w:p>
        </w:tc>
        <w:tc>
          <w:tcPr>
            <w:tcW w:type="dxa" w:w="2000"/>
            <w:shd w:fill="F2F5FA" w:color="auto" w:val="clear"/>
          </w:tcPr>
          <w:p>
            <w:r>
              <w:rPr>
                <w:sz w:val="19"/>
                <w:szCs w:val="19"/>
              </w:rPr>
              <w:t xml:space="preserve">326</w:t>
            </w:r>
          </w:p>
        </w:tc>
        <w:tc>
          <w:tcPr>
            <w:tcW w:type="dxa" w:w="1600"/>
            <w:shd w:fill="F2F5FA" w:color="auto" w:val="clear"/>
          </w:tcPr>
          <w:p>
            <w:r>
              <w:rPr>
                <w:sz w:val="19"/>
                <w:szCs w:val="19"/>
              </w:rPr>
              <w:t xml:space="preserve">57</w:t>
            </w:r>
          </w:p>
        </w:tc>
        <w:tc>
          <w:tcPr>
            <w:tcW w:type="dxa" w:w="2200"/>
            <w:shd w:fill="F2F5FA" w:color="auto" w:val="clear"/>
          </w:tcPr>
          <w:p>
            <w:r>
              <w:rPr>
                <w:sz w:val="19"/>
                <w:szCs w:val="19"/>
              </w:rPr>
              <w:t xml:space="preserve">17.48%</w:t>
            </w:r>
          </w:p>
        </w:tc>
      </w:tr>
      <w:tr>
        <w:tc>
          <w:tcPr>
            <w:tcW w:type="dxa" w:w="3200"/>
            <w:shd w:fill="F2F5FA" w:color="auto" w:val="clear"/>
          </w:tcPr>
          <w:p>
            <w:r>
              <w:rPr>
                <w:sz w:val="19"/>
                <w:szCs w:val="19"/>
              </w:rPr>
              <w:t xml:space="preserve">Research Scientist</w:t>
            </w:r>
          </w:p>
        </w:tc>
        <w:tc>
          <w:tcPr>
            <w:tcW w:type="dxa" w:w="2000"/>
            <w:shd w:fill="F2F5FA" w:color="auto" w:val="clear"/>
          </w:tcPr>
          <w:p>
            <w:r>
              <w:rPr>
                <w:sz w:val="19"/>
                <w:szCs w:val="19"/>
              </w:rPr>
              <w:t xml:space="preserve">292</w:t>
            </w:r>
          </w:p>
        </w:tc>
        <w:tc>
          <w:tcPr>
            <w:tcW w:type="dxa" w:w="1600"/>
            <w:shd w:fill="F2F5FA" w:color="auto" w:val="clear"/>
          </w:tcPr>
          <w:p>
            <w:r>
              <w:rPr>
                <w:sz w:val="19"/>
                <w:szCs w:val="19"/>
              </w:rPr>
              <w:t xml:space="preserve">47</w:t>
            </w:r>
          </w:p>
        </w:tc>
        <w:tc>
          <w:tcPr>
            <w:tcW w:type="dxa" w:w="2200"/>
            <w:shd w:fill="F2F5FA" w:color="auto" w:val="clear"/>
          </w:tcPr>
          <w:p>
            <w:r>
              <w:rPr>
                <w:sz w:val="19"/>
                <w:szCs w:val="19"/>
              </w:rPr>
              <w:t xml:space="preserve">16.10%</w:t>
            </w:r>
          </w:p>
        </w:tc>
      </w:tr>
      <w:tr>
        <w:tc>
          <w:tcPr>
            <w:tcW w:type="dxa" w:w="3200"/>
            <w:shd w:fill="F2F5FA" w:color="auto" w:val="clear"/>
          </w:tcPr>
          <w:p>
            <w:r>
              <w:rPr>
                <w:sz w:val="19"/>
                <w:szCs w:val="19"/>
              </w:rPr>
              <w:t xml:space="preserve">Manufacturing Director</w:t>
            </w:r>
          </w:p>
        </w:tc>
        <w:tc>
          <w:tcPr>
            <w:tcW w:type="dxa" w:w="2000"/>
            <w:shd w:fill="F2F5FA" w:color="auto" w:val="clear"/>
          </w:tcPr>
          <w:p>
            <w:r>
              <w:rPr>
                <w:sz w:val="19"/>
                <w:szCs w:val="19"/>
              </w:rPr>
              <w:t xml:space="preserve">145</w:t>
            </w:r>
          </w:p>
        </w:tc>
        <w:tc>
          <w:tcPr>
            <w:tcW w:type="dxa" w:w="1600"/>
            <w:shd w:fill="F2F5FA" w:color="auto" w:val="clear"/>
          </w:tcPr>
          <w:p>
            <w:r>
              <w:rPr>
                <w:sz w:val="19"/>
                <w:szCs w:val="19"/>
              </w:rPr>
              <w:t xml:space="preserve">10</w:t>
            </w:r>
          </w:p>
        </w:tc>
        <w:tc>
          <w:tcPr>
            <w:tcW w:type="dxa" w:w="2200"/>
            <w:shd w:fill="F2F5FA" w:color="auto" w:val="clear"/>
          </w:tcPr>
          <w:p>
            <w:r>
              <w:rPr>
                <w:sz w:val="19"/>
                <w:szCs w:val="19"/>
              </w:rPr>
              <w:t xml:space="preserve">6.90%</w:t>
            </w:r>
          </w:p>
        </w:tc>
      </w:tr>
      <w:tr>
        <w:tc>
          <w:tcPr>
            <w:tcW w:type="dxa" w:w="3200"/>
            <w:shd w:fill="F2F5FA" w:color="auto" w:val="clear"/>
          </w:tcPr>
          <w:p>
            <w:r>
              <w:rPr>
                <w:sz w:val="19"/>
                <w:szCs w:val="19"/>
              </w:rPr>
              <w:t xml:space="preserve">Healthcare Representative</w:t>
            </w:r>
          </w:p>
        </w:tc>
        <w:tc>
          <w:tcPr>
            <w:tcW w:type="dxa" w:w="2000"/>
            <w:shd w:fill="F2F5FA" w:color="auto" w:val="clear"/>
          </w:tcPr>
          <w:p>
            <w:r>
              <w:rPr>
                <w:sz w:val="19"/>
                <w:szCs w:val="19"/>
              </w:rPr>
              <w:t xml:space="preserve">131</w:t>
            </w:r>
          </w:p>
        </w:tc>
        <w:tc>
          <w:tcPr>
            <w:tcW w:type="dxa" w:w="1600"/>
            <w:shd w:fill="F2F5FA" w:color="auto" w:val="clear"/>
          </w:tcPr>
          <w:p>
            <w:r>
              <w:rPr>
                <w:sz w:val="19"/>
                <w:szCs w:val="19"/>
              </w:rPr>
              <w:t xml:space="preserve">9</w:t>
            </w:r>
          </w:p>
        </w:tc>
        <w:tc>
          <w:tcPr>
            <w:tcW w:type="dxa" w:w="2200"/>
            <w:shd w:fill="F2F5FA" w:color="auto" w:val="clear"/>
          </w:tcPr>
          <w:p>
            <w:r>
              <w:rPr>
                <w:sz w:val="19"/>
                <w:szCs w:val="19"/>
              </w:rPr>
              <w:t xml:space="preserve">6.87%</w:t>
            </w:r>
          </w:p>
        </w:tc>
      </w:tr>
      <w:tr>
        <w:tc>
          <w:tcPr>
            <w:tcW w:type="dxa" w:w="3200"/>
            <w:shd w:fill="F2F5FA" w:color="auto" w:val="clear"/>
          </w:tcPr>
          <w:p>
            <w:r>
              <w:rPr>
                <w:sz w:val="19"/>
                <w:szCs w:val="19"/>
              </w:rPr>
              <w:t xml:space="preserve">Manager</w:t>
            </w:r>
          </w:p>
        </w:tc>
        <w:tc>
          <w:tcPr>
            <w:tcW w:type="dxa" w:w="2000"/>
            <w:shd w:fill="F2F5FA" w:color="auto" w:val="clear"/>
          </w:tcPr>
          <w:p>
            <w:r>
              <w:rPr>
                <w:sz w:val="19"/>
                <w:szCs w:val="19"/>
              </w:rPr>
              <w:t xml:space="preserve">102</w:t>
            </w:r>
          </w:p>
        </w:tc>
        <w:tc>
          <w:tcPr>
            <w:tcW w:type="dxa" w:w="1600"/>
            <w:shd w:fill="F2F5FA" w:color="auto" w:val="clear"/>
          </w:tcPr>
          <w:p>
            <w:r>
              <w:rPr>
                <w:sz w:val="19"/>
                <w:szCs w:val="19"/>
              </w:rPr>
              <w:t xml:space="preserve">5</w:t>
            </w:r>
          </w:p>
        </w:tc>
        <w:tc>
          <w:tcPr>
            <w:tcW w:type="dxa" w:w="2200"/>
            <w:shd w:fill="F2F5FA" w:color="auto" w:val="clear"/>
          </w:tcPr>
          <w:p>
            <w:r>
              <w:rPr>
                <w:sz w:val="19"/>
                <w:szCs w:val="19"/>
              </w:rPr>
              <w:t xml:space="preserve">4.90%</w:t>
            </w:r>
          </w:p>
        </w:tc>
      </w:tr>
      <w:tr>
        <w:tc>
          <w:tcPr>
            <w:tcW w:type="dxa" w:w="3200"/>
            <w:shd w:fill="F2F5FA" w:color="auto" w:val="clear"/>
          </w:tcPr>
          <w:p>
            <w:r>
              <w:rPr>
                <w:sz w:val="19"/>
                <w:szCs w:val="19"/>
              </w:rPr>
              <w:t xml:space="preserve">Research Director</w:t>
            </w:r>
          </w:p>
        </w:tc>
        <w:tc>
          <w:tcPr>
            <w:tcW w:type="dxa" w:w="2000"/>
            <w:shd w:fill="F2F5FA" w:color="auto" w:val="clear"/>
          </w:tcPr>
          <w:p>
            <w:r>
              <w:rPr>
                <w:sz w:val="19"/>
                <w:szCs w:val="19"/>
              </w:rPr>
              <w:t xml:space="preserve">80</w:t>
            </w:r>
          </w:p>
        </w:tc>
        <w:tc>
          <w:tcPr>
            <w:tcW w:type="dxa" w:w="1600"/>
            <w:shd w:fill="F2F5FA" w:color="auto" w:val="clear"/>
          </w:tcPr>
          <w:p>
            <w:r>
              <w:rPr>
                <w:sz w:val="19"/>
                <w:szCs w:val="19"/>
              </w:rPr>
              <w:t xml:space="preserve">2</w:t>
            </w:r>
          </w:p>
        </w:tc>
        <w:tc>
          <w:tcPr>
            <w:tcW w:type="dxa" w:w="2200"/>
            <w:shd w:fill="F2F5FA" w:color="auto" w:val="clear"/>
          </w:tcPr>
          <w:p>
            <w:r>
              <w:rPr>
                <w:sz w:val="19"/>
                <w:szCs w:val="19"/>
              </w:rPr>
              <w:t xml:space="preserve">2.50%</w:t>
            </w:r>
          </w:p>
        </w:tc>
      </w:tr>
    </w:tbl>
    <w:p>
      <w:pPr>
        <w:spacing w:after="200"/>
      </w:pPr>
    </w:p>
    <w:p>
      <w:pPr>
        <w:spacing w:after="160"/>
        <w:jc w:val="both"/>
      </w:pPr>
      <w:r>
        <w:t xml:space="preserve">Notably, seniority-oriented roles (Manager, Research Director, Manufacturing Director) show the lowest attrition -- all under 7% -- suggesting attrition is concentrated in entry- and mid-level, customer/production-facing positions rather than leadership tiers.</w:t>
      </w:r>
    </w:p>
    <w:p>
      <w:pPr>
        <w:pStyle w:val="Heading1"/>
        <w:spacing w:after="140" w:before="280"/>
      </w:pPr>
      <w:r>
        <w:t xml:space="preserve">5. Demographic Attrition Analysis</w:t>
      </w:r>
    </w:p>
    <w:p>
      <w:pPr>
        <w:spacing w:after="160"/>
        <w:jc w:val="both"/>
      </w:pPr>
      <w:r>
        <w:t xml:space="preserve">Age shows a clear inverse relationship with attrition: employees aged 18-25 exit at 35.77%, more than double the 19.14% rate for 26-35 year-olds, and nearly four times the 9.19% rate for 36-45 year-olds. Attrition rises again slightly for 46-60 year-olds (12.45%), likely reflecting retirement-stage departures rather than dissatisfaction-driven exits.</w:t>
      </w:r>
    </w:p>
    <w:p>
      <w:pPr>
        <w:spacing w:after="160"/>
        <w:jc w:val="both"/>
      </w:pPr>
      <w:r>
        <w:t xml:space="preserve">Marital status shows a similarly strong pattern: single employees exit at 25.53%, roughly double the rate for married (12.48%) and divorced (10.09%) employees -- consistent with single employees typically having fewer location or family constraints tying them to a role.</w:t>
      </w:r>
    </w:p>
    <w:p>
      <w:pPr>
        <w:spacing w:after="160"/>
        <w:jc w:val="both"/>
      </w:pPr>
      <w:r>
        <w:t xml:space="preserve">Gender shows a comparatively small gap (Male 17.01% vs. Female 14.80%). Education field shows Human Resources (25.93%) and Technical Degree (24.24%) backgrounds with the highest attrition, while Medical (13.58%) and Other (13.41%) fields are most stable. Education level shows a generally declining trend from Below College (18.24%) to Doctor (10.42%), suggesting more advanced qualifications are modestly associated with lower attrition.</w:t>
      </w:r>
    </w:p>
    <w:p>
      <w:pPr>
        <w:pStyle w:val="Heading1"/>
        <w:spacing w:after="140" w:before="280"/>
      </w:pPr>
      <w:r>
        <w:t xml:space="preserve">6. Tenure &amp; Career Stage Analysis</w:t>
      </w:r>
    </w:p>
    <w:p>
      <w:pPr>
        <w:spacing w:after="160"/>
        <w:jc w:val="both"/>
      </w:pPr>
      <w:r>
        <w:t xml:space="preserve">Tenure is one of the strongest predictors in this dataset. Employees in their first 0-2 years exit at 29.82% -- nearly triple the rate of 10+ year veterans (8.13%). This early-tenure risk period is a critical window for retention intervention, likely reflecting onboarding mismatch, unmet expectations, or early-career job-shopping behavior.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2A4A" w:color="auto" w:val="clear"/>
          </w:tcPr>
          <w:p>
            <w:r>
              <w:rPr>
                <w:b/>
                <w:bCs/>
                <w:color w:val="FFFFFF"/>
                <w:sz w:val="19"/>
                <w:szCs w:val="19"/>
              </w:rPr>
              <w:t xml:space="preserve">Tenure Bucket</w:t>
            </w:r>
          </w:p>
        </w:tc>
        <w:tc>
          <w:tcPr>
            <w:tcW w:type="dxa" w:w="4500"/>
            <w:shd w:fill="1B2A4A" w:color="auto" w:val="clear"/>
          </w:tcPr>
          <w:p>
            <w:r>
              <w:rPr>
                <w:b/>
                <w:bCs/>
                <w:color w:val="FFFFFF"/>
                <w:sz w:val="19"/>
                <w:szCs w:val="19"/>
              </w:rPr>
              <w:t xml:space="preserve">Attrition Rate</w:t>
            </w:r>
          </w:p>
        </w:tc>
      </w:tr>
      <w:tr>
        <w:tc>
          <w:tcPr>
            <w:tcW w:type="dxa" w:w="4500"/>
            <w:shd w:fill="F2F5FA" w:color="auto" w:val="clear"/>
          </w:tcPr>
          <w:p>
            <w:r>
              <w:rPr>
                <w:sz w:val="19"/>
                <w:szCs w:val="19"/>
              </w:rPr>
              <w:t xml:space="preserve">0-2 yrs (Early)</w:t>
            </w:r>
          </w:p>
        </w:tc>
        <w:tc>
          <w:tcPr>
            <w:tcW w:type="dxa" w:w="4500"/>
            <w:shd w:fill="F2F5FA" w:color="auto" w:val="clear"/>
          </w:tcPr>
          <w:p>
            <w:r>
              <w:rPr>
                <w:sz w:val="19"/>
                <w:szCs w:val="19"/>
              </w:rPr>
              <w:t xml:space="preserve">29.82%</w:t>
            </w:r>
          </w:p>
        </w:tc>
      </w:tr>
      <w:tr>
        <w:tc>
          <w:tcPr>
            <w:tcW w:type="dxa" w:w="4500"/>
            <w:shd w:fill="F2F5FA" w:color="auto" w:val="clear"/>
          </w:tcPr>
          <w:p>
            <w:r>
              <w:rPr>
                <w:sz w:val="19"/>
                <w:szCs w:val="19"/>
              </w:rPr>
              <w:t xml:space="preserve">3-5 yrs (Early-Mid)</w:t>
            </w:r>
          </w:p>
        </w:tc>
        <w:tc>
          <w:tcPr>
            <w:tcW w:type="dxa" w:w="4500"/>
            <w:shd w:fill="F2F5FA" w:color="auto" w:val="clear"/>
          </w:tcPr>
          <w:p>
            <w:r>
              <w:rPr>
                <w:sz w:val="19"/>
                <w:szCs w:val="19"/>
              </w:rPr>
              <w:t xml:space="preserve">13.82%</w:t>
            </w:r>
          </w:p>
        </w:tc>
      </w:tr>
      <w:tr>
        <w:tc>
          <w:tcPr>
            <w:tcW w:type="dxa" w:w="4500"/>
            <w:shd w:fill="F2F5FA" w:color="auto" w:val="clear"/>
          </w:tcPr>
          <w:p>
            <w:r>
              <w:rPr>
                <w:sz w:val="19"/>
                <w:szCs w:val="19"/>
              </w:rPr>
              <w:t xml:space="preserve">6-10 yrs (Mid)</w:t>
            </w:r>
          </w:p>
        </w:tc>
        <w:tc>
          <w:tcPr>
            <w:tcW w:type="dxa" w:w="4500"/>
            <w:shd w:fill="F2F5FA" w:color="auto" w:val="clear"/>
          </w:tcPr>
          <w:p>
            <w:r>
              <w:rPr>
                <w:sz w:val="19"/>
                <w:szCs w:val="19"/>
              </w:rPr>
              <w:t xml:space="preserve">12.28%</w:t>
            </w:r>
          </w:p>
        </w:tc>
      </w:tr>
      <w:tr>
        <w:tc>
          <w:tcPr>
            <w:tcW w:type="dxa" w:w="4500"/>
            <w:shd w:fill="F2F5FA" w:color="auto" w:val="clear"/>
          </w:tcPr>
          <w:p>
            <w:r>
              <w:rPr>
                <w:sz w:val="19"/>
                <w:szCs w:val="19"/>
              </w:rPr>
              <w:t xml:space="preserve">10+ yrs (Senior)</w:t>
            </w:r>
          </w:p>
        </w:tc>
        <w:tc>
          <w:tcPr>
            <w:tcW w:type="dxa" w:w="4500"/>
            <w:shd w:fill="F2F5FA" w:color="auto" w:val="clear"/>
          </w:tcPr>
          <w:p>
            <w:r>
              <w:rPr>
                <w:sz w:val="19"/>
                <w:szCs w:val="19"/>
              </w:rPr>
              <w:t xml:space="preserve">8.13%</w:t>
            </w:r>
          </w:p>
        </w:tc>
      </w:tr>
    </w:tbl>
    <w:p>
      <w:pPr>
        <w:spacing w:after="200"/>
      </w:pPr>
    </w:p>
    <w:p>
      <w:pPr>
        <w:spacing w:after="160"/>
        <w:jc w:val="both"/>
      </w:pPr>
      <w:r>
        <w:t xml:space="preserve">Promotion gap shows a less linear pattern: attrition is highest for employees with a 0-3 year gap since their last promotion (~17%), dips notably at 4-6 years (9.42%), then rises again at 7+ years (15.85%). This suggests promotion timing alone is a weaker standalone driver than tenure, though the 7+ year uptick may reflect stagnation among long-gap employees who have not been promoted.</w:t>
      </w:r>
    </w:p>
    <w:p>
      <w:pPr>
        <w:pStyle w:val="Heading1"/>
        <w:spacing w:after="140" w:before="280"/>
      </w:pPr>
      <w:r>
        <w:t xml:space="preserve">7. Workload &amp; Mobility Impact Analysis</w:t>
      </w:r>
    </w:p>
    <w:p>
      <w:pPr>
        <w:spacing w:after="160"/>
        <w:jc w:val="both"/>
      </w:pPr>
      <w:r>
        <w:t xml:space="preserve">This is the strongest behavioral signal in the dataset. Employees who work overtime exit at 30.53%, nearly three times the 10.44% rate for those who do not -- the single largest gap of any binary factor analyzed. Business travel frequency shows a comparable pattern: employees who travel frequently exit at 24.91%, versus 14.96% for rare travelers and just 8.00% for those who do not travel at all.</w:t>
      </w:r>
    </w:p>
    <w:p>
      <w:pPr>
        <w:spacing w:after="160"/>
        <w:jc w:val="both"/>
      </w:pPr>
      <w:r>
        <w:t xml:space="preserve">These two factors compound. Employees who both work overtime AND travel frequently show an attrition rate of 41.86% (86 employees in this group) -- the highest rate of any segment identified in this entire analysis, more than 2.5x the organizational baseline. This combined "Workload Attrition Index" is the central, most actionable finding of this study.</w:t>
      </w:r>
    </w:p>
    <w:p>
      <w:pPr>
        <w:spacing w:after="160"/>
        <w:jc w:val="both"/>
      </w:pPr>
      <w:r>
        <w:t xml:space="preserve">Distance from home shows a moderate, roughly monotonic effect: attrition rises from 13.77% for employees within 5km to 22.06% for those living 20km+ away, indicating commute burden is a secondary but real contributing factor.</w:t>
      </w:r>
    </w:p>
    <w:p>
      <w:r>
        <w:br w:type="page"/>
      </w:r>
    </w:p>
    <w:p>
      <w:pPr>
        <w:pStyle w:val="Heading1"/>
        <w:spacing w:after="140" w:before="280"/>
      </w:pPr>
      <w:r>
        <w:t xml:space="preserve">8. Key Performance Indicators (KPI)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1B2A4A" w:color="auto" w:val="clear"/>
          </w:tcPr>
          <w:p>
            <w:r>
              <w:rPr>
                <w:b/>
                <w:bCs/>
                <w:color w:val="FFFFFF"/>
                <w:sz w:val="19"/>
                <w:szCs w:val="19"/>
              </w:rPr>
              <w:t xml:space="preserve">KPI</w:t>
            </w:r>
          </w:p>
        </w:tc>
        <w:tc>
          <w:tcPr>
            <w:tcW w:type="dxa" w:w="3200"/>
            <w:shd w:fill="1B2A4A" w:color="auto" w:val="clear"/>
          </w:tcPr>
          <w:p>
            <w:r>
              <w:rPr>
                <w:b/>
                <w:bCs/>
                <w:color w:val="FFFFFF"/>
                <w:sz w:val="19"/>
                <w:szCs w:val="19"/>
              </w:rPr>
              <w:t xml:space="preserve">Value</w:t>
            </w:r>
          </w:p>
        </w:tc>
      </w:tr>
      <w:tr>
        <w:tc>
          <w:tcPr>
            <w:tcW w:type="dxa" w:w="5800"/>
            <w:shd w:fill="F2F5FA" w:color="auto" w:val="clear"/>
          </w:tcPr>
          <w:p>
            <w:r>
              <w:rPr>
                <w:sz w:val="19"/>
                <w:szCs w:val="19"/>
              </w:rPr>
              <w:t xml:space="preserve">Overall Attrition Rate</w:t>
            </w:r>
          </w:p>
        </w:tc>
        <w:tc>
          <w:tcPr>
            <w:tcW w:type="dxa" w:w="3200"/>
            <w:shd w:fill="F2F5FA" w:color="auto" w:val="clear"/>
          </w:tcPr>
          <w:p>
            <w:r>
              <w:rPr>
                <w:sz w:val="19"/>
                <w:szCs w:val="19"/>
              </w:rPr>
              <w:t xml:space="preserve">16.12%</w:t>
            </w:r>
          </w:p>
        </w:tc>
      </w:tr>
      <w:tr>
        <w:tc>
          <w:tcPr>
            <w:tcW w:type="dxa" w:w="5800"/>
            <w:shd w:fill="F2F5FA" w:color="auto" w:val="clear"/>
          </w:tcPr>
          <w:p>
            <w:r>
              <w:rPr>
                <w:sz w:val="19"/>
                <w:szCs w:val="19"/>
              </w:rPr>
              <w:t xml:space="preserve">Highest Attrition Department</w:t>
            </w:r>
          </w:p>
        </w:tc>
        <w:tc>
          <w:tcPr>
            <w:tcW w:type="dxa" w:w="3200"/>
            <w:shd w:fill="F2F5FA" w:color="auto" w:val="clear"/>
          </w:tcPr>
          <w:p>
            <w:r>
              <w:rPr>
                <w:sz w:val="19"/>
                <w:szCs w:val="19"/>
              </w:rPr>
              <w:t xml:space="preserve">Sales (20.63%)</w:t>
            </w:r>
          </w:p>
        </w:tc>
      </w:tr>
      <w:tr>
        <w:tc>
          <w:tcPr>
            <w:tcW w:type="dxa" w:w="5800"/>
            <w:shd w:fill="F2F5FA" w:color="auto" w:val="clear"/>
          </w:tcPr>
          <w:p>
            <w:r>
              <w:rPr>
                <w:sz w:val="19"/>
                <w:szCs w:val="19"/>
              </w:rPr>
              <w:t xml:space="preserve">Highest Attrition Role</w:t>
            </w:r>
          </w:p>
        </w:tc>
        <w:tc>
          <w:tcPr>
            <w:tcW w:type="dxa" w:w="3200"/>
            <w:shd w:fill="F2F5FA" w:color="auto" w:val="clear"/>
          </w:tcPr>
          <w:p>
            <w:r>
              <w:rPr>
                <w:sz w:val="19"/>
                <w:szCs w:val="19"/>
              </w:rPr>
              <w:t xml:space="preserve">Sales Representative (39.76%)</w:t>
            </w:r>
          </w:p>
        </w:tc>
      </w:tr>
      <w:tr>
        <w:tc>
          <w:tcPr>
            <w:tcW w:type="dxa" w:w="5800"/>
            <w:shd w:fill="F2F5FA" w:color="auto" w:val="clear"/>
          </w:tcPr>
          <w:p>
            <w:r>
              <w:rPr>
                <w:sz w:val="19"/>
                <w:szCs w:val="19"/>
              </w:rPr>
              <w:t xml:space="preserve">Early-Tenure Attrition (0-2 yrs)</w:t>
            </w:r>
          </w:p>
        </w:tc>
        <w:tc>
          <w:tcPr>
            <w:tcW w:type="dxa" w:w="3200"/>
            <w:shd w:fill="F2F5FA" w:color="auto" w:val="clear"/>
          </w:tcPr>
          <w:p>
            <w:r>
              <w:rPr>
                <w:sz w:val="19"/>
                <w:szCs w:val="19"/>
              </w:rPr>
              <w:t xml:space="preserve">29.82%</w:t>
            </w:r>
          </w:p>
        </w:tc>
      </w:tr>
      <w:tr>
        <w:tc>
          <w:tcPr>
            <w:tcW w:type="dxa" w:w="5800"/>
            <w:shd w:fill="F2F5FA" w:color="auto" w:val="clear"/>
          </w:tcPr>
          <w:p>
            <w:r>
              <w:rPr>
                <w:sz w:val="19"/>
                <w:szCs w:val="19"/>
              </w:rPr>
              <w:t xml:space="preserve">Workload Attrition Index (OT + Frequent Travel)</w:t>
            </w:r>
          </w:p>
        </w:tc>
        <w:tc>
          <w:tcPr>
            <w:tcW w:type="dxa" w:w="3200"/>
            <w:shd w:fill="F2F5FA" w:color="auto" w:val="clear"/>
          </w:tcPr>
          <w:p>
            <w:r>
              <w:rPr>
                <w:sz w:val="19"/>
                <w:szCs w:val="19"/>
              </w:rPr>
              <w:t xml:space="preserve">41.86%</w:t>
            </w:r>
          </w:p>
        </w:tc>
      </w:tr>
    </w:tbl>
    <w:p>
      <w:pPr>
        <w:pStyle w:val="Heading1"/>
        <w:spacing w:after="140" w:before="280"/>
      </w:pPr>
      <w:r>
        <w:t xml:space="preserve">9. Key Insights</w:t>
      </w:r>
    </w:p>
    <w:p>
      <w:pPr>
        <w:pStyle w:val="ListParagraph"/>
        <w:numPr>
          <w:ilvl w:val="0"/>
          <w:numId w:val="1"/>
        </w:numPr>
        <w:spacing w:after="80"/>
      </w:pPr>
      <w:r>
        <w:t xml:space="preserve">Workload, not demographics, is the dominant driver of attrition here. The OverTime + Frequent Travel combination (41.86%) outweighs any single department, role, age, or education factor identified in this analysis.</w:t>
      </w:r>
    </w:p>
    <w:p>
      <w:pPr>
        <w:pStyle w:val="ListParagraph"/>
        <w:numPr>
          <w:ilvl w:val="0"/>
          <w:numId w:val="1"/>
        </w:numPr>
        <w:spacing w:after="80"/>
      </w:pPr>
      <w:r>
        <w:t xml:space="preserve">Attrition is concentrated in customer/production-facing, early-career roles -- Sales Representatives (39.76%) and early-tenure employees (0-2 yrs, 29.82%) -- rather than in leadership or senior positions.</w:t>
      </w:r>
    </w:p>
    <w:p>
      <w:pPr>
        <w:pStyle w:val="ListParagraph"/>
        <w:numPr>
          <w:ilvl w:val="0"/>
          <w:numId w:val="1"/>
        </w:numPr>
        <w:spacing w:after="80"/>
      </w:pPr>
      <w:r>
        <w:t xml:space="preserve">Single, younger (18-25) employees show meaningfully higher attrition, consistent with lower switching costs at that career stage rather than dissatisfaction alone.</w:t>
      </w:r>
    </w:p>
    <w:p>
      <w:pPr>
        <w:pStyle w:val="ListParagraph"/>
        <w:numPr>
          <w:ilvl w:val="0"/>
          <w:numId w:val="1"/>
        </w:numPr>
        <w:spacing w:after="80"/>
      </w:pPr>
      <w:r>
        <w:t xml:space="preserve">Promotion timing alone is a weak standalone predictor -- its effect appears to interact with tenure and workload rather than acting independently.</w:t>
      </w:r>
    </w:p>
    <w:p>
      <w:pPr>
        <w:pStyle w:val="Heading1"/>
        <w:spacing w:after="140" w:before="280"/>
      </w:pPr>
      <w:r>
        <w:t xml:space="preserve">10. Recommendations</w:t>
      </w:r>
    </w:p>
    <w:p>
      <w:pPr>
        <w:pStyle w:val="ListParagraph"/>
        <w:numPr>
          <w:ilvl w:val="0"/>
          <w:numId w:val="1"/>
        </w:numPr>
        <w:spacing w:after="80"/>
      </w:pPr>
      <w:r>
        <w:t xml:space="preserve">Prioritize workload management for the OverTime + Frequent Travel segment specifically -- this 86-employee group carries the single highest exit risk in the company and merits targeted retention conversations, workload audits, or compensation review.</w:t>
      </w:r>
    </w:p>
    <w:p>
      <w:pPr>
        <w:pStyle w:val="ListParagraph"/>
        <w:numPr>
          <w:ilvl w:val="0"/>
          <w:numId w:val="1"/>
        </w:numPr>
        <w:spacing w:after="80"/>
      </w:pPr>
      <w:r>
        <w:t xml:space="preserve">Strengthen onboarding and early-tenure engagement programs, since the 0-2 year window accounts for the second-largest attrition concentration -- structured 90-day and 1-year check-ins could catch early disengagement before it becomes an exit.</w:t>
      </w:r>
    </w:p>
    <w:p>
      <w:pPr>
        <w:pStyle w:val="ListParagraph"/>
        <w:numPr>
          <w:ilvl w:val="0"/>
          <w:numId w:val="1"/>
        </w:numPr>
        <w:spacing w:after="80"/>
      </w:pPr>
      <w:r>
        <w:t xml:space="preserve">Review Sales Representative role design and support structures given its outlier 39.76% attrition rate -- exit interviews specifically for this role would clarify whether compensation, territory assignment, or management support is the primary driver.</w:t>
      </w:r>
    </w:p>
    <w:p>
      <w:pPr>
        <w:pStyle w:val="ListParagraph"/>
        <w:numPr>
          <w:ilvl w:val="0"/>
          <w:numId w:val="1"/>
        </w:numPr>
        <w:spacing w:after="80"/>
      </w:pPr>
      <w:r>
        <w:t xml:space="preserve">Consider flexible travel/overtime policies or rotation systems for roles that structurally require both, to reduce the compounding effect identified in Section 7.</w:t>
      </w:r>
    </w:p>
    <w:p>
      <w:pPr>
        <w:pStyle w:val="Heading1"/>
        <w:spacing w:after="140" w:before="280"/>
      </w:pPr>
      <w:r>
        <w:t xml:space="preserve">11. Conclusion</w:t>
      </w:r>
    </w:p>
    <w:p>
      <w:pPr>
        <w:spacing w:after="160"/>
        <w:jc w:val="both"/>
      </w:pPr>
      <w:r>
        <w:t xml:space="preserve">This analysis shows that Palo Alto Networks' attrition is not a uniform, organization-wide problem but a concentrated one -- driven predominantly by workload intensity (overtime combined with frequent travel), early-career tenure, and specific customer-facing roles. Addressing these three concentrated risk pockets, rather than applying broad retention initiatives across the entire workforce, is likely to yield the highest return on any retention investment.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2026-07-04T11:06:05.680Z</dcterms:created>
  <dcterms:modified xsi:type="dcterms:W3CDTF">2026-07-04T11:06:05.680Z</dcterms:modified>
</cp:coreProperties>
</file>

<file path=docProps/custom.xml><?xml version="1.0" encoding="utf-8"?>
<Properties xmlns="http://schemas.openxmlformats.org/officeDocument/2006/custom-properties" xmlns:vt="http://schemas.openxmlformats.org/officeDocument/2006/docPropsVTypes"/>
</file>