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SAE features the inverter cannot activate</w:t>
      </w:r>
    </w:p>
    <w:p>
      <w:r>
        <w:rPr>
          <w:color w:val="555555"/>
          <w:sz w:val="18"/>
        </w:rPr>
        <w:t>Qwen3-8B, layer-27 BatchTopK SAE.  MAEMM = maemm-qwen3-8b-invert-rl-v3-step600, best of 4 samples.  &gt;&gt;&gt;X&lt;&lt;&lt; marks the peak-activating token.</w:t>
      </w:r>
    </w:p>
    <w:tbl>
      <w:tblPr>
        <w:tblStyle w:val="LightGrid-Accent1"/>
        <w:tblW w:type="auto" w:w="0"/>
        <w:tblLook w:firstColumn="1" w:firstRow="1" w:lastColumn="0" w:lastRow="0" w:noHBand="0" w:noVBand="1" w:val="04A0"/>
      </w:tblPr>
      <w:tblGrid>
        <w:gridCol w:w="4608"/>
        <w:gridCol w:w="4608"/>
        <w:gridCol w:w="4608"/>
      </w:tblGrid>
      <w:tr>
        <w:tc>
          <w:tcPr>
            <w:tcW w:type="dxa" w:w="2880"/>
          </w:tcPr>
          <w:p>
            <w:r>
              <w:rPr>
                <w:b/>
                <w:sz w:val="20"/>
              </w:rPr>
              <w:t>Feature</w:t>
            </w:r>
          </w:p>
        </w:tc>
        <w:tc>
          <w:tcPr>
            <w:tcW w:type="dxa" w:w="5472"/>
          </w:tcPr>
          <w:p>
            <w:r>
              <w:rPr>
                <w:b/>
                <w:sz w:val="20"/>
              </w:rPr>
              <w:t>Activating corpus example</w:t>
            </w:r>
          </w:p>
        </w:tc>
        <w:tc>
          <w:tcPr>
            <w:tcW w:type="dxa" w:w="5760"/>
          </w:tcPr>
          <w:p>
            <w:r>
              <w:rPr>
                <w:b/>
                <w:sz w:val="20"/>
              </w:rPr>
              <w:t>What the MAEMM produced</w:t>
            </w:r>
          </w:p>
        </w:tc>
      </w:tr>
      <w:tr>
        <w:tc>
          <w:tcPr>
            <w:tcW w:type="dxa" w:w="2880"/>
            <w:vAlign w:val="top"/>
          </w:tcPr>
          <w:p>
            <w:pPr>
              <w:spacing w:after="40"/>
            </w:pPr>
            <w:r>
              <w:rPr>
                <w:b/>
                <w:sz w:val="19"/>
              </w:rPr>
              <w:t>URL scheme</w:t>
              <w:br/>
              <w:br/>
              <w:t>#42273   peak 134</w:t>
              <w:br/>
              <w:t>fires on '://'</w:t>
            </w:r>
          </w:p>
        </w:tc>
        <w:tc>
          <w:tcPr>
            <w:tcW w:type="dxa" w:w="5472"/>
            <w:vAlign w:val="top"/>
          </w:tcPr>
          <w:p>
            <w:pPr>
              <w:spacing w:after="40"/>
            </w:pPr>
            <w:r>
              <w:rPr>
                <w:rFonts w:ascii="Consolas" w:hAnsi="Consolas"/>
                <w:sz w:val="16"/>
              </w:rPr>
              <w:t>…-ransonneti-in-the-Red-Sea/"&gt;&lt;img src="http &gt;&gt;&gt;://&lt;&lt;&lt; preview.cutcaster.com/90168247</w:t>
            </w:r>
          </w:p>
        </w:tc>
        <w:tc>
          <w:tcPr>
            <w:tcW w:type="dxa" w:w="5760"/>
            <w:vAlign w:val="top"/>
          </w:tcPr>
          <w:p>
            <w:pPr>
              <w:spacing w:after="40"/>
            </w:pPr>
            <w:r>
              <w:rPr>
                <w:rFonts w:ascii="Consolas" w:hAnsi="Consolas"/>
                <w:sz w:val="16"/>
              </w:rPr>
              <w:t>best_act 0.04  (of 134)</w:t>
              <w:br/>
              <w:br/>
              <w:t>"enforcement of sanctions. The present study examines LGBT communities in Maryland. I. Monitoring compliance with anti-discrimination laws II. Various indicators of relationship stability III. Persiste…"</w:t>
            </w:r>
          </w:p>
        </w:tc>
      </w:tr>
      <w:tr>
        <w:tc>
          <w:tcPr>
            <w:tcW w:type="dxa" w:w="2880"/>
            <w:vAlign w:val="top"/>
          </w:tcPr>
          <w:p>
            <w:pPr>
              <w:spacing w:after="40"/>
            </w:pPr>
            <w:r>
              <w:rPr>
                <w:b/>
                <w:sz w:val="19"/>
              </w:rPr>
              <w:t>Legal-citation line break</w:t>
              <w:br/>
              <w:br/>
              <w:t>#5600   peak 239</w:t>
              <w:br/>
              <w:t>fires on '\n' after a citation</w:t>
            </w:r>
          </w:p>
        </w:tc>
        <w:tc>
          <w:tcPr>
            <w:tcW w:type="dxa" w:w="5472"/>
            <w:vAlign w:val="top"/>
          </w:tcPr>
          <w:p>
            <w:pPr>
              <w:spacing w:after="40"/>
            </w:pPr>
            <w:r>
              <w:rPr>
                <w:rFonts w:ascii="Consolas" w:hAnsi="Consolas"/>
                <w:sz w:val="16"/>
              </w:rPr>
              <w:t>…684 F.2d 255 &gt;&gt;&gt;\n&lt;&lt;&lt; 217 U.S.P.Q. 15\nJames Q. HORNE, Jr</w:t>
            </w:r>
          </w:p>
        </w:tc>
        <w:tc>
          <w:tcPr>
            <w:tcW w:type="dxa" w:w="5760"/>
            <w:vAlign w:val="top"/>
          </w:tcPr>
          <w:p>
            <w:pPr>
              <w:spacing w:after="40"/>
            </w:pPr>
            <w:r>
              <w:rPr>
                <w:rFonts w:ascii="Consolas" w:hAnsi="Consolas"/>
                <w:sz w:val="16"/>
              </w:rPr>
              <w:t>best_act 0.00  (of 239)</w:t>
              <w:br/>
              <w:br/>
              <w:t>"criminal justice system in Ontario. We feel strongly about this issue given our focus on youth in general and in particular through our work at CUSP. In part due to the above reasons, we’re writing to…"</w:t>
            </w:r>
          </w:p>
        </w:tc>
      </w:tr>
      <w:tr>
        <w:tc>
          <w:tcPr>
            <w:tcW w:type="dxa" w:w="2880"/>
            <w:vAlign w:val="top"/>
          </w:tcPr>
          <w:p>
            <w:pPr>
              <w:spacing w:after="40"/>
            </w:pPr>
            <w:r>
              <w:rPr>
                <w:b/>
                <w:sz w:val="19"/>
              </w:rPr>
              <w:t>Chamber of Commerce</w:t>
              <w:br/>
              <w:br/>
              <w:t>#36075   peak 232</w:t>
              <w:br/>
              <w:t>fires on ' of'  → ' Commerce'</w:t>
            </w:r>
          </w:p>
        </w:tc>
        <w:tc>
          <w:tcPr>
            <w:tcW w:type="dxa" w:w="5472"/>
            <w:vAlign w:val="top"/>
          </w:tcPr>
          <w:p>
            <w:pPr>
              <w:spacing w:after="40"/>
            </w:pPr>
            <w:r>
              <w:rPr>
                <w:rFonts w:ascii="Consolas" w:hAnsi="Consolas"/>
                <w:sz w:val="16"/>
              </w:rPr>
              <w:t>…tion, and executive committee officer of the Fremont Chamber &gt;&gt;&gt; of&lt;&lt;&lt;  Commerce, has been selected to receive the Excellence in Le</w:t>
            </w:r>
          </w:p>
        </w:tc>
        <w:tc>
          <w:tcPr>
            <w:tcW w:type="dxa" w:w="5760"/>
            <w:vAlign w:val="top"/>
          </w:tcPr>
          <w:p>
            <w:pPr>
              <w:spacing w:after="40"/>
            </w:pPr>
            <w:r>
              <w:rPr>
                <w:rFonts w:ascii="Consolas" w:hAnsi="Consolas"/>
                <w:sz w:val="16"/>
              </w:rPr>
              <w:t>best_act 0.00  (of 232)</w:t>
              <w:br/>
              <w:br/>
              <w:t>"Alberta to promote a carbon tax). Currently the best-known (and most broken) proposal for carbon-neutral pricing is the "tax-and-trade" of Friedman &amp; al. * * * THE WORLDWIDE ENERGY TAX: To reduce foss…"</w:t>
            </w:r>
          </w:p>
        </w:tc>
      </w:tr>
      <w:tr>
        <w:tc>
          <w:tcPr>
            <w:tcW w:type="dxa" w:w="2880"/>
            <w:vAlign w:val="top"/>
          </w:tcPr>
          <w:p>
            <w:pPr>
              <w:spacing w:after="40"/>
            </w:pPr>
            <w:r>
              <w:rPr>
                <w:b/>
                <w:sz w:val="19"/>
              </w:rPr>
              <w:t>Roethlisberger</w:t>
              <w:br/>
              <w:br/>
              <w:t>#46080   peak 201</w:t>
              <w:br/>
              <w:t>fires on 'lis'  → 'berger'</w:t>
            </w:r>
          </w:p>
        </w:tc>
        <w:tc>
          <w:tcPr>
            <w:tcW w:type="dxa" w:w="5472"/>
            <w:vAlign w:val="top"/>
          </w:tcPr>
          <w:p>
            <w:pPr>
              <w:spacing w:after="40"/>
            </w:pPr>
            <w:r>
              <w:rPr>
                <w:rFonts w:ascii="Consolas" w:hAnsi="Consolas"/>
                <w:sz w:val="16"/>
              </w:rPr>
              <w:t>…n Leftwich at quarterback, backed up by Charlie Batch. Roeth &gt;&gt;&gt;lis&lt;&lt;&lt; berger is officially listed as questionable for the game, bu</w:t>
            </w:r>
          </w:p>
        </w:tc>
        <w:tc>
          <w:tcPr>
            <w:tcW w:type="dxa" w:w="5760"/>
            <w:vAlign w:val="top"/>
          </w:tcPr>
          <w:p>
            <w:pPr>
              <w:spacing w:after="40"/>
            </w:pPr>
            <w:r>
              <w:rPr>
                <w:rFonts w:ascii="Consolas" w:hAnsi="Consolas"/>
                <w:sz w:val="16"/>
              </w:rPr>
              <w:t>best_act 0.00  (of 201)</w:t>
              <w:br/>
              <w:br/>
              <w:t>"services for admins and developers alike. From our FOSS curriculum – check out our open lesson plans! One of our favorite training resources is the great free tool from the web – MineLaw. LearnOS is a…"</w:t>
            </w:r>
          </w:p>
        </w:tc>
      </w:tr>
      <w:tr>
        <w:tc>
          <w:tcPr>
            <w:tcW w:type="dxa" w:w="2880"/>
            <w:vAlign w:val="top"/>
          </w:tcPr>
          <w:p>
            <w:pPr>
              <w:spacing w:after="40"/>
            </w:pPr>
            <w:r>
              <w:rPr>
                <w:b/>
                <w:sz w:val="19"/>
              </w:rPr>
              <w:t>Ben Affleck</w:t>
              <w:br/>
              <w:br/>
              <w:t>#40461   peak 126</w:t>
              <w:br/>
              <w:t>fires on ' Aff'  → 'leck'</w:t>
            </w:r>
          </w:p>
        </w:tc>
        <w:tc>
          <w:tcPr>
            <w:tcW w:type="dxa" w:w="5472"/>
            <w:vAlign w:val="top"/>
          </w:tcPr>
          <w:p>
            <w:pPr>
              <w:spacing w:after="40"/>
            </w:pPr>
            <w:r>
              <w:rPr>
                <w:rFonts w:ascii="Consolas" w:hAnsi="Consolas"/>
                <w:sz w:val="16"/>
              </w:rPr>
              <w:t>… Daniel Day-Lewis fellow.</w:t>
              <w:tab/>
              <w:t>57%\nArgo, Ben &gt;&gt;&gt; Aff&lt;&lt;&lt; leck is one of the next great directors.</w:t>
              <w:tab/>
              <w:t>8%\nFlight, I hear</w:t>
            </w:r>
          </w:p>
        </w:tc>
        <w:tc>
          <w:tcPr>
            <w:tcW w:type="dxa" w:w="5760"/>
            <w:vAlign w:val="top"/>
          </w:tcPr>
          <w:p>
            <w:pPr>
              <w:spacing w:after="40"/>
            </w:pPr>
            <w:r>
              <w:rPr>
                <w:rFonts w:ascii="Consolas" w:hAnsi="Consolas"/>
                <w:sz w:val="16"/>
              </w:rPr>
              <w:t>best_act 0.00  (of 126)</w:t>
              <w:br/>
              <w:br/>
              <w:t>"criminal record. The info we reviewed shows the verdict was inconsistent with our standards. Here's why: We found that the info we received about the conviction didn't reflect the defendant's current …"</w:t>
            </w:r>
          </w:p>
        </w:tc>
      </w:tr>
      <w:tr>
        <w:tc>
          <w:tcPr>
            <w:tcW w:type="dxa" w:w="2880"/>
            <w:vAlign w:val="top"/>
          </w:tcPr>
          <w:p>
            <w:pPr>
              <w:spacing w:after="40"/>
            </w:pPr>
            <w:r>
              <w:rPr>
                <w:b/>
                <w:sz w:val="19"/>
              </w:rPr>
              <w:t>http prefix</w:t>
              <w:br/>
              <w:br/>
              <w:t>#61125   peak 104</w:t>
              <w:br/>
              <w:t>fires on 'http'  → '://'</w:t>
            </w:r>
          </w:p>
        </w:tc>
        <w:tc>
          <w:tcPr>
            <w:tcW w:type="dxa" w:w="5472"/>
            <w:vAlign w:val="top"/>
          </w:tcPr>
          <w:p>
            <w:pPr>
              <w:spacing w:after="40"/>
            </w:pPr>
            <w:r>
              <w:rPr>
                <w:rFonts w:ascii="Consolas" w:hAnsi="Consolas"/>
                <w:sz w:val="16"/>
              </w:rPr>
              <w:t>… and handshakes to the masses.\nTartar Control\n &gt;&gt;&gt;http&lt;&lt;&lt; ://www.rooftopcomedy.com/TartarControl\nTartar Control</w:t>
            </w:r>
          </w:p>
        </w:tc>
        <w:tc>
          <w:tcPr>
            <w:tcW w:type="dxa" w:w="5760"/>
            <w:vAlign w:val="top"/>
          </w:tcPr>
          <w:p>
            <w:pPr>
              <w:spacing w:after="40"/>
            </w:pPr>
            <w:r>
              <w:rPr>
                <w:rFonts w:ascii="Consolas" w:hAnsi="Consolas"/>
                <w:sz w:val="16"/>
              </w:rPr>
              <w:t>best_act 0.00  (of 104)</w:t>
              <w:br/>
              <w:br/>
              <w:t>"educators, etc. We work in a variety of settings, typically in the context of Native Studies programs. , we’re most commonly identified through one or more of the following networks: – »‹‹‹‹‹‹‹‹‹‹‹‹‹‹…"</w:t>
            </w:r>
          </w:p>
        </w:tc>
      </w:tr>
      <w:tr>
        <w:tc>
          <w:tcPr>
            <w:tcW w:type="dxa" w:w="2880"/>
            <w:vAlign w:val="top"/>
          </w:tcPr>
          <w:p>
            <w:pPr>
              <w:spacing w:after="40"/>
            </w:pPr>
            <w:r>
              <w:rPr>
                <w:b/>
                <w:sz w:val="19"/>
              </w:rPr>
              <w:t>Th- surname</w:t>
              <w:br/>
              <w:br/>
              <w:t>#55059   peak 165</w:t>
              <w:br/>
              <w:t>fires on ' Th'  → elen/ayer/ering</w:t>
            </w:r>
          </w:p>
        </w:tc>
        <w:tc>
          <w:tcPr>
            <w:tcW w:type="dxa" w:w="5472"/>
            <w:vAlign w:val="top"/>
          </w:tcPr>
          <w:p>
            <w:pPr>
              <w:spacing w:after="40"/>
            </w:pPr>
            <w:r>
              <w:rPr>
                <w:rFonts w:ascii="Consolas" w:hAnsi="Consolas"/>
                <w:sz w:val="16"/>
              </w:rPr>
              <w:t>…Swenson, Dana Point, CA\nKaye Tenerelli, Superior, WI\nLydia &gt;&gt;&gt; Th&lt;&lt;&lt; ering, Emeritus,</w:t>
            </w:r>
          </w:p>
        </w:tc>
        <w:tc>
          <w:tcPr>
            <w:tcW w:type="dxa" w:w="5760"/>
            <w:vAlign w:val="top"/>
          </w:tcPr>
          <w:p>
            <w:pPr>
              <w:spacing w:after="40"/>
            </w:pPr>
            <w:r>
              <w:rPr>
                <w:rFonts w:ascii="Consolas" w:hAnsi="Consolas"/>
                <w:sz w:val="16"/>
              </w:rPr>
              <w:t>best_act 1.23  (of 165)</w:t>
              <w:br/>
              <w:br/>
              <w:t>"to the correct type of treatment, and is typically done by your local Mechanic. Simply Said, that's typically their last resort. For This reason, This process is Typically referred to as 'Metalloid' f…"</w:t>
            </w:r>
          </w:p>
        </w:tc>
      </w:tr>
      <w:tr>
        <w:tc>
          <w:tcPr>
            <w:tcW w:type="dxa" w:w="2880"/>
            <w:vAlign w:val="top"/>
          </w:tcPr>
          <w:p>
            <w:pPr>
              <w:spacing w:after="40"/>
            </w:pPr>
            <w:r>
              <w:rPr>
                <w:b/>
                <w:sz w:val="19"/>
              </w:rPr>
              <w:t>Rom- surname</w:t>
              <w:br/>
              <w:br/>
              <w:t>#60862   peak 179</w:t>
              <w:br/>
              <w:t>fires on ' Rom'  → o/er/ano</w:t>
            </w:r>
          </w:p>
        </w:tc>
        <w:tc>
          <w:tcPr>
            <w:tcW w:type="dxa" w:w="5472"/>
            <w:vAlign w:val="top"/>
          </w:tcPr>
          <w:p>
            <w:pPr>
              <w:spacing w:after="40"/>
            </w:pPr>
            <w:r>
              <w:rPr>
                <w:rFonts w:ascii="Consolas" w:hAnsi="Consolas"/>
                <w:sz w:val="16"/>
              </w:rPr>
              <w:t xml:space="preserve">…icipated Edmund�s Oast today, Friday, February 14. Chef Nico &gt;&gt;&gt; Rom&lt;&lt;&lt; o of Fish Restaurant named </w:t>
            </w:r>
          </w:p>
        </w:tc>
        <w:tc>
          <w:tcPr>
            <w:tcW w:type="dxa" w:w="5760"/>
            <w:vAlign w:val="top"/>
          </w:tcPr>
          <w:p>
            <w:pPr>
              <w:spacing w:after="40"/>
            </w:pPr>
            <w:r>
              <w:rPr>
                <w:rFonts w:ascii="Consolas" w:hAnsi="Consolas"/>
                <w:sz w:val="16"/>
              </w:rPr>
              <w:t>best_act 0.00  (of 179)</w:t>
              <w:br/>
              <w:br/>
              <w:t>"and regulations in place to tackle the issue of weediness…is key! Why Is It Important To Choose Organic Farming In UK? Now, don’t get us wrong – we totally get why many farmers across the nation opt f…"</w:t>
            </w:r>
          </w:p>
        </w:tc>
      </w:tr>
    </w:tbl>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