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Ledger Accounting Platform Progress Report</w:t>
      </w:r>
    </w:p>
    <w:p>
      <w:pPr>
        <w:spacing w:after="180"/>
      </w:pPr>
      <w:r>
        <w:rPr>
          <w:color w:val="58626D"/>
          <w:sz w:val="18"/>
        </w:rPr>
        <w:t>Prepared for Arbaz  |  15 October 2026</w:t>
      </w:r>
    </w:p>
    <w:p>
      <w:r>
        <w:t>This report covers the SaaS Customer Portal Specification and the firm owner module requirements in Req.pdf. The latest verified application updates are live and on GitHub. The documents are not yet fully implemented: some accounting correction tools and advanced exports still need development, while payment, email, bank feed and backup integrations need provider accounts.</w:t>
      </w:r>
    </w:p>
    <w:p>
      <w:pPr>
        <w:pStyle w:val="Heading1"/>
      </w:pPr>
      <w:r>
        <w:rPr>
          <w:color w:val="000000"/>
          <w:u w:val="none"/>
        </w:rPr>
        <w:t>Current status</w:t>
      </w:r>
    </w:p>
    <w:tbl>
      <w:tblPr>
        <w:tblW w:type="auto" w:w="0"/>
        <w:jc w:val="center"/>
        <w:tblLayout w:type="fixed"/>
        <w:tblLook w:firstColumn="1" w:firstRow="1" w:lastColumn="0" w:lastRow="0" w:noHBand="0" w:noVBand="1" w:val="04A0"/>
      </w:tblPr>
      <w:tblGrid>
        <w:gridCol w:w="2405"/>
        <w:gridCol w:w="7474"/>
      </w:tblGrid>
      <w:tr>
        <w:trPr>
          <w:tblHeader w:val="true"/>
        </w:trP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233D5B"/>
          </w:tcPr>
          <w:p>
            <w:pPr>
              <w:spacing w:after="0" w:line="259" w:lineRule="auto"/>
            </w:pPr>
            <w:r>
              <w:rPr>
                <w:rFonts w:ascii="Arial" w:hAnsi="Arial"/>
                <w:b/>
                <w:color w:val="FFFFFF"/>
                <w:sz w:val="18"/>
              </w:rPr>
              <w:t>Area</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233D5B"/>
          </w:tcPr>
          <w:p>
            <w:pPr>
              <w:spacing w:after="0" w:line="259" w:lineRule="auto"/>
            </w:pPr>
            <w:r>
              <w:rPr>
                <w:rFonts w:ascii="Arial" w:hAnsi="Arial"/>
                <w:b/>
                <w:color w:val="FFFFFF"/>
                <w:sz w:val="18"/>
              </w:rPr>
              <w:t>Status</w:t>
            </w:r>
          </w:p>
        </w:tc>
      </w:tr>
      <w:t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Live application</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Verified application commit 8b2a466; production deployment ready and login page responding.</w:t>
            </w:r>
          </w:p>
        </w:tc>
      </w:tr>
      <w:t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F4F7FA"/>
          </w:tcPr>
          <w:p>
            <w:pPr>
              <w:spacing w:after="0" w:line="259" w:lineRule="auto"/>
            </w:pPr>
            <w:r>
              <w:rPr>
                <w:rFonts w:ascii="Arial" w:hAnsi="Arial"/>
                <w:sz w:val="18"/>
              </w:rPr>
              <w:t>Accounting and reports</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F4F7FA"/>
          </w:tcPr>
          <w:p>
            <w:pPr>
              <w:spacing w:after="0" w:line="259" w:lineRule="auto"/>
            </w:pPr>
            <w:r>
              <w:rPr>
                <w:rFonts w:ascii="Arial" w:hAnsi="Arial"/>
                <w:sz w:val="18"/>
              </w:rPr>
              <w:t>Core owner workflows, firm books and planning reports live. The correction and export items below remain open.</w:t>
            </w:r>
          </w:p>
        </w:tc>
      </w:tr>
      <w:t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External integrations</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Inactive until service accounts and connection details are available.</w:t>
            </w:r>
          </w:p>
        </w:tc>
      </w:tr>
    </w:tbl>
    <w:p>
      <w:pPr>
        <w:spacing w:after="0"/>
      </w:pPr>
    </w:p>
    <w:p>
      <w:pPr>
        <w:pStyle w:val="Heading1"/>
      </w:pPr>
      <w:r>
        <w:rPr>
          <w:color w:val="000000"/>
          <w:u w:val="none"/>
        </w:rPr>
        <w:t>What has been completed</w:t>
      </w:r>
    </w:p>
    <w:p>
      <w:pPr>
        <w:pStyle w:val="ReportBullet"/>
      </w:pPr>
      <w:r>
        <w:t xml:space="preserve">• </w:t>
      </w:r>
      <w:r>
        <w:rPr>
          <w:b/>
        </w:rPr>
        <w:t xml:space="preserve">Business owner portal. </w:t>
      </w:r>
      <w:r>
        <w:t>Dashboard, company settings, default tax rate, exchange rates, customers and suppliers, products and services, employees, invoices and bills, payments and credits, bank transfers, deposits, expenses, other income receipts, manual journals and an activity log.</w:t>
      </w:r>
    </w:p>
    <w:p>
      <w:pPr>
        <w:pStyle w:val="ReportBullet"/>
      </w:pPr>
      <w:r>
        <w:t xml:space="preserve">• </w:t>
      </w:r>
      <w:r>
        <w:rPr>
          <w:b/>
        </w:rPr>
        <w:t xml:space="preserve">Business reports. </w:t>
      </w:r>
      <w:r>
        <w:t>Financial statements, receivables and payables ageing, trial balance, journal, sales by customer and item, purchases by supplier, expenses by category, inventory valuation and movements, and bank reconciliation history. Tables can be exported to CSV or printed and saved as PDF through the browser.</w:t>
      </w:r>
    </w:p>
    <w:p>
      <w:pPr>
        <w:pStyle w:val="ReportBullet"/>
      </w:pPr>
      <w:r>
        <w:t xml:space="preserve">• </w:t>
      </w:r>
      <w:r>
        <w:rPr>
          <w:b/>
        </w:rPr>
        <w:t xml:space="preserve">Firm owner module. </w:t>
      </w:r>
      <w:r>
        <w:t>Separate USD firm books for B&amp;B Accounting Firm LLC and Meridian Accounting, team and client administration, financial and activity reports, subscription fee records and 30 day renewal reminders. Firm managed subscriptions do not create invoices automatically, as requested.</w:t>
      </w:r>
    </w:p>
    <w:p>
      <w:pPr>
        <w:pStyle w:val="ReportBullet"/>
      </w:pPr>
      <w:r>
        <w:t xml:space="preserve">• </w:t>
      </w:r>
      <w:r>
        <w:rPr>
          <w:b/>
        </w:rPr>
        <w:t xml:space="preserve">Firm planning. </w:t>
      </w:r>
      <w:r>
        <w:t>Client to firm customer links, staff hourly cost and capacity, client work time, monthly targets, estimated client contribution, staff utilization and budget against actual reports.</w:t>
      </w:r>
    </w:p>
    <w:p>
      <w:pPr>
        <w:pStyle w:val="ReportBullet"/>
      </w:pPr>
      <w:r>
        <w:t xml:space="preserve">• </w:t>
      </w:r>
      <w:r>
        <w:rPr>
          <w:b/>
        </w:rPr>
        <w:t xml:space="preserve">Branding. </w:t>
      </w:r>
      <w:r>
        <w:t>Transparent draft logos for both firms are saved in the GitHub project, including PNG files sized for the existing upload control. Live firm branding has not been changed.</w:t>
      </w:r>
    </w:p>
    <w:p>
      <w:pPr>
        <w:pStyle w:val="Heading1"/>
      </w:pPr>
      <w:r>
        <w:rPr>
          <w:color w:val="000000"/>
          <w:u w:val="none"/>
        </w:rPr>
        <w:t>What remains to be built</w:t>
      </w:r>
    </w:p>
    <w:p>
      <w:pPr>
        <w:pStyle w:val="ReportBullet"/>
      </w:pPr>
      <w:r>
        <w:t xml:space="preserve">• </w:t>
      </w:r>
      <w:r>
        <w:rPr>
          <w:b/>
        </w:rPr>
        <w:t xml:space="preserve">Accounting corrections. </w:t>
      </w:r>
      <w:r>
        <w:t>Unapply or reallocate a payment; void invoices or bills after a payment or stock movement; and complete the debit note workflow. These need audited reversal entries and tests so cash, receivables, payables and inventory continue to balance.</w:t>
      </w:r>
    </w:p>
    <w:p>
      <w:pPr>
        <w:pStyle w:val="ReportBullet"/>
      </w:pPr>
      <w:r>
        <w:t xml:space="preserve">• </w:t>
      </w:r>
      <w:r>
        <w:rPr>
          <w:b/>
        </w:rPr>
        <w:t xml:space="preserve">Exports and presentation. </w:t>
      </w:r>
      <w:r>
        <w:t>Dedicated downloadable PDF files for reports and credit notes, deeper inventory analytics and full invoice template customization. Browser printing currently provides a Save as PDF option.</w:t>
      </w:r>
    </w:p>
    <w:p>
      <w:pPr>
        <w:pStyle w:val="ReportBullet"/>
      </w:pPr>
      <w:r>
        <w:t xml:space="preserve">• </w:t>
      </w:r>
      <w:r>
        <w:rPr>
          <w:b/>
        </w:rPr>
        <w:t xml:space="preserve">Owner controls. </w:t>
      </w:r>
      <w:r>
        <w:t>More detailed business role administration and a lock date screen. Existing firm permissions and period controls are available, but these owner screens are limited.</w:t>
      </w:r>
    </w:p>
    <w:p>
      <w:r>
        <w:br w:type="page"/>
      </w:r>
    </w:p>
    <w:p>
      <w:pPr>
        <w:pStyle w:val="Heading1"/>
      </w:pPr>
      <w:r>
        <w:rPr>
          <w:color w:val="000000"/>
          <w:u w:val="none"/>
        </w:rPr>
        <w:t>What I need from you</w:t>
      </w:r>
    </w:p>
    <w:tbl>
      <w:tblPr>
        <w:tblW w:type="auto" w:w="0"/>
        <w:jc w:val="center"/>
        <w:tblLayout w:type="fixed"/>
        <w:tblLook w:firstColumn="1" w:firstRow="1" w:lastColumn="0" w:lastRow="0" w:noHBand="0" w:noVBand="1" w:val="04A0"/>
      </w:tblPr>
      <w:tblGrid>
        <w:gridCol w:w="2405"/>
        <w:gridCol w:w="7474"/>
      </w:tblGrid>
      <w:tr>
        <w:trPr>
          <w:tblHeader w:val="true"/>
        </w:trP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233D5B"/>
          </w:tcPr>
          <w:p>
            <w:pPr>
              <w:spacing w:after="0" w:line="259" w:lineRule="auto"/>
            </w:pPr>
            <w:r>
              <w:rPr>
                <w:rFonts w:ascii="Arial" w:hAnsi="Arial"/>
                <w:b/>
                <w:color w:val="FFFFFF"/>
                <w:sz w:val="18"/>
              </w:rPr>
              <w:t>For</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233D5B"/>
          </w:tcPr>
          <w:p>
            <w:pPr>
              <w:spacing w:after="0" w:line="259" w:lineRule="auto"/>
            </w:pPr>
            <w:r>
              <w:rPr>
                <w:rFonts w:ascii="Arial" w:hAnsi="Arial"/>
                <w:b/>
                <w:color w:val="FFFFFF"/>
                <w:sz w:val="18"/>
              </w:rPr>
              <w:t>Your input</w:t>
            </w:r>
          </w:p>
        </w:tc>
      </w:tr>
      <w:t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Live logos</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Choose either draft for its firm or describe changes before it is installed.</w:t>
            </w:r>
          </w:p>
        </w:tc>
      </w:tr>
      <w:t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F4F7FA"/>
          </w:tcPr>
          <w:p>
            <w:pPr>
              <w:spacing w:after="0" w:line="259" w:lineRule="auto"/>
            </w:pPr>
            <w:r>
              <w:rPr>
                <w:rFonts w:ascii="Arial" w:hAnsi="Arial"/>
                <w:sz w:val="18"/>
              </w:rPr>
              <w:t>Meaningful firm reports</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F4F7FA"/>
          </w:tcPr>
          <w:p>
            <w:pPr>
              <w:spacing w:after="0" w:line="259" w:lineRule="auto"/>
            </w:pPr>
            <w:r>
              <w:rPr>
                <w:rFonts w:ascii="Arial" w:hAnsi="Arial"/>
                <w:sz w:val="18"/>
              </w:rPr>
              <w:t>Match clients to customers in each firm's books; enter staff hourly cost and weekly capacity, work time and monthly targets.</w:t>
            </w:r>
          </w:p>
        </w:tc>
      </w:tr>
      <w:t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Online payment links</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Stripe and PayPal accounts and the required connection credentials when you are ready to activate them.</w:t>
            </w:r>
          </w:p>
        </w:tc>
      </w:tr>
      <w:t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F4F7FA"/>
          </w:tcPr>
          <w:p>
            <w:pPr>
              <w:spacing w:after="0" w:line="259" w:lineRule="auto"/>
            </w:pPr>
            <w:r>
              <w:rPr>
                <w:rFonts w:ascii="Arial" w:hAnsi="Arial"/>
                <w:sz w:val="18"/>
              </w:rPr>
              <w:t>Automatic email</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F4F7FA"/>
          </w:tcPr>
          <w:p>
            <w:pPr>
              <w:spacing w:after="0" w:line="259" w:lineRule="auto"/>
            </w:pPr>
            <w:r>
              <w:rPr>
                <w:rFonts w:ascii="Arial" w:hAnsi="Arial"/>
                <w:sz w:val="18"/>
              </w:rPr>
              <w:t>An email sending service plus a verified sender address or domain. Invoice and reminder templates can already be saved.</w:t>
            </w:r>
          </w:p>
        </w:tc>
      </w:tr>
      <w:t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Direct bank feeds</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tcPr>
          <w:p>
            <w:pPr>
              <w:spacing w:after="0" w:line="259" w:lineRule="auto"/>
            </w:pPr>
            <w:r>
              <w:rPr>
                <w:rFonts w:ascii="Arial" w:hAnsi="Arial"/>
                <w:sz w:val="18"/>
              </w:rPr>
              <w:t>Access or authorization for the selected bank feed provider. Bank CSV import already works.</w:t>
            </w:r>
          </w:p>
        </w:tc>
      </w:tr>
      <w:tr>
        <w:tc>
          <w:tcPr>
            <w:tcW w:type="dxa" w:w="2405"/>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F4F7FA"/>
          </w:tcPr>
          <w:p>
            <w:pPr>
              <w:spacing w:after="0" w:line="259" w:lineRule="auto"/>
            </w:pPr>
            <w:r>
              <w:rPr>
                <w:rFonts w:ascii="Arial" w:hAnsi="Arial"/>
                <w:sz w:val="18"/>
              </w:rPr>
              <w:t>Off site backups</w:t>
            </w:r>
          </w:p>
        </w:tc>
        <w:tc>
          <w:tcPr>
            <w:tcW w:type="dxa" w:w="7474"/>
            <w:vAlign w:val="center"/>
            <w:tcBorders>
              <w:top w:val="single" w:color="D9D9D9" w:sz="5"/>
              <w:left w:val="single" w:color="D9D9D9" w:sz="5"/>
              <w:bottom w:val="single" w:color="D9D9D9" w:sz="5"/>
              <w:right w:val="single" w:color="D9D9D9" w:sz="5"/>
            </w:tcBorders>
            <w:tcMar>
              <w:top w:w="75" w:type="dxa"/>
              <w:bottom w:w="75" w:type="dxa"/>
              <w:left w:w="105" w:type="dxa"/>
              <w:right w:w="105" w:type="dxa"/>
            </w:tcMar>
            <w:shd w:fill="F4F7FA"/>
          </w:tcPr>
          <w:p>
            <w:pPr>
              <w:spacing w:after="0" w:line="259" w:lineRule="auto"/>
            </w:pPr>
            <w:r>
              <w:rPr>
                <w:rFonts w:ascii="Arial" w:hAnsi="Arial"/>
                <w:sz w:val="18"/>
              </w:rPr>
              <w:t>A backup destination account and connection details. Existing database recovery is separate from an independent off site copy.</w:t>
            </w:r>
          </w:p>
        </w:tc>
      </w:tr>
    </w:tbl>
    <w:p>
      <w:pPr>
        <w:spacing w:after="0"/>
      </w:pPr>
    </w:p>
    <w:p>
      <w:pPr>
        <w:pStyle w:val="Heading1"/>
      </w:pPr>
      <w:r>
        <w:rPr>
          <w:color w:val="000000"/>
          <w:u w:val="none"/>
        </w:rPr>
        <w:t>Questions for you</w:t>
      </w:r>
    </w:p>
    <w:p>
      <w:pPr>
        <w:pStyle w:val="ReportBullet"/>
      </w:pPr>
      <w:r>
        <w:rPr>
          <w:b/>
        </w:rPr>
        <w:t xml:space="preserve">1. </w:t>
      </w:r>
      <w:r>
        <w:t>Should the B&amp;B Accounting Firm LLC and Meridian Accounting logo drafts be used as they are, or revised first?</w:t>
      </w:r>
    </w:p>
    <w:p>
      <w:pPr>
        <w:pStyle w:val="ReportBullet"/>
      </w:pPr>
      <w:r>
        <w:rPr>
          <w:b/>
        </w:rPr>
        <w:t xml:space="preserve">2. </w:t>
      </w:r>
      <w:r>
        <w:t>Does debit note mean an additional charge to a customer, a reduction of a supplier bill, or both?</w:t>
      </w:r>
    </w:p>
    <w:p>
      <w:pPr>
        <w:pStyle w:val="Heading1"/>
      </w:pPr>
      <w:r>
        <w:rPr>
          <w:color w:val="000000"/>
          <w:u w:val="none"/>
        </w:rPr>
        <w:t>Limits of the current firm reports</w:t>
      </w:r>
    </w:p>
    <w:p>
      <w:r>
        <w:t>Client contribution is an estimate: linked firm invoice revenue less recorded staff time cost. It excludes indirect overhead. Subscription fees appear as actual revenue only after a firm invoice is posted. Owners must enter the links, rates, time and targets listed above for these reports to become useful.</w:t>
      </w:r>
    </w:p>
    <w:p>
      <w:pPr>
        <w:pStyle w:val="Heading1"/>
      </w:pPr>
      <w:r>
        <w:rPr>
          <w:color w:val="000000"/>
          <w:u w:val="none"/>
        </w:rPr>
        <w:t>Verification and references</w:t>
      </w:r>
    </w:p>
    <w:p>
      <w:r>
        <w:t>The production database migration was rehearsed on a Neon copy and applied to the live database. The latest application code passed TypeScript checks, a production build, 8 unit tests and 30 isolated database and portal checks on 14 October 2026. The live login page returned HTTP 200 on 15 October 2026.</w:t>
      </w:r>
    </w:p>
    <w:p>
      <w:r>
        <w:t>Live site: https://ledger-accounting-platform.vercel.app/login</w:t>
        <w:br/>
        <w:t>GitHub: https://github.com/arbaz-webdev/ledger-accounting-platform</w:t>
        <w:br/>
        <w:t>Detailed written status: PROGRESS-REPORT-2026-10-15.md in the GitHub project.</w:t>
      </w:r>
    </w:p>
    <w:sectPr w:rsidR="00FC693F" w:rsidRPr="0006063C" w:rsidSect="00034616">
      <w:footerReference w:type="default" r:id="rId9"/>
      <w:pgSz w:w="12240" w:h="15840"/>
      <w:pgMar w:top="1123" w:right="1181" w:bottom="979" w:left="1181"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870"/>
        <w:sz w:val="16"/>
      </w:rPr>
      <w:t xml:space="preserve">Ledger Accounting Platform  •  15 October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C22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Bullet">
    <w:name w:val="Report Bullet"/>
    <w:basedOn w:val="Normal"/>
    <w:pPr>
      <w:spacing w:after="100"/>
      <w:ind w:left="360" w:hanging="23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