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8246" w14:textId="77777777" w:rsidR="001C6EB4" w:rsidRPr="001C6EB4" w:rsidRDefault="001C6EB4" w:rsidP="001C6EB4">
      <w:pPr>
        <w:rPr>
          <w:b/>
          <w:bCs/>
          <w:sz w:val="28"/>
        </w:rPr>
      </w:pPr>
      <w:r w:rsidRPr="001C6EB4">
        <w:rPr>
          <w:b/>
          <w:bCs/>
          <w:sz w:val="28"/>
        </w:rPr>
        <w:t>6. Stakeholder Register Creation</w:t>
      </w:r>
    </w:p>
    <w:p w14:paraId="2A45A3DB" w14:textId="77777777" w:rsidR="001C6EB4" w:rsidRPr="001C6EB4" w:rsidRDefault="001C6EB4" w:rsidP="001C6EB4">
      <w:pPr>
        <w:rPr>
          <w:sz w:val="24"/>
          <w:szCs w:val="24"/>
        </w:rPr>
      </w:pPr>
      <w:r w:rsidRPr="001C6EB4">
        <w:rPr>
          <w:sz w:val="24"/>
          <w:szCs w:val="24"/>
        </w:rPr>
        <w:t>The following table identifies the stakeholders, their roles, and interests: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80"/>
        <w:gridCol w:w="1646"/>
        <w:gridCol w:w="3717"/>
        <w:gridCol w:w="1467"/>
      </w:tblGrid>
      <w:tr w:rsidR="001C6EB4" w:rsidRPr="001C6EB4" w14:paraId="718C86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BC121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CEE25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E8F582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Interests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F3DA4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Influence Level</w:t>
            </w:r>
          </w:p>
        </w:tc>
      </w:tr>
      <w:tr w:rsidR="001C6EB4" w:rsidRPr="001C6EB4" w14:paraId="3684D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DD4DE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Applicants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C0FE8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End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5B0728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Fast approval, inclusive scoring, data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E5523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Medium</w:t>
            </w:r>
          </w:p>
        </w:tc>
      </w:tr>
      <w:tr w:rsidR="001C6EB4" w:rsidRPr="001C6EB4" w14:paraId="3E0F2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C1E3D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Bank Administrators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0DDED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System 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ED025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Efficient risk management, fraud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40FCE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High</w:t>
            </w:r>
          </w:p>
        </w:tc>
      </w:tr>
      <w:tr w:rsidR="001C6EB4" w:rsidRPr="001C6EB4" w14:paraId="4C0A3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CB7B3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Bank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02DCA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Sponsor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9571B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Customer growth, cost reduction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F6D8B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High</w:t>
            </w:r>
          </w:p>
        </w:tc>
      </w:tr>
      <w:tr w:rsidR="001C6EB4" w:rsidRPr="001C6EB4" w14:paraId="35101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1A317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IT Security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A8B23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Technical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89921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Data encryption, system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47518A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Medium</w:t>
            </w:r>
          </w:p>
        </w:tc>
      </w:tr>
      <w:tr w:rsidR="001C6EB4" w:rsidRPr="001C6EB4" w14:paraId="0A572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BB5C8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b/>
                <w:bCs/>
                <w:sz w:val="24"/>
                <w:szCs w:val="24"/>
              </w:rPr>
              <w:t>Regulatory Authorities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9961D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Oversight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70DC49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Legal compliance, fair lending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F98D7" w14:textId="77777777" w:rsidR="001C6EB4" w:rsidRPr="001C6EB4" w:rsidRDefault="001C6EB4" w:rsidP="001C6EB4">
            <w:pPr>
              <w:rPr>
                <w:sz w:val="24"/>
                <w:szCs w:val="24"/>
              </w:rPr>
            </w:pPr>
            <w:r w:rsidRPr="001C6EB4">
              <w:rPr>
                <w:sz w:val="24"/>
                <w:szCs w:val="24"/>
              </w:rPr>
              <w:t>High</w:t>
            </w:r>
          </w:p>
        </w:tc>
      </w:tr>
    </w:tbl>
    <w:p w14:paraId="044678BF" w14:textId="77777777" w:rsidR="00A40E2E" w:rsidRPr="001C6EB4" w:rsidRDefault="00A40E2E">
      <w:pPr>
        <w:rPr>
          <w:sz w:val="24"/>
          <w:szCs w:val="24"/>
        </w:rPr>
      </w:pPr>
    </w:p>
    <w:sectPr w:rsidR="00A40E2E" w:rsidRPr="001C6EB4" w:rsidSect="0056385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B4"/>
    <w:rsid w:val="001C6EB4"/>
    <w:rsid w:val="004D67EE"/>
    <w:rsid w:val="00520579"/>
    <w:rsid w:val="0056385B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5CCA"/>
  <w15:chartTrackingRefBased/>
  <w15:docId w15:val="{3400D406-E001-4FCC-A21B-A1ECAF65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B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B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B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6E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6E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2026-01-28T10:31:00Z</dcterms:created>
  <dcterms:modified xsi:type="dcterms:W3CDTF">2026-01-28T11:20:00Z</dcterms:modified>
</cp:coreProperties>
</file>