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bguh5</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bguh5</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