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{{today}}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{{client_name}}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{{client_address}}</w:t>
      </w:r>
    </w:p>
    <w:p>
      <w:pPr>
        <w:spacing w:after="280"/>
      </w:pPr>
      <w:r>
        <w:rPr>
          <w:rFonts w:ascii="Calibri" w:cs="Calibri" w:eastAsia="Calibri" w:hAnsi="Calibri"/>
          <w:sz w:val="22"/>
          <w:szCs w:val="22"/>
        </w:rPr>
        <w:t xml:space="preserve">Client number: {{client_number}}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PROVISIONAL SURVEY PLAN: {{property_name}}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Dear {{client_name}},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Please find below the provisional survey details for your allocation at {{property_name}}, {{property_location}}.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5824"/>
      </w:tblGrid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Plot / unit number(s)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{{plot_numbers}}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{{total_size_sqm}} sqm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Client number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{{client_number}}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registered survey will be processed after the payment of survey fees and the approval of the relevant authorities.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For: {{company_name}}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2026-10-04T22:45:56.568Z</dcterms:created>
  <dcterms:modified xsi:type="dcterms:W3CDTF">2026-10-04T22:45:56.568Z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