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jc w:val="center"/>
      </w:pPr>
      <w:r>
        <w:rPr>
          <w:rFonts w:ascii="Arial" w:cs="Arial" w:eastAsia="Arial" w:hAnsi="Arial"/>
          <w:b/>
          <w:bCs/>
          <w:color w:val="1F4E79"/>
          <w:sz w:val="56"/>
          <w:szCs w:val="56"/>
        </w:rPr>
        <w:t xml:space="preserve">Bankroll Protocol</w:t>
      </w:r>
    </w:p>
    <w:p>
      <w:pPr>
        <w:spacing w:after="200"/>
        <w:jc w:val="center"/>
      </w:pPr>
      <w:r>
        <w:rPr>
          <w:rFonts w:ascii="Arial" w:cs="Arial" w:eastAsia="Arial" w:hAnsi="Arial"/>
          <w:color w:val="1F4E79"/>
          <w:sz w:val="40"/>
          <w:szCs w:val="40"/>
        </w:rPr>
        <w:t xml:space="preserve">SSOT v1.2 Clean-Room</w:t>
      </w:r>
    </w:p>
    <w:p>
      <w:pPr>
        <w:spacing w:before="600" w:after="100"/>
        <w:jc w:val="center"/>
      </w:pPr>
      <w:r>
        <w:rPr>
          <w:rFonts w:ascii="Arial" w:cs="Arial" w:eastAsia="Arial" w:hAnsi="Arial"/>
          <w:color w:val="808080"/>
          <w:sz w:val="28"/>
          <w:szCs w:val="28"/>
        </w:rPr>
        <w:t xml:space="preserve">Repository Audit &amp; Analysis Report</w:t>
      </w:r>
    </w:p>
    <w:p>
      <w:pPr>
        <w:spacing w:before="1200"/>
        <w:jc w:val="center"/>
      </w:pPr>
      <w:r>
        <w:rPr>
          <w:rFonts w:ascii="Arial" w:cs="Arial" w:eastAsia="Arial" w:hAnsi="Arial"/>
          <w:color w:val="808080"/>
          <w:sz w:val="24"/>
          <w:szCs w:val="24"/>
        </w:rPr>
        <w:t xml:space="preserve">February 2026</w:t>
      </w:r>
    </w:p>
    <w:p>
      <w:pPr>
        <w:spacing w:before="200"/>
        <w:jc w:val="center"/>
      </w:pPr>
      <w:r>
        <w:rPr>
          <w:rFonts w:ascii="Arial" w:cs="Arial" w:eastAsia="Arial" w:hAnsi="Arial"/>
          <w:b/>
          <w:bCs/>
          <w:color w:val="C00000"/>
          <w:sz w:val="22"/>
          <w:szCs w:val="22"/>
        </w:rPr>
        <w:t xml:space="preserve">Confidential</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F4E79"/>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1F4E79"/>
          <w:sz w:val="32"/>
          <w:szCs w:val="32"/>
        </w:rPr>
        <w:t xml:space="preserve">1. Executive Summary</w:t>
      </w:r>
    </w:p>
    <w:p>
      <w:pPr>
        <w:spacing w:after="120"/>
      </w:pPr>
      <w:r>
        <w:rPr>
          <w:rFonts w:ascii="Arial" w:cs="Arial" w:eastAsia="Arial" w:hAnsi="Arial"/>
          <w:sz w:val="20"/>
          <w:szCs w:val="20"/>
        </w:rPr>
        <w:t xml:space="preserve">This report presents a comprehensive audit and analysis of the Bankroll Protocol SSOT v1.2 repository, a clean-room rewrite of a bankroll-backed on-chain gaming protocol designed for institution-grade, provably correct behavior.</w:t>
      </w:r>
    </w:p>
    <w:p>
      <w:pPr>
        <w:spacing w:after="120"/>
      </w:pPr>
      <w:r>
        <w:rPr>
          <w:rFonts w:ascii="Arial" w:cs="Arial" w:eastAsia="Arial" w:hAnsi="Arial"/>
          <w:sz w:val="20"/>
          <w:szCs w:val="20"/>
        </w:rPr>
        <w:t xml:space="preserve">The protocol implements a Single Source of Truth (SSOT) architecture with four primary invariant domains: per-asset Bank accounting (NAV = B - PF - XP), Hub lifecycle management (global betId registry), VRFHub transport (fulfill-never-reverts), and pure game modules (IGameModule).</w:t>
      </w:r>
    </w:p>
    <w:p>
      <w:pPr>
        <w:pStyle w:val="Heading2"/>
        <w:spacing w:before="280" w:after="160"/>
      </w:pPr>
      <w:r>
        <w:rPr>
          <w:rFonts w:ascii="Arial" w:cs="Arial" w:eastAsia="Arial" w:hAnsi="Arial"/>
          <w:b/>
          <w:bCs/>
          <w:color w:val="1F4E79"/>
          <w:sz w:val="26"/>
          <w:szCs w:val="26"/>
        </w:rPr>
        <w:t xml:space="preserve">1.1 Overall Assessment</w:t>
      </w:r>
    </w:p>
    <w:p>
      <w:pPr>
        <w:spacing w:after="120"/>
      </w:pPr>
      <w:r>
        <w:rPr>
          <w:rFonts w:ascii="Arial" w:cs="Arial" w:eastAsia="Arial" w:hAnsi="Arial"/>
          <w:b w:val="false"/>
          <w:bCs w:val="false"/>
          <w:sz w:val="20"/>
          <w:szCs w:val="20"/>
        </w:rPr>
        <w:t xml:space="preserve">The codebase demonstrates </w:t>
      </w:r>
      <w:r>
        <w:rPr>
          <w:rFonts w:ascii="Arial" w:cs="Arial" w:eastAsia="Arial" w:hAnsi="Arial"/>
          <w:b/>
          <w:bCs/>
          <w:color w:val="548235"/>
          <w:sz w:val="20"/>
          <w:szCs w:val="20"/>
        </w:rPr>
        <w:t xml:space="preserve">production-grade engineering quality</w:t>
      </w:r>
      <w:r>
        <w:rPr>
          <w:rFonts w:ascii="Arial" w:cs="Arial" w:eastAsia="Arial" w:hAnsi="Arial"/>
          <w:sz w:val="20"/>
          <w:szCs w:val="20"/>
        </w:rPr>
        <w:t xml:space="preserve"> with formal SSOT specifications, executable invariant proofs, multi-layered test coverage (unit, differential, invariant, fork), and disciplined release management. The architecture features clean separation of concerns, immutable core contracts, and permissionless liveness guarantees.</w:t>
      </w:r>
    </w:p>
    <w:p>
      <w:pPr>
        <w:pStyle w:val="Heading2"/>
        <w:spacing w:before="280" w:after="160"/>
      </w:pPr>
      <w:r>
        <w:rPr>
          <w:rFonts w:ascii="Arial" w:cs="Arial" w:eastAsia="Arial" w:hAnsi="Arial"/>
          <w:b/>
          <w:bCs/>
          <w:color w:val="1F4E79"/>
          <w:sz w:val="26"/>
          <w:szCs w:val="26"/>
        </w:rPr>
        <w:t xml:space="preserve">1.2 Key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Solidity Source Files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35 files (core + modules + adapters + libs)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Test Files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12 files (unit + diff + invariant + fork)</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Architecture Decision Records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28 ADRs (0001-0028)</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Game Modules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4 (CoinToss, Dice, Roulette, Keno)</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Supported Chains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Base, Base Sepolia, Arbitrum, Arbitrum Sepolia</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Solidity Version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0.8.24 (via-ir, optimizer 20000 runs, Cancun EVM)</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Dependencies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OpenZeppelin v5.5.0, Chainlink v1.3.0, forge-std v1.14.0</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Frontend Stack</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Next.js 15 + wagmi 2.14 + viem 2.21 (pnpm monorepo)</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CI Profiles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 (PR: 256 runs, Nightly: 1024 runs, Release: 4096 runs)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SSOT Invariants Tested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18 formal properties (A1-A4, B1-B4, C1-C2, D1-D2, E1-E3, P1-P3, X1, LIVE)</w:t>
            </w:r>
          </w:p>
        </w:tc>
      </w:tr>
    </w:tbl>
    <w:p>
      <w:r>
        <w:br w:type="page"/>
      </w:r>
    </w:p>
    <w:p>
      <w:pPr>
        <w:pStyle w:val="Heading1"/>
        <w:spacing w:before="360" w:after="200"/>
      </w:pPr>
      <w:r>
        <w:rPr>
          <w:rFonts w:ascii="Arial" w:cs="Arial" w:eastAsia="Arial" w:hAnsi="Arial"/>
          <w:b/>
          <w:bCs/>
          <w:color w:val="1F4E79"/>
          <w:sz w:val="32"/>
          <w:szCs w:val="32"/>
        </w:rPr>
        <w:t xml:space="preserve">2. Architecture Analysis</w:t>
      </w:r>
    </w:p>
    <w:p>
      <w:pPr>
        <w:pStyle w:val="Heading2"/>
        <w:spacing w:before="280" w:after="160"/>
      </w:pPr>
      <w:r>
        <w:rPr>
          <w:rFonts w:ascii="Arial" w:cs="Arial" w:eastAsia="Arial" w:hAnsi="Arial"/>
          <w:b/>
          <w:bCs/>
          <w:color w:val="1F4E79"/>
          <w:sz w:val="26"/>
          <w:szCs w:val="26"/>
        </w:rPr>
        <w:t xml:space="preserve">2.1 System Overview</w:t>
      </w:r>
    </w:p>
    <w:p>
      <w:pPr>
        <w:spacing w:after="120"/>
      </w:pPr>
      <w:r>
        <w:rPr>
          <w:rFonts w:ascii="Arial" w:cs="Arial" w:eastAsia="Arial" w:hAnsi="Arial"/>
          <w:sz w:val="20"/>
          <w:szCs w:val="20"/>
        </w:rPr>
        <w:t xml:space="preserve">The protocol follows a modular, layered architecture with strict dependency isolation rules. Core contracts communicate through well-defined interfaces, and no circular dependencies exist between layers.</w:t>
      </w:r>
    </w:p>
    <w:p>
      <w:pPr>
        <w:pStyle w:val="Heading3"/>
        <w:spacing w:before="200" w:after="120"/>
      </w:pPr>
      <w:r>
        <w:rPr>
          <w:rFonts w:ascii="Arial" w:cs="Arial" w:eastAsia="Arial" w:hAnsi="Arial"/>
          <w:b/>
          <w:bCs/>
          <w:color w:val="333333"/>
          <w:sz w:val="22"/>
          <w:szCs w:val="22"/>
        </w:rPr>
        <w:t xml:space="preserve">Contract Dependency Rules (Immutable)</w:t>
      </w:r>
    </w:p>
    <w:p>
      <w:pPr>
        <w:pStyle w:val="ListParagraph"/>
        <w:numPr>
          <w:ilvl w:val="0"/>
          <w:numId w:val="2"/>
        </w:numPr>
        <w:spacing w:after="80"/>
      </w:pPr>
      <w:r>
        <w:rPr>
          <w:rFonts w:ascii="Arial" w:cs="Arial" w:eastAsia="Arial" w:hAnsi="Arial"/>
          <w:sz w:val="20"/>
          <w:szCs w:val="20"/>
        </w:rPr>
        <w:t xml:space="preserve">Bank MUST NOT import Hub, VRFHub, or Modules (uses interfaces only)</w:t>
      </w:r>
    </w:p>
    <w:p>
      <w:pPr>
        <w:pStyle w:val="ListParagraph"/>
        <w:numPr>
          <w:ilvl w:val="0"/>
          <w:numId w:val="2"/>
        </w:numPr>
        <w:spacing w:after="80"/>
      </w:pPr>
      <w:r>
        <w:rPr>
          <w:rFonts w:ascii="Arial" w:cs="Arial" w:eastAsia="Arial" w:hAnsi="Arial"/>
          <w:sz w:val="20"/>
          <w:szCs w:val="20"/>
        </w:rPr>
        <w:t xml:space="preserve">Hub depends only on interfaces and modules (orchestration layer)</w:t>
      </w:r>
    </w:p>
    <w:p>
      <w:pPr>
        <w:pStyle w:val="ListParagraph"/>
        <w:numPr>
          <w:ilvl w:val="0"/>
          <w:numId w:val="2"/>
        </w:numPr>
        <w:spacing w:after="80"/>
      </w:pPr>
      <w:r>
        <w:rPr>
          <w:rFonts w:ascii="Arial" w:cs="Arial" w:eastAsia="Arial" w:hAnsi="Arial"/>
          <w:sz w:val="20"/>
          <w:szCs w:val="20"/>
        </w:rPr>
        <w:t xml:space="preserve">VRFHub MUST NOT import Bank or Modules (transport-only)</w:t>
      </w:r>
    </w:p>
    <w:p>
      <w:pPr>
        <w:pStyle w:val="ListParagraph"/>
        <w:numPr>
          <w:ilvl w:val="0"/>
          <w:numId w:val="2"/>
        </w:numPr>
        <w:spacing w:after="80"/>
      </w:pPr>
      <w:r>
        <w:rPr>
          <w:rFonts w:ascii="Arial" w:cs="Arial" w:eastAsia="Arial" w:hAnsi="Arial"/>
          <w:sz w:val="20"/>
          <w:szCs w:val="20"/>
        </w:rPr>
        <w:t xml:space="preserve">Modules MUST NOT import core contracts (pure game semantics)</w:t>
      </w:r>
    </w:p>
    <w:p>
      <w:pPr>
        <w:pStyle w:val="Heading3"/>
        <w:spacing w:before="200" w:after="120"/>
      </w:pPr>
      <w:r>
        <w:rPr>
          <w:rFonts w:ascii="Arial" w:cs="Arial" w:eastAsia="Arial" w:hAnsi="Arial"/>
          <w:b/>
          <w:bCs/>
          <w:color w:val="333333"/>
          <w:sz w:val="22"/>
          <w:szCs w:val="22"/>
        </w:rPr>
        <w:t xml:space="preserve">Core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Contract</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Responsibility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Bank.sol</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Per-asset ERC4626-like vault with SSOT accounting buckets (PF/XP/R). Custodies all assets. Only Hub can invoke bet-related operations via onlyHub modifier.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Hub.sol</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Bet registry SSOT with global betId. Orchestrates VRF requests, game resolution, referral splits, and fee computation. Permissionless finalize/refund paths.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VRFHub.sol</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Minimal VRF transport with request mapping, detach, and the critical fulfill-never-reverts pattern. Supports adapter mode for external providers.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BankRegistry.sol</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Governance-controlled immutable mapping (asset to Bank). One-way registration, non-retroactive.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Adapter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ChainlinkV2PlusWrapperAdapter proxies between VRFHub and Chainlink VRF v2.5+ Wrapper. Stateless, deterministic.</w:t>
            </w:r>
          </w:p>
        </w:tc>
      </w:tr>
    </w:tbl>
    <w:p>
      <w:pPr>
        <w:pStyle w:val="Heading2"/>
        <w:spacing w:before="280" w:after="160"/>
      </w:pPr>
      <w:r>
        <w:rPr>
          <w:rFonts w:ascii="Arial" w:cs="Arial" w:eastAsia="Arial" w:hAnsi="Arial"/>
          <w:b/>
          <w:bCs/>
          <w:color w:val="1F4E79"/>
          <w:sz w:val="26"/>
          <w:szCs w:val="26"/>
        </w:rPr>
        <w:t xml:space="preserve">2.2 Bet Lifecycle</w:t>
      </w:r>
    </w:p>
    <w:p>
      <w:pPr>
        <w:spacing w:after="120"/>
      </w:pPr>
      <w:r>
        <w:rPr>
          <w:rFonts w:ascii="Arial" w:cs="Arial" w:eastAsia="Arial" w:hAnsi="Arial"/>
          <w:sz w:val="20"/>
          <w:szCs w:val="20"/>
        </w:rPr>
        <w:t xml:space="preserve">The bet state machine follows a strictly enforced transition path:</w:t>
      </w:r>
    </w:p>
    <w:p>
      <w:pPr>
        <w:pStyle w:val="ListParagraph"/>
        <w:numPr>
          <w:ilvl w:val="0"/>
          <w:numId w:val="2"/>
        </w:numPr>
        <w:spacing w:after="80"/>
      </w:pPr>
      <w:r>
        <w:rPr>
          <w:rFonts w:ascii="Arial" w:cs="Arial" w:eastAsia="Arial" w:hAnsi="Arial"/>
          <w:sz w:val="20"/>
          <w:szCs w:val="20"/>
        </w:rPr>
        <w:t xml:space="preserve">None -&gt; PendingVRF: Player calls Hub.placeBet(), stake + reserve locked in Bank, VRF request sent</w:t>
      </w:r>
    </w:p>
    <w:p>
      <w:pPr>
        <w:pStyle w:val="ListParagraph"/>
        <w:numPr>
          <w:ilvl w:val="0"/>
          <w:numId w:val="2"/>
        </w:numPr>
        <w:spacing w:after="80"/>
      </w:pPr>
      <w:r>
        <w:rPr>
          <w:rFonts w:ascii="Arial" w:cs="Arial" w:eastAsia="Arial" w:hAnsi="Arial"/>
          <w:sz w:val="20"/>
          <w:szCs w:val="20"/>
        </w:rPr>
        <w:t xml:space="preserve">PendingVRF -&gt; RandomReady: VRF callback delivers random words via Hub.onRandomWords()</w:t>
      </w:r>
    </w:p>
    <w:p>
      <w:pPr>
        <w:pStyle w:val="ListParagraph"/>
        <w:numPr>
          <w:ilvl w:val="0"/>
          <w:numId w:val="2"/>
        </w:numPr>
        <w:spacing w:after="80"/>
      </w:pPr>
      <w:r>
        <w:rPr>
          <w:rFonts w:ascii="Arial" w:cs="Arial" w:eastAsia="Arial" w:hAnsi="Arial"/>
          <w:sz w:val="20"/>
          <w:szCs w:val="20"/>
        </w:rPr>
        <w:t xml:space="preserve">RandomReady -&gt; Settled: Anyone calls Hub.finalize(), game module computes payout, Bank.settleBet() executes</w:t>
      </w:r>
    </w:p>
    <w:p>
      <w:pPr>
        <w:pStyle w:val="ListParagraph"/>
        <w:numPr>
          <w:ilvl w:val="0"/>
          <w:numId w:val="2"/>
        </w:numPr>
        <w:spacing w:after="80"/>
      </w:pPr>
      <w:r>
        <w:rPr>
          <w:rFonts w:ascii="Arial" w:cs="Arial" w:eastAsia="Arial" w:hAnsi="Arial"/>
          <w:sz w:val="20"/>
          <w:szCs w:val="20"/>
        </w:rPr>
        <w:t xml:space="preserve">PendingVRF -&gt; Refunded: After timeout, anyone calls Hub.refund(), full stake returned via Bank.refundBet()</w:t>
      </w:r>
    </w:p>
    <w:p>
      <w:pPr>
        <w:spacing w:after="120"/>
      </w:pPr>
      <w:r>
        <w:rPr>
          <w:rFonts w:ascii="Arial" w:cs="Arial" w:eastAsia="Arial" w:hAnsi="Arial"/>
          <w:sz w:val="20"/>
          <w:szCs w:val="20"/>
        </w:rPr>
        <w:t xml:space="preserve">Critical design property: both finalize() and refund() are permissionless, ensuring no bet can ever be permanently locked regardless of VRF provider behavior or governance action.</w:t>
      </w:r>
    </w:p>
    <w:p>
      <w:pPr>
        <w:pStyle w:val="Heading2"/>
        <w:spacing w:before="280" w:after="160"/>
      </w:pPr>
      <w:r>
        <w:rPr>
          <w:rFonts w:ascii="Arial" w:cs="Arial" w:eastAsia="Arial" w:hAnsi="Arial"/>
          <w:b/>
          <w:bCs/>
          <w:color w:val="1F4E79"/>
          <w:sz w:val="26"/>
          <w:szCs w:val="26"/>
        </w:rPr>
        <w:t xml:space="preserve">2.3 Accounting Model (SSOT)</w:t>
      </w:r>
    </w:p>
    <w:p>
      <w:pPr>
        <w:spacing w:after="120"/>
      </w:pPr>
      <w:r>
        <w:rPr>
          <w:rFonts w:ascii="Arial" w:cs="Arial" w:eastAsia="Arial" w:hAnsi="Arial"/>
          <w:sz w:val="20"/>
          <w:szCs w:val="20"/>
        </w:rPr>
        <w:t xml:space="preserve">The per-asset accounting identity is the central invariant:</w:t>
      </w:r>
    </w:p>
    <w:p>
      <w:pPr>
        <w:spacing w:after="120"/>
      </w:pPr>
      <w:r>
        <w:rPr>
          <w:rFonts w:ascii="Arial" w:cs="Arial" w:eastAsia="Arial" w:hAnsi="Arial"/>
          <w:b/>
          <w:bCs/>
          <w:color w:val="1F4E79"/>
          <w:sz w:val="20"/>
          <w:szCs w:val="20"/>
        </w:rPr>
        <w:t xml:space="preserve">NAV = B - PF - XP</w:t>
      </w:r>
      <w:r>
        <w:rPr>
          <w:rFonts w:ascii="Arial" w:cs="Arial" w:eastAsia="Arial" w:hAnsi="Arial"/>
          <w:sz w:val="20"/>
          <w:szCs w:val="20"/>
        </w:rPr>
        <w:t xml:space="preserve">  where B = token balance, PF = protocol fees, XP = external payables</w:t>
      </w:r>
    </w:p>
    <w:p>
      <w:pPr>
        <w:spacing w:after="120"/>
      </w:pPr>
      <w:r>
        <w:rPr>
          <w:rFonts w:ascii="Arial" w:cs="Arial" w:eastAsia="Arial" w:hAnsi="Arial"/>
          <w:sz w:val="20"/>
          <w:szCs w:val="20"/>
        </w:rPr>
        <w:t xml:space="preserve">Three XP buckets model referral liabilities with different unlock mechanisms:</w:t>
      </w:r>
    </w:p>
    <w:p>
      <w:pPr>
        <w:pStyle w:val="ListParagraph"/>
        <w:numPr>
          <w:ilvl w:val="0"/>
          <w:numId w:val="2"/>
        </w:numPr>
        <w:spacing w:after="80"/>
      </w:pPr>
      <w:r>
        <w:rPr>
          <w:rFonts w:ascii="Arial" w:cs="Arial" w:eastAsia="Arial" w:hAnsi="Arial"/>
          <w:sz w:val="20"/>
          <w:szCs w:val="20"/>
        </w:rPr>
        <w:t xml:space="preserve">xpAccrued: Immediately claimable (optional outflow, pause-gated)</w:t>
      </w:r>
    </w:p>
    <w:p>
      <w:pPr>
        <w:pStyle w:val="ListParagraph"/>
        <w:numPr>
          <w:ilvl w:val="0"/>
          <w:numId w:val="2"/>
        </w:numPr>
        <w:spacing w:after="80"/>
      </w:pPr>
      <w:r>
        <w:rPr>
          <w:rFonts w:ascii="Arial" w:cs="Arial" w:eastAsia="Arial" w:hAnsi="Arial"/>
          <w:sz w:val="20"/>
          <w:szCs w:val="20"/>
        </w:rPr>
        <w:t xml:space="preserve">xpLocked: Turnover-gated unlock (permissionless when threshold met)</w:t>
      </w:r>
    </w:p>
    <w:p>
      <w:pPr>
        <w:pStyle w:val="ListParagraph"/>
        <w:numPr>
          <w:ilvl w:val="0"/>
          <w:numId w:val="2"/>
        </w:numPr>
        <w:spacing w:after="80"/>
      </w:pPr>
      <w:r>
        <w:rPr>
          <w:rFonts w:ascii="Arial" w:cs="Arial" w:eastAsia="Arial" w:hAnsi="Arial"/>
          <w:sz w:val="20"/>
          <w:szCs w:val="20"/>
        </w:rPr>
        <w:t xml:space="preserve">xpHoldback: Rolling linear vesting (permissionless time-based release)</w:t>
      </w:r>
    </w:p>
    <w:p>
      <w:pPr>
        <w:spacing w:after="120"/>
      </w:pPr>
      <w:r>
        <w:rPr>
          <w:rFonts w:ascii="Arial" w:cs="Arial" w:eastAsia="Arial" w:hAnsi="Arial"/>
          <w:sz w:val="20"/>
          <w:szCs w:val="20"/>
        </w:rPr>
        <w:t xml:space="preserve">Reserve (R) represents worst-case pending bet liability, incremented on holdBet() and decremented on settlement/refund. The solvency invariant NAV &gt;= R must always hold.</w:t>
      </w:r>
    </w:p>
    <w:p>
      <w:r>
        <w:br w:type="page"/>
      </w:r>
    </w:p>
    <w:p>
      <w:pPr>
        <w:pStyle w:val="Heading1"/>
        <w:spacing w:before="360" w:after="200"/>
      </w:pPr>
      <w:r>
        <w:rPr>
          <w:rFonts w:ascii="Arial" w:cs="Arial" w:eastAsia="Arial" w:hAnsi="Arial"/>
          <w:b/>
          <w:bCs/>
          <w:color w:val="1F4E79"/>
          <w:sz w:val="32"/>
          <w:szCs w:val="32"/>
        </w:rPr>
        <w:t xml:space="preserve">3. Smart Contract Security Review</w:t>
      </w:r>
    </w:p>
    <w:p>
      <w:pPr>
        <w:pStyle w:val="Heading2"/>
        <w:spacing w:before="280" w:after="160"/>
      </w:pPr>
      <w:r>
        <w:rPr>
          <w:rFonts w:ascii="Arial" w:cs="Arial" w:eastAsia="Arial" w:hAnsi="Arial"/>
          <w:b/>
          <w:bCs/>
          <w:color w:val="1F4E79"/>
          <w:sz w:val="26"/>
          <w:szCs w:val="26"/>
        </w:rPr>
        <w:t xml:space="preserve">3.1 Access Control</w:t>
      </w:r>
    </w:p>
    <w:p>
      <w:pPr>
        <w:spacing w:after="120"/>
      </w:pPr>
      <w:r>
        <w:rPr>
          <w:rFonts w:ascii="Arial" w:cs="Arial" w:eastAsia="Arial" w:hAnsi="Arial"/>
          <w:sz w:val="20"/>
          <w:szCs w:val="20"/>
        </w:rPr>
        <w:t xml:space="preserve">The protocol implements a three-tier permission system built on the Governable pattern (two-step governance transfer):</w:t>
      </w:r>
    </w:p>
    <w:p>
      <w:pPr>
        <w:pStyle w:val="ListParagraph"/>
        <w:numPr>
          <w:ilvl w:val="0"/>
          <w:numId w:val="2"/>
        </w:numPr>
        <w:spacing w:after="80"/>
      </w:pPr>
      <w:r>
        <w:rPr>
          <w:rFonts w:ascii="Arial" w:cs="Arial" w:eastAsia="Arial" w:hAnsi="Arial"/>
          <w:sz w:val="20"/>
          <w:szCs w:val="20"/>
        </w:rPr>
        <w:t xml:space="preserve">Governance-only (onlyGov): Bank parameters, Hub game registration, VRFHub fee params, BankRegistry registration</w:t>
      </w:r>
    </w:p>
    <w:p>
      <w:pPr>
        <w:pStyle w:val="ListParagraph"/>
        <w:numPr>
          <w:ilvl w:val="0"/>
          <w:numId w:val="2"/>
        </w:numPr>
        <w:spacing w:after="80"/>
      </w:pPr>
      <w:r>
        <w:rPr>
          <w:rFonts w:ascii="Arial" w:cs="Arial" w:eastAsia="Arial" w:hAnsi="Arial"/>
          <w:sz w:val="20"/>
          <w:szCs w:val="20"/>
        </w:rPr>
        <w:t xml:space="preserve">Role-specific: Hub-only operations on Bank (holdBet, settleBet, refundBet), Coordinator-only on VRFHub (fulfillRandomWords)</w:t>
      </w:r>
    </w:p>
    <w:p>
      <w:pPr>
        <w:pStyle w:val="ListParagraph"/>
        <w:numPr>
          <w:ilvl w:val="0"/>
          <w:numId w:val="2"/>
        </w:numPr>
        <w:spacing w:after="80"/>
      </w:pPr>
      <w:r>
        <w:rPr>
          <w:rFonts w:ascii="Arial" w:cs="Arial" w:eastAsia="Arial" w:hAnsi="Arial"/>
          <w:sz w:val="20"/>
          <w:szCs w:val="20"/>
        </w:rPr>
        <w:t xml:space="preserve">Permissionless: placeBet, finalize, refund, XP unlock/sync/claim operations</w:t>
      </w:r>
    </w:p>
    <w:p>
      <w:pPr>
        <w:spacing w:after="120"/>
      </w:pPr>
      <w:r>
        <w:rPr>
          <w:rFonts w:ascii="Arial" w:cs="Arial" w:eastAsia="Arial" w:hAnsi="Arial"/>
          <w:b/>
          <w:bCs/>
          <w:sz w:val="20"/>
          <w:szCs w:val="20"/>
        </w:rPr>
        <w:t xml:space="preserve">Assessment: </w:t>
      </w:r>
      <w:r>
        <w:rPr>
          <w:rFonts w:ascii="Arial" w:cs="Arial" w:eastAsia="Arial" w:hAnsi="Arial"/>
          <w:sz w:val="20"/>
          <w:szCs w:val="20"/>
        </w:rPr>
        <w:t xml:space="preserve">The access control model is sound. Hub address is wired once via setHubOnce() preventing griefing. VRFHub coordinator is immutable. No delegated betting (msg.sender = player always).</w:t>
      </w:r>
    </w:p>
    <w:p>
      <w:pPr>
        <w:pStyle w:val="Heading2"/>
        <w:spacing w:before="280" w:after="160"/>
      </w:pPr>
      <w:r>
        <w:rPr>
          <w:rFonts w:ascii="Arial" w:cs="Arial" w:eastAsia="Arial" w:hAnsi="Arial"/>
          <w:b/>
          <w:bCs/>
          <w:color w:val="1F4E79"/>
          <w:sz w:val="26"/>
          <w:szCs w:val="26"/>
        </w:rPr>
        <w:t xml:space="preserve">3.2 Safety Mechanisms</w:t>
      </w:r>
    </w:p>
    <w:p>
      <w:pPr>
        <w:pStyle w:val="Heading3"/>
        <w:spacing w:before="200" w:after="120"/>
      </w:pPr>
      <w:r>
        <w:rPr>
          <w:rFonts w:ascii="Arial" w:cs="Arial" w:eastAsia="Arial" w:hAnsi="Arial"/>
          <w:b/>
          <w:bCs/>
          <w:color w:val="333333"/>
          <w:sz w:val="22"/>
          <w:szCs w:val="22"/>
        </w:rPr>
        <w:t xml:space="preserve">Reentrancy Protection</w:t>
      </w:r>
    </w:p>
    <w:p>
      <w:pPr>
        <w:spacing w:after="120"/>
      </w:pPr>
      <w:r>
        <w:rPr>
          <w:rFonts w:ascii="Arial" w:cs="Arial" w:eastAsia="Arial" w:hAnsi="Arial"/>
          <w:sz w:val="20"/>
          <w:szCs w:val="20"/>
        </w:rPr>
        <w:t xml:space="preserve">ReentrancyGuard (OpenZeppelin) applied on all Bank state-mutating, asset-transferring functions: deposit, mint, withdraw, redeem, claimXP, claimProtocolFees, holdBet, settleBet, refundBet.</w:t>
      </w:r>
    </w:p>
    <w:p>
      <w:pPr>
        <w:pStyle w:val="Heading3"/>
        <w:spacing w:before="200" w:after="120"/>
      </w:pPr>
      <w:r>
        <w:rPr>
          <w:rFonts w:ascii="Arial" w:cs="Arial" w:eastAsia="Arial" w:hAnsi="Arial"/>
          <w:b/>
          <w:bCs/>
          <w:color w:val="333333"/>
          <w:sz w:val="22"/>
          <w:szCs w:val="22"/>
        </w:rPr>
        <w:t xml:space="preserve">Overflow Protection</w:t>
      </w:r>
    </w:p>
    <w:p>
      <w:pPr>
        <w:spacing w:after="120"/>
      </w:pPr>
      <w:r>
        <w:rPr>
          <w:rFonts w:ascii="Arial" w:cs="Arial" w:eastAsia="Arial" w:hAnsi="Arial"/>
          <w:sz w:val="20"/>
          <w:szCs w:val="20"/>
        </w:rPr>
        <w:t xml:space="preserve">Solidity 0.8.24 implicit checked arithmetic is used throughout. Explicit unchecked blocks are used only where safety is proven (e.g., after B &gt;= liabilities check). OZ Math.mulDiv() provides safe precision arithmetic for fee and payout calculations.</w:t>
      </w:r>
    </w:p>
    <w:p>
      <w:pPr>
        <w:pStyle w:val="Heading3"/>
        <w:spacing w:before="200" w:after="120"/>
      </w:pPr>
      <w:r>
        <w:rPr>
          <w:rFonts w:ascii="Arial" w:cs="Arial" w:eastAsia="Arial" w:hAnsi="Arial"/>
          <w:b/>
          <w:bCs/>
          <w:color w:val="333333"/>
          <w:sz w:val="22"/>
          <w:szCs w:val="22"/>
        </w:rPr>
        <w:t xml:space="preserve">VRF Liveness (Fulfill-Never-Reverts)</w:t>
      </w:r>
    </w:p>
    <w:p>
      <w:pPr>
        <w:spacing w:after="120"/>
      </w:pPr>
      <w:r>
        <w:rPr>
          <w:rFonts w:ascii="Arial" w:cs="Arial" w:eastAsia="Arial" w:hAnsi="Arial"/>
          <w:sz w:val="20"/>
          <w:szCs w:val="20"/>
        </w:rPr>
        <w:t xml:space="preserve">VRFHub.fulfillRandomWords() uses try-catch on Hub.onRandomWords() callback. Even if the Hub reverts, VRFHub logs the error and returns normally, preventing provider fund lockup. Single-use deactivation (r.active = false) before callback prevents double-fulfillment.</w:t>
      </w:r>
    </w:p>
    <w:p>
      <w:pPr>
        <w:pStyle w:val="Heading2"/>
        <w:spacing w:before="280" w:after="160"/>
      </w:pPr>
      <w:r>
        <w:rPr>
          <w:rFonts w:ascii="Arial" w:cs="Arial" w:eastAsia="Arial" w:hAnsi="Arial"/>
          <w:b/>
          <w:bCs/>
          <w:color w:val="1F4E79"/>
          <w:sz w:val="26"/>
          <w:szCs w:val="26"/>
        </w:rPr>
        <w:t xml:space="preserve">3.3 Risk Assessment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4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Aspect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Rating</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Risk</w:t>
            </w:r>
          </w:p>
        </w:tc>
        <w:tc>
          <w:tcPr>
            <w:tcW w:type="dxa" w:w="4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Architecture (separation of concerns)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Excellent</w:t>
            </w:r>
          </w:p>
        </w:tc>
        <w:tc>
          <w:tcPr>
            <w:tcW w:type="dxa" w:w="12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b/>
                <w:bCs/>
                <w:color w:val="548235"/>
                <w:sz w:val="20"/>
                <w:szCs w:val="20"/>
              </w:rPr>
              <w:t xml:space="preserve">Low</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Clean Bank/Hub/VRF isolation, immutable core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Access Control (3-tier model)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Excellent</w:t>
            </w:r>
          </w:p>
        </w:tc>
        <w:tc>
          <w:tcPr>
            <w:tcW w:type="dxa" w:w="12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b/>
                <w:bCs/>
                <w:color w:val="548235"/>
                <w:sz w:val="20"/>
                <w:szCs w:val="20"/>
              </w:rPr>
              <w:t xml:space="preserve">Low</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Governance, role-specific, permissionless layers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Accounting (NAV = B - PF - XP)</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Excellent</w:t>
            </w:r>
          </w:p>
        </w:tc>
        <w:tc>
          <w:tcPr>
            <w:tcW w:type="dxa" w:w="12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b/>
                <w:bCs/>
                <w:color w:val="548235"/>
                <w:sz w:val="20"/>
                <w:szCs w:val="20"/>
              </w:rPr>
              <w:t xml:space="preserve">Low</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Explicit underflow prevention, bucket isolation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VRF Integration (never-reverts)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Excellent</w:t>
            </w:r>
          </w:p>
        </w:tc>
        <w:tc>
          <w:tcPr>
            <w:tcW w:type="dxa" w:w="12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b/>
                <w:bCs/>
                <w:color w:val="548235"/>
                <w:sz w:val="20"/>
                <w:szCs w:val="20"/>
              </w:rPr>
              <w:t xml:space="preserve">Low</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Try-catch, single-use deactivation, detach</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Bet Lifecycle (permissionless)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Excellent</w:t>
            </w:r>
          </w:p>
        </w:tc>
        <w:tc>
          <w:tcPr>
            <w:tcW w:type="dxa" w:w="12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b/>
                <w:bCs/>
                <w:color w:val="548235"/>
                <w:sz w:val="20"/>
                <w:szCs w:val="20"/>
              </w:rPr>
              <w:t xml:space="preserve">Low</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Dual finalize/refund paths guarantee liveness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Reentrancy Protection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Excellent</w:t>
            </w:r>
          </w:p>
        </w:tc>
        <w:tc>
          <w:tcPr>
            <w:tcW w:type="dxa" w:w="12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b/>
                <w:bCs/>
                <w:color w:val="548235"/>
                <w:sz w:val="20"/>
                <w:szCs w:val="20"/>
              </w:rPr>
              <w:t xml:space="preserve">Low</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NonReentrant on all asset-moving functions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Math Safety (OZ mulDiv)</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Excellent</w:t>
            </w:r>
          </w:p>
        </w:tc>
        <w:tc>
          <w:tcPr>
            <w:tcW w:type="dxa" w:w="12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b/>
                <w:bCs/>
                <w:color w:val="548235"/>
                <w:sz w:val="20"/>
                <w:szCs w:val="20"/>
              </w:rPr>
              <w:t xml:space="preserve">Low</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Checked arithmetic, safe precision operations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ERC4626 Compliance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Good</w:t>
            </w:r>
          </w:p>
        </w:tc>
        <w:tc>
          <w:tcPr>
            <w:tcW w:type="dxa" w:w="12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b/>
                <w:bCs/>
                <w:color w:val="548235"/>
                <w:sz w:val="20"/>
                <w:szCs w:val="20"/>
              </w:rPr>
              <w:t xml:space="preserve">Low</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Partial (no previewX functions, pause returns 0)</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Governance Surface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Good</w:t>
            </w:r>
          </w:p>
        </w:tc>
        <w:tc>
          <w:tcPr>
            <w:tcW w:type="dxa" w:w="12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r>
              <w:rPr>
                <w:rFonts w:ascii="Arial" w:cs="Arial" w:eastAsia="Arial" w:hAnsi="Arial"/>
                <w:b/>
                <w:bCs/>
                <w:color w:val="ED7D31"/>
                <w:sz w:val="20"/>
                <w:szCs w:val="20"/>
              </w:rPr>
              <w:t xml:space="preserve">Medium</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Large parameter space; no timelock mechanism</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Error Handling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Excellent</w:t>
            </w:r>
          </w:p>
        </w:tc>
        <w:tc>
          <w:tcPr>
            <w:tcW w:type="dxa" w:w="12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b/>
                <w:bCs/>
                <w:color w:val="548235"/>
                <w:sz w:val="20"/>
                <w:szCs w:val="20"/>
              </w:rPr>
              <w:t xml:space="preserve">Low</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Rich custom errors, no revert strings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Gas Optimization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Good</w:t>
            </w:r>
          </w:p>
        </w:tc>
        <w:tc>
          <w:tcPr>
            <w:tcW w:type="dxa" w:w="12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b/>
                <w:bCs/>
                <w:color w:val="548235"/>
                <w:sz w:val="20"/>
                <w:szCs w:val="20"/>
              </w:rPr>
              <w:t xml:space="preserve">Very Low</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Unchecked blocks, early returns, assembly skyline packing</w:t>
            </w:r>
          </w:p>
        </w:tc>
      </w:tr>
    </w:tbl>
    <w:p>
      <w:pPr>
        <w:pStyle w:val="Heading2"/>
        <w:spacing w:before="280" w:after="160"/>
      </w:pPr>
      <w:r>
        <w:rPr>
          <w:rFonts w:ascii="Arial" w:cs="Arial" w:eastAsia="Arial" w:hAnsi="Arial"/>
          <w:b/>
          <w:bCs/>
          <w:color w:val="1F4E79"/>
          <w:sz w:val="26"/>
          <w:szCs w:val="26"/>
        </w:rPr>
        <w:t xml:space="preserve">3.4 Potential Concerns</w:t>
      </w:r>
    </w:p>
    <w:p>
      <w:pPr>
        <w:pStyle w:val="Heading3"/>
        <w:spacing w:before="200" w:after="120"/>
      </w:pPr>
      <w:r>
        <w:rPr>
          <w:rFonts w:ascii="Arial" w:cs="Arial" w:eastAsia="Arial" w:hAnsi="Arial"/>
          <w:b/>
          <w:bCs/>
          <w:color w:val="333333"/>
          <w:sz w:val="22"/>
          <w:szCs w:val="22"/>
        </w:rPr>
        <w:t xml:space="preserve">Governance Centralization (Medium Risk)</w:t>
      </w:r>
    </w:p>
    <w:p>
      <w:pPr>
        <w:spacing w:after="120"/>
      </w:pPr>
      <w:r>
        <w:rPr>
          <w:rFonts w:ascii="Arial" w:cs="Arial" w:eastAsia="Arial" w:hAnsi="Arial"/>
          <w:sz w:val="20"/>
          <w:szCs w:val="20"/>
        </w:rPr>
        <w:t xml:space="preserve">All governance privileges are concentrated in a single address with no timelock. Governance can set minLiquidityBps to 10000 (100%), effectively freezing a bank. While acceptable for institution-grade deployments with strong operational security, a timelock or multi-sig would reduce single-point-of-failure risk.</w:t>
      </w:r>
    </w:p>
    <w:p>
      <w:pPr>
        <w:pStyle w:val="Heading3"/>
        <w:spacing w:before="200" w:after="120"/>
      </w:pPr>
      <w:r>
        <w:rPr>
          <w:rFonts w:ascii="Arial" w:cs="Arial" w:eastAsia="Arial" w:hAnsi="Arial"/>
          <w:b/>
          <w:bCs/>
          <w:color w:val="333333"/>
          <w:sz w:val="22"/>
          <w:szCs w:val="22"/>
        </w:rPr>
        <w:t xml:space="preserve">Holdback Vesting Precision</w:t>
      </w:r>
    </w:p>
    <w:p>
      <w:pPr>
        <w:spacing w:after="120"/>
      </w:pPr>
      <w:r>
        <w:rPr>
          <w:rFonts w:ascii="Arial" w:cs="Arial" w:eastAsia="Arial" w:hAnsi="Arial"/>
          <w:sz w:val="20"/>
          <w:szCs w:val="20"/>
        </w:rPr>
        <w:t xml:space="preserve">The holdback release uses integer division (bal * dt / denom) which may lose precision over many small sync operations. Using Math.mulDiv() would improve accuracy, though the impact is minimal in practice.</w:t>
      </w:r>
    </w:p>
    <w:p>
      <w:pPr>
        <w:pStyle w:val="Heading3"/>
        <w:spacing w:before="200" w:after="120"/>
      </w:pPr>
      <w:r>
        <w:rPr>
          <w:rFonts w:ascii="Arial" w:cs="Arial" w:eastAsia="Arial" w:hAnsi="Arial"/>
          <w:b/>
          <w:bCs/>
          <w:color w:val="333333"/>
          <w:sz w:val="22"/>
          <w:szCs w:val="22"/>
        </w:rPr>
        <w:t xml:space="preserve">VRF Request Collision</w:t>
      </w:r>
    </w:p>
    <w:p>
      <w:pPr>
        <w:spacing w:after="120"/>
      </w:pPr>
      <w:r>
        <w:rPr>
          <w:rFonts w:ascii="Arial" w:cs="Arial" w:eastAsia="Arial" w:hAnsi="Arial"/>
          <w:sz w:val="20"/>
          <w:szCs w:val="20"/>
        </w:rPr>
        <w:t xml:space="preserve">Internal request namespace uses high bit (1 &lt;&lt; 255 | nextRequestId++) which provides sufficient collision resistance. For external adapter mode, collision risk depends on the provider but is acceptably low.</w:t>
      </w:r>
    </w:p>
    <w:p>
      <w:r>
        <w:br w:type="page"/>
      </w:r>
    </w:p>
    <w:p>
      <w:pPr>
        <w:pStyle w:val="Heading1"/>
        <w:spacing w:before="360" w:after="200"/>
      </w:pPr>
      <w:r>
        <w:rPr>
          <w:rFonts w:ascii="Arial" w:cs="Arial" w:eastAsia="Arial" w:hAnsi="Arial"/>
          <w:b/>
          <w:bCs/>
          <w:color w:val="1F4E79"/>
          <w:sz w:val="32"/>
          <w:szCs w:val="32"/>
        </w:rPr>
        <w:t xml:space="preserve">4. Game Module Analysis</w:t>
      </w:r>
    </w:p>
    <w:p>
      <w:pPr>
        <w:pStyle w:val="Heading2"/>
        <w:spacing w:before="280" w:after="160"/>
      </w:pPr>
      <w:r>
        <w:rPr>
          <w:rFonts w:ascii="Arial" w:cs="Arial" w:eastAsia="Arial" w:hAnsi="Arial"/>
          <w:b/>
          <w:bCs/>
          <w:color w:val="1F4E79"/>
          <w:sz w:val="26"/>
          <w:szCs w:val="26"/>
        </w:rPr>
        <w:t xml:space="preserve">4.1 Module Architecture</w:t>
      </w:r>
    </w:p>
    <w:p>
      <w:pPr>
        <w:spacing w:after="120"/>
      </w:pPr>
      <w:r>
        <w:rPr>
          <w:rFonts w:ascii="Arial" w:cs="Arial" w:eastAsia="Arial" w:hAnsi="Arial"/>
          <w:sz w:val="20"/>
          <w:szCs w:val="20"/>
        </w:rPr>
        <w:t xml:space="preserve">All four game modules implement the IGameModule interface with three pure functions: validate(), maxPayout(), and resolve(). Modules are stateless, deterministic, and contain zero external calls. House edge is not applied at the module level but orthogonally in Hub during fee computation.</w:t>
      </w:r>
    </w:p>
    <w:p>
      <w:pPr>
        <w:pStyle w:val="Heading2"/>
        <w:spacing w:before="280" w:after="160"/>
      </w:pPr>
      <w:r>
        <w:rPr>
          <w:rFonts w:ascii="Arial" w:cs="Arial" w:eastAsia="Arial" w:hAnsi="Arial"/>
          <w:b/>
          <w:bCs/>
          <w:color w:val="1F4E79"/>
          <w:sz w:val="26"/>
          <w:szCs w:val="26"/>
        </w:rPr>
        <w:t xml:space="preserve">4.2 Module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200"/>
        <w:gridCol w:w="1800"/>
        <w:gridCol w:w="1560"/>
      </w:tblGrid>
      <w:tr>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Module</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Payout Model</w:t>
            </w:r>
          </w:p>
        </w:tc>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Range</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Max Mult.</w:t>
            </w:r>
          </w:p>
        </w:tc>
        <w:tc>
          <w:tcPr>
            <w:tcW w:type="dxa" w:w="1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CoinToss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2x on win (50/50 binary)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Heads/Tails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2x</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548235"/>
                <w:sz w:val="20"/>
                <w:szCs w:val="20"/>
              </w:rPr>
              <w:t xml:space="preserve">Pass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Dice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100 / (100 - cap)</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Cap: [1..99]</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100x</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548235"/>
                <w:sz w:val="20"/>
                <w:szCs w:val="20"/>
              </w:rPr>
              <w:t xml:space="preserve">Pass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Roulette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37 / popcount(numbers)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European 0..36</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37x</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548235"/>
                <w:sz w:val="20"/>
                <w:szCs w:val="20"/>
              </w:rPr>
              <w:t xml:space="preserve">Pass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Keno</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Hypergeometric gain table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40-pool, 10-draw</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~77,060x</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548235"/>
                <w:sz w:val="20"/>
                <w:szCs w:val="20"/>
              </w:rPr>
              <w:t xml:space="preserve">Pass</w:t>
            </w:r>
          </w:p>
        </w:tc>
      </w:tr>
    </w:tbl>
    <w:p>
      <w:pPr>
        <w:pStyle w:val="Heading2"/>
        <w:spacing w:before="280" w:after="160"/>
      </w:pPr>
      <w:r>
        <w:rPr>
          <w:rFonts w:ascii="Arial" w:cs="Arial" w:eastAsia="Arial" w:hAnsi="Arial"/>
          <w:b/>
          <w:bCs/>
          <w:color w:val="1F4E79"/>
          <w:sz w:val="26"/>
          <w:szCs w:val="26"/>
        </w:rPr>
        <w:t xml:space="preserve">4.3 RNG Pattern</w:t>
      </w:r>
    </w:p>
    <w:p>
      <w:pPr>
        <w:spacing w:after="120"/>
      </w:pPr>
      <w:r>
        <w:rPr>
          <w:rFonts w:ascii="Arial" w:cs="Arial" w:eastAsia="Arial" w:hAnsi="Arial"/>
          <w:sz w:val="20"/>
          <w:szCs w:val="20"/>
        </w:rPr>
        <w:t xml:space="preserve">All modules follow the canonical SSOT v1.1 RNG expansion using keccak256 with domain separation:</w:t>
      </w:r>
    </w:p>
    <w:p>
      <w:pPr>
        <w:pStyle w:val="ListParagraph"/>
        <w:numPr>
          <w:ilvl w:val="0"/>
          <w:numId w:val="2"/>
        </w:numPr>
        <w:spacing w:after="80"/>
      </w:pPr>
      <w:r>
        <w:rPr>
          <w:rFonts w:ascii="Arial" w:cs="Arial" w:eastAsia="Arial" w:hAnsi="Arial"/>
          <w:sz w:val="20"/>
          <w:szCs w:val="20"/>
        </w:rPr>
        <w:t xml:space="preserve">Single-roll games: RNG.roll(betId, i, seed) for roll i</w:t>
      </w:r>
    </w:p>
    <w:p>
      <w:pPr>
        <w:pStyle w:val="ListParagraph"/>
        <w:numPr>
          <w:ilvl w:val="0"/>
          <w:numId w:val="2"/>
        </w:numPr>
        <w:spacing w:after="80"/>
      </w:pPr>
      <w:r>
        <w:rPr>
          <w:rFonts w:ascii="Arial" w:cs="Arial" w:eastAsia="Arial" w:hAnsi="Arial"/>
          <w:sz w:val="20"/>
          <w:szCs w:val="20"/>
        </w:rPr>
        <w:t xml:space="preserve">Multi-draw games (Keno): RNG.roll2(betId, i, j, seed) for draw j of roll i</w:t>
      </w:r>
    </w:p>
    <w:p>
      <w:pPr>
        <w:pStyle w:val="ListParagraph"/>
        <w:numPr>
          <w:ilvl w:val="0"/>
          <w:numId w:val="2"/>
        </w:numPr>
        <w:spacing w:after="80"/>
      </w:pPr>
      <w:r>
        <w:rPr>
          <w:rFonts w:ascii="Arial" w:cs="Arial" w:eastAsia="Arial" w:hAnsi="Arial"/>
          <w:sz w:val="20"/>
          <w:szCs w:val="20"/>
        </w:rPr>
        <w:t xml:space="preserve">Source: randomWords[0] from VRF callback (additional words ignored)</w:t>
      </w:r>
    </w:p>
    <w:p>
      <w:pPr>
        <w:pStyle w:val="Heading2"/>
        <w:spacing w:before="280" w:after="160"/>
      </w:pPr>
      <w:r>
        <w:rPr>
          <w:rFonts w:ascii="Arial" w:cs="Arial" w:eastAsia="Arial" w:hAnsi="Arial"/>
          <w:b/>
          <w:bCs/>
          <w:color w:val="1F4E79"/>
          <w:sz w:val="26"/>
          <w:szCs w:val="26"/>
        </w:rPr>
        <w:t xml:space="preserve">4.4 Multi-Roll &amp; Stop Logic</w:t>
      </w:r>
    </w:p>
    <w:p>
      <w:pPr>
        <w:spacing w:after="120"/>
      </w:pPr>
      <w:r>
        <w:rPr>
          <w:rFonts w:ascii="Arial" w:cs="Arial" w:eastAsia="Arial" w:hAnsi="Arial"/>
          <w:sz w:val="20"/>
          <w:szCs w:val="20"/>
        </w:rPr>
        <w:t xml:space="preserve">All modules support multi-roll via stakeSpec.betCount with StopLogic providing early exit conditions. StopGain triggers when cumulative profit reaches threshold; StopLoss triggers when cumulative loss reaches threshold. Refund amount equals unspent stake (stake - usedTurnover).</w:t>
      </w:r>
    </w:p>
    <w:p>
      <w:pPr>
        <w:pStyle w:val="Heading2"/>
        <w:spacing w:before="280" w:after="160"/>
      </w:pPr>
      <w:r>
        <w:rPr>
          <w:rFonts w:ascii="Arial" w:cs="Arial" w:eastAsia="Arial" w:hAnsi="Arial"/>
          <w:b/>
          <w:bCs/>
          <w:color w:val="1F4E79"/>
          <w:sz w:val="26"/>
          <w:szCs w:val="26"/>
        </w:rPr>
        <w:t xml:space="preserve">4.5 Referral Engine</w:t>
      </w:r>
    </w:p>
    <w:p>
      <w:pPr>
        <w:spacing w:after="120"/>
      </w:pPr>
      <w:r>
        <w:rPr>
          <w:rFonts w:ascii="Arial" w:cs="Arial" w:eastAsia="Arial" w:hAnsi="Arial"/>
          <w:sz w:val="20"/>
          <w:szCs w:val="20"/>
        </w:rPr>
        <w:t xml:space="preserve">DefaultReferralEngine computes budget splits as pure functions. Base budget distributes fixed BPS shares per referral level. Delta budget allocates proportionally via skyline segments (up to 6). Each award is split into immediate/locked/holdback buckets based on player eligibility.</w:t>
      </w:r>
    </w:p>
    <w:p>
      <w:pPr>
        <w:spacing w:after="120"/>
      </w:pPr>
      <w:r>
        <w:rPr>
          <w:rFonts w:ascii="Arial" w:cs="Arial" w:eastAsia="Arial" w:hAnsi="Arial"/>
          <w:sz w:val="20"/>
          <w:szCs w:val="20"/>
        </w:rPr>
        <w:t xml:space="preserve">ReferralRegistry implements first-touch referral binding with anti-cycle protection (32-hop walk), self-referral blocking, and governance-controlled binder registration.</w:t>
      </w:r>
    </w:p>
    <w:p>
      <w:pPr>
        <w:pStyle w:val="Heading3"/>
        <w:spacing w:before="200" w:after="120"/>
      </w:pPr>
      <w:r>
        <w:rPr>
          <w:rFonts w:ascii="Arial" w:cs="Arial" w:eastAsia="Arial" w:hAnsi="Arial"/>
          <w:b/>
          <w:bCs/>
          <w:color w:val="333333"/>
          <w:sz w:val="22"/>
          <w:szCs w:val="22"/>
        </w:rPr>
        <w:t xml:space="preserve">Items Requiring Audit Verification</w:t>
      </w:r>
    </w:p>
    <w:p>
      <w:pPr>
        <w:pStyle w:val="ListParagraph"/>
        <w:numPr>
          <w:ilvl w:val="0"/>
          <w:numId w:val="2"/>
        </w:numPr>
        <w:spacing w:after="80"/>
      </w:pPr>
      <w:r>
        <w:rPr>
          <w:rFonts w:ascii="Arial" w:cs="Arial" w:eastAsia="Arial" w:hAnsi="Arial"/>
          <w:sz w:val="20"/>
          <w:szCs w:val="20"/>
        </w:rPr>
        <w:t xml:space="preserve">Keno gain table: Hardcoded hypergeometric factors should be verified against mathematical reference</w:t>
      </w:r>
    </w:p>
    <w:p>
      <w:pPr>
        <w:pStyle w:val="ListParagraph"/>
        <w:numPr>
          <w:ilvl w:val="0"/>
          <w:numId w:val="2"/>
        </w:numPr>
        <w:spacing w:after="80"/>
      </w:pPr>
      <w:r>
        <w:rPr>
          <w:rFonts w:ascii="Arial" w:cs="Arial" w:eastAsia="Arial" w:hAnsi="Arial"/>
          <w:sz w:val="20"/>
          <w:szCs w:val="20"/>
        </w:rPr>
        <w:t xml:space="preserve">Roulette popcount: Bit-manipulation constants (POPCNT_MULT, POPCNT_MASK) should be verified for all valid bitmask inputs</w:t>
      </w:r>
    </w:p>
    <w:p>
      <w:pPr>
        <w:pStyle w:val="ListParagraph"/>
        <w:numPr>
          <w:ilvl w:val="0"/>
          <w:numId w:val="2"/>
        </w:numPr>
        <w:spacing w:after="80"/>
      </w:pPr>
      <w:r>
        <w:rPr>
          <w:rFonts w:ascii="Arial" w:cs="Arial" w:eastAsia="Arial" w:hAnsi="Arial"/>
          <w:sz w:val="20"/>
          <w:szCs w:val="20"/>
        </w:rPr>
        <w:t xml:space="preserve">Math.sol assembly: Unchecked intermediate arithmetic in mulDiv should be verified for correctness</w:t>
      </w:r>
    </w:p>
    <w:p>
      <w:r>
        <w:br w:type="page"/>
      </w:r>
    </w:p>
    <w:p>
      <w:pPr>
        <w:pStyle w:val="Heading1"/>
        <w:spacing w:before="360" w:after="200"/>
      </w:pPr>
      <w:r>
        <w:rPr>
          <w:rFonts w:ascii="Arial" w:cs="Arial" w:eastAsia="Arial" w:hAnsi="Arial"/>
          <w:b/>
          <w:bCs/>
          <w:color w:val="1F4E79"/>
          <w:sz w:val="32"/>
          <w:szCs w:val="32"/>
        </w:rPr>
        <w:t xml:space="preserve">5. Test Suite &amp; Coverage Analysis</w:t>
      </w:r>
    </w:p>
    <w:p>
      <w:pPr>
        <w:pStyle w:val="Heading2"/>
        <w:spacing w:before="280" w:after="160"/>
      </w:pPr>
      <w:r>
        <w:rPr>
          <w:rFonts w:ascii="Arial" w:cs="Arial" w:eastAsia="Arial" w:hAnsi="Arial"/>
          <w:b/>
          <w:bCs/>
          <w:color w:val="1F4E79"/>
          <w:sz w:val="26"/>
          <w:szCs w:val="26"/>
        </w:rPr>
        <w:t xml:space="preserve">5.1 Multi-Layer Test Strategy</w:t>
      </w:r>
    </w:p>
    <w:p>
      <w:pPr>
        <w:spacing w:after="120"/>
      </w:pPr>
      <w:r>
        <w:rPr>
          <w:rFonts w:ascii="Arial" w:cs="Arial" w:eastAsia="Arial" w:hAnsi="Arial"/>
          <w:sz w:val="20"/>
          <w:szCs w:val="20"/>
        </w:rPr>
        <w:t xml:space="preserve">The project implements a sophisticated four-layer testing strategy anchored by formal SSOT invariants: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2760"/>
      </w:tblGrid>
      <w:tr>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Layer</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Profile Runs</w:t>
            </w:r>
          </w:p>
        </w:tc>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c>
          <w:tcPr>
            <w:tcW w:type="dxa" w:w="27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Files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Unit Tests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PR:256 / Night:1024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Lifecycle, fees, VRF, adapters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E2E, VRFFee, VRFFeeCreditClaim, ChainlinkAdapter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Differential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PR:256 / Night:1024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Reference model accounting parity</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StatefulSystemDiff, StatefulSystemDiffAdapter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Invariant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PR:256/256 / Night:1024/512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SSOT property enforcement via fuzzing</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Invariants, InvariantsAdapter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Fork</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Release-only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Real Chainlink VRF wrapper integration</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ForkChainlinkWrapperAdapter</w:t>
            </w:r>
          </w:p>
        </w:tc>
      </w:tr>
    </w:tbl>
    <w:p>
      <w:pPr>
        <w:pStyle w:val="Heading2"/>
        <w:spacing w:before="280" w:after="160"/>
      </w:pPr>
      <w:r>
        <w:rPr>
          <w:rFonts w:ascii="Arial" w:cs="Arial" w:eastAsia="Arial" w:hAnsi="Arial"/>
          <w:b/>
          <w:bCs/>
          <w:color w:val="1F4E79"/>
          <w:sz w:val="26"/>
          <w:szCs w:val="26"/>
        </w:rPr>
        <w:t xml:space="preserve">5.2 SSOT Invariants Tested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560"/>
      </w:tblGrid>
      <w:tr>
        <w:tc>
          <w:tcPr>
            <w:tcW w:type="dxa" w:w="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Code</w:t>
            </w:r>
          </w:p>
        </w:tc>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Property</w:t>
            </w:r>
          </w:p>
        </w:tc>
        <w:tc>
          <w:tcPr>
            <w:tcW w:type="dxa" w:w="5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Enforcement</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4E79"/>
                <w:sz w:val="20"/>
                <w:szCs w:val="20"/>
              </w:rPr>
              <w:t xml:space="preserve">A1</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NAV Identity</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totalAssets() == NAV == B - PF - XP per asset</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4E79"/>
                <w:sz w:val="20"/>
                <w:szCs w:val="20"/>
              </w:rPr>
              <w:t xml:space="preserve">A2/A3</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Solvency + Reserves</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 &gt;= PF + XP; NAV &gt;= R (always solvent)</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4E79"/>
                <w:sz w:val="20"/>
                <w:szCs w:val="20"/>
              </w:rPr>
              <w:t xml:space="preserve">B2</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State Transitions</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Legal: None-&gt;PendingVRF-&gt;RandomReady-&gt;Settled|Refunded</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4E79"/>
                <w:sz w:val="20"/>
                <w:szCs w:val="20"/>
              </w:rPr>
              <w:t xml:space="preserve">B3</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Bounded Settlement</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payoutGross + refundAmount &lt;= reserved</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4E79"/>
                <w:sz w:val="20"/>
                <w:szCs w:val="20"/>
              </w:rPr>
              <w:t xml:space="preserve">B4</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Reserve Tracking</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totalReserved() == sum(active bet reserves)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4E79"/>
                <w:sz w:val="20"/>
                <w:szCs w:val="20"/>
              </w:rPr>
              <w:t xml:space="preserve">C1/C2</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Request Mapping</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Only PendingVRF bets have requestId != 0 (sampled)</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4E79"/>
                <w:sz w:val="20"/>
                <w:szCs w:val="20"/>
              </w:rPr>
              <w:t xml:space="preserve">D2</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No Gov Backdoor</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Governance calls cannot move ASSET tokens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4E79"/>
                <w:sz w:val="20"/>
                <w:szCs w:val="20"/>
              </w:rPr>
              <w:t xml:space="preserve">E2</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Bucket Moves</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unlockXP/syncHoldback preserve externalPayablesTotal</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4E79"/>
                <w:sz w:val="20"/>
                <w:szCs w:val="20"/>
              </w:rPr>
              <w:t xml:space="preserve">E3</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Claim Pause Gate</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Optional outflows fail when paused</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4E79"/>
                <w:sz w:val="20"/>
                <w:szCs w:val="20"/>
              </w:rPr>
              <w:t xml:space="preserve">P3</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Budget Conservation</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dPF + dXP == baseHE + deltaHE per bet</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4E79"/>
                <w:sz w:val="20"/>
                <w:szCs w:val="20"/>
              </w:rPr>
              <w:t xml:space="preserve">X1</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Cross-Asset Isolation</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No token leakage between bank instances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4E79"/>
                <w:sz w:val="20"/>
                <w:szCs w:val="20"/>
              </w:rPr>
              <w:t xml:space="preserve">LIVE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Debt-Out Liveness</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Ready finalize/refund must never fail (even paused)</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4E79"/>
                <w:sz w:val="20"/>
                <w:szCs w:val="20"/>
              </w:rPr>
              <w:t xml:space="preserve">Z1</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Adapter ETH</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Wrapper retains fees; VRFHub retains only credits</w:t>
            </w:r>
          </w:p>
        </w:tc>
      </w:tr>
    </w:tbl>
    <w:p>
      <w:pPr>
        <w:pStyle w:val="Heading2"/>
        <w:spacing w:before="280" w:after="160"/>
      </w:pPr>
      <w:r>
        <w:rPr>
          <w:rFonts w:ascii="Arial" w:cs="Arial" w:eastAsia="Arial" w:hAnsi="Arial"/>
          <w:b/>
          <w:bCs/>
          <w:color w:val="1F4E79"/>
          <w:sz w:val="26"/>
          <w:szCs w:val="26"/>
        </w:rPr>
        <w:t xml:space="preserve">5.3 Test Coverage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4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Aspect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Rating</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Risk</w:t>
            </w:r>
          </w:p>
        </w:tc>
        <w:tc>
          <w:tcPr>
            <w:tcW w:type="dxa" w:w="4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E2E Lifecycle (all 4 games)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Comprehensive</w:t>
            </w:r>
          </w:p>
        </w:tc>
        <w:tc>
          <w:tcPr>
            <w:tcW w:type="dxa" w:w="12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b/>
                <w:bCs/>
                <w:color w:val="548235"/>
                <w:sz w:val="20"/>
                <w:szCs w:val="20"/>
              </w:rPr>
              <w:t xml:space="preserve">Low</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Win/loss, multi-roll, stop logic, refund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VRF Fee Mechanics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Good</w:t>
            </w:r>
          </w:p>
        </w:tc>
        <w:tc>
          <w:tcPr>
            <w:tcW w:type="dxa" w:w="12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b/>
                <w:bCs/>
                <w:color w:val="548235"/>
                <w:sz w:val="20"/>
                <w:szCs w:val="20"/>
              </w:rPr>
              <w:t xml:space="preserve">Low</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Overpay, underpay, credit claim, receiver toggle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Accounting Parity (diff tests)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Excellent</w:t>
            </w:r>
          </w:p>
        </w:tc>
        <w:tc>
          <w:tcPr>
            <w:tcW w:type="dxa" w:w="12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b/>
                <w:bCs/>
                <w:color w:val="548235"/>
                <w:sz w:val="20"/>
                <w:szCs w:val="20"/>
              </w:rPr>
              <w:t xml:space="preserve">Low</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Independent reference model mirrors on-chain state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SSOT Invariants (18 properties)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Excellent</w:t>
            </w:r>
          </w:p>
        </w:tc>
        <w:tc>
          <w:tcPr>
            <w:tcW w:type="dxa" w:w="12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b/>
                <w:bCs/>
                <w:color w:val="548235"/>
                <w:sz w:val="20"/>
                <w:szCs w:val="20"/>
              </w:rPr>
              <w:t xml:space="preserve">Low</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Stateful fuzzing with violation tracking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Adapter ETH Accounting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Good</w:t>
            </w:r>
          </w:p>
        </w:tc>
        <w:tc>
          <w:tcPr>
            <w:tcW w:type="dxa" w:w="12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b/>
                <w:bCs/>
                <w:color w:val="548235"/>
                <w:sz w:val="20"/>
                <w:szCs w:val="20"/>
              </w:rPr>
              <w:t xml:space="preserve">Low</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Wrapper balance, credit claims, refund paths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Fork Integration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Basic</w:t>
            </w:r>
          </w:p>
        </w:tc>
        <w:tc>
          <w:tcPr>
            <w:tcW w:type="dxa" w:w="12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r>
              <w:rPr>
                <w:rFonts w:ascii="Arial" w:cs="Arial" w:eastAsia="Arial" w:hAnsi="Arial"/>
                <w:b/>
                <w:bCs/>
                <w:color w:val="ED7D31"/>
                <w:sz w:val="20"/>
                <w:szCs w:val="20"/>
              </w:rPr>
              <w:t xml:space="preserve">Medium</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Placement only; no VRF completion tested on fork</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Extreme Edge Cases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Partial</w:t>
            </w:r>
          </w:p>
        </w:tc>
        <w:tc>
          <w:tcPr>
            <w:tcW w:type="dxa" w:w="12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r>
              <w:rPr>
                <w:rFonts w:ascii="Arial" w:cs="Arial" w:eastAsia="Arial" w:hAnsi="Arial"/>
                <w:b/>
                <w:bCs/>
                <w:color w:val="ED7D31"/>
                <w:sz w:val="20"/>
                <w:szCs w:val="20"/>
              </w:rPr>
              <w:t xml:space="preserve">Medium</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Max sizes, near-empty banks not systematically fuzzed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Holdback Vesting Timing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Partial</w:t>
            </w:r>
          </w:p>
        </w:tc>
        <w:tc>
          <w:tcPr>
            <w:tcW w:type="dxa" w:w="12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b/>
                <w:bCs/>
                <w:color w:val="548235"/>
                <w:sz w:val="20"/>
                <w:szCs w:val="20"/>
              </w:rPr>
              <w:t xml:space="preserve">Low</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Time-dependent; not thoroughly fuzzed</w:t>
            </w:r>
          </w:p>
        </w:tc>
      </w:tr>
    </w:tbl>
    <w:p>
      <w:pPr>
        <w:pStyle w:val="Heading2"/>
        <w:spacing w:before="280" w:after="160"/>
      </w:pPr>
      <w:r>
        <w:rPr>
          <w:rFonts w:ascii="Arial" w:cs="Arial" w:eastAsia="Arial" w:hAnsi="Arial"/>
          <w:b/>
          <w:bCs/>
          <w:color w:val="1F4E79"/>
          <w:sz w:val="26"/>
          <w:szCs w:val="26"/>
        </w:rPr>
        <w:t xml:space="preserve">5.4 Identified Test Gaps</w:t>
      </w:r>
    </w:p>
    <w:p>
      <w:pPr>
        <w:pStyle w:val="ListParagraph"/>
        <w:numPr>
          <w:ilvl w:val="0"/>
          <w:numId w:val="2"/>
        </w:numPr>
        <w:spacing w:after="80"/>
      </w:pPr>
      <w:r>
        <w:rPr>
          <w:rFonts w:ascii="Arial" w:cs="Arial" w:eastAsia="Arial" w:hAnsi="Arial"/>
          <w:sz w:val="20"/>
          <w:szCs w:val="20"/>
        </w:rPr>
        <w:t xml:space="preserve">No invariant for duplicate VRF requestId poisoning scenarios</w:t>
      </w:r>
    </w:p>
    <w:p>
      <w:pPr>
        <w:pStyle w:val="ListParagraph"/>
        <w:numPr>
          <w:ilvl w:val="0"/>
          <w:numId w:val="2"/>
        </w:numPr>
        <w:spacing w:after="80"/>
      </w:pPr>
      <w:r>
        <w:rPr>
          <w:rFonts w:ascii="Arial" w:cs="Arial" w:eastAsia="Arial" w:hAnsi="Arial"/>
          <w:sz w:val="20"/>
          <w:szCs w:val="20"/>
        </w:rPr>
        <w:t xml:space="preserve">Extreme fund depletion (bank near-empty with large reserve) not fuzzed</w:t>
      </w:r>
    </w:p>
    <w:p>
      <w:pPr>
        <w:pStyle w:val="ListParagraph"/>
        <w:numPr>
          <w:ilvl w:val="0"/>
          <w:numId w:val="2"/>
        </w:numPr>
        <w:spacing w:after="80"/>
      </w:pPr>
      <w:r>
        <w:rPr>
          <w:rFonts w:ascii="Arial" w:cs="Arial" w:eastAsia="Arial" w:hAnsi="Arial"/>
          <w:sz w:val="20"/>
          <w:szCs w:val="20"/>
        </w:rPr>
        <w:t xml:space="preserve">Fork tests cannot verify VRF fulfillment completion (external dependency)</w:t>
      </w:r>
    </w:p>
    <w:p>
      <w:pPr>
        <w:pStyle w:val="ListParagraph"/>
        <w:numPr>
          <w:ilvl w:val="0"/>
          <w:numId w:val="2"/>
        </w:numPr>
        <w:spacing w:after="80"/>
      </w:pPr>
      <w:r>
        <w:rPr>
          <w:rFonts w:ascii="Arial" w:cs="Arial" w:eastAsia="Arial" w:hAnsi="Arial"/>
          <w:sz w:val="20"/>
          <w:szCs w:val="20"/>
        </w:rPr>
        <w:t xml:space="preserve">No gas cost regression testing across profiles</w:t>
      </w:r>
    </w:p>
    <w:p>
      <w:pPr>
        <w:pStyle w:val="ListParagraph"/>
        <w:numPr>
          <w:ilvl w:val="0"/>
          <w:numId w:val="2"/>
        </w:numPr>
        <w:spacing w:after="80"/>
      </w:pPr>
      <w:r>
        <w:rPr>
          <w:rFonts w:ascii="Arial" w:cs="Arial" w:eastAsia="Arial" w:hAnsi="Arial"/>
          <w:sz w:val="20"/>
          <w:szCs w:val="20"/>
        </w:rPr>
        <w:t xml:space="preserve">No mutation testing to detect subtle logic errors</w:t>
      </w:r>
    </w:p>
    <w:p>
      <w:pPr>
        <w:pStyle w:val="ListParagraph"/>
        <w:numPr>
          <w:ilvl w:val="0"/>
          <w:numId w:val="2"/>
        </w:numPr>
        <w:spacing w:after="80"/>
      </w:pPr>
      <w:r>
        <w:rPr>
          <w:rFonts w:ascii="Arial" w:cs="Arial" w:eastAsia="Arial" w:hAnsi="Arial"/>
          <w:sz w:val="20"/>
          <w:szCs w:val="20"/>
        </w:rPr>
        <w:t xml:space="preserve">Holdback vesting timing edge cases (vesting ends mid-sync) not covered</w:t>
      </w:r>
    </w:p>
    <w:p>
      <w:r>
        <w:br w:type="page"/>
      </w:r>
    </w:p>
    <w:p>
      <w:pPr>
        <w:pStyle w:val="Heading1"/>
        <w:spacing w:before="360" w:after="200"/>
      </w:pPr>
      <w:r>
        <w:rPr>
          <w:rFonts w:ascii="Arial" w:cs="Arial" w:eastAsia="Arial" w:hAnsi="Arial"/>
          <w:b/>
          <w:bCs/>
          <w:color w:val="1F4E79"/>
          <w:sz w:val="32"/>
          <w:szCs w:val="32"/>
        </w:rPr>
        <w:t xml:space="preserve">6. CI/CD Pipeline &amp; Release Management</w:t>
      </w:r>
    </w:p>
    <w:p>
      <w:pPr>
        <w:pStyle w:val="Heading2"/>
        <w:spacing w:before="280" w:after="160"/>
      </w:pPr>
      <w:r>
        <w:rPr>
          <w:rFonts w:ascii="Arial" w:cs="Arial" w:eastAsia="Arial" w:hAnsi="Arial"/>
          <w:b/>
          <w:bCs/>
          <w:color w:val="1F4E79"/>
          <w:sz w:val="26"/>
          <w:szCs w:val="26"/>
        </w:rPr>
        <w:t xml:space="preserve">6.1 Three-Tier CI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200"/>
        <w:gridCol w:w="3960"/>
      </w:tblGrid>
      <w:tr>
        <w:tc>
          <w:tcPr>
            <w:tcW w:type="dxa" w:w="1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Profile</w:t>
            </w:r>
          </w:p>
        </w:tc>
        <w:tc>
          <w:tcPr>
            <w:tcW w:type="dxa" w:w="1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Trigger</w:t>
            </w:r>
          </w:p>
        </w:tc>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Fuzz Config</w:t>
            </w:r>
          </w:p>
        </w:tc>
        <w:tc>
          <w:tcPr>
            <w:tcW w:type="dxa" w:w="39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Gates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PR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Every PR/push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256 runs, 256 depth</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Unit + diff + invariant + fork (skip if no RPC)</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Nightly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Daily 03:17 UTC</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1024 runs, 512 depth</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Same as PR with deeper fuzzing + release-check</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Release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Tag v* push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4096 runs, 1024 depth</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Nightly gates + STRICT release-check + per-network fork + audit bundle</w:t>
            </w:r>
          </w:p>
        </w:tc>
      </w:tr>
    </w:tbl>
    <w:p>
      <w:pPr>
        <w:pStyle w:val="Heading2"/>
        <w:spacing w:before="280" w:after="160"/>
      </w:pPr>
      <w:r>
        <w:rPr>
          <w:rFonts w:ascii="Arial" w:cs="Arial" w:eastAsia="Arial" w:hAnsi="Arial"/>
          <w:b/>
          <w:bCs/>
          <w:color w:val="1F4E79"/>
          <w:sz w:val="26"/>
          <w:szCs w:val="26"/>
        </w:rPr>
        <w:t xml:space="preserve">6.2 Release Artifacts</w:t>
      </w:r>
    </w:p>
    <w:p>
      <w:pPr>
        <w:spacing w:after="120"/>
      </w:pPr>
      <w:r>
        <w:rPr>
          <w:rFonts w:ascii="Arial" w:cs="Arial" w:eastAsia="Arial" w:hAnsi="Arial"/>
          <w:sz w:val="20"/>
          <w:szCs w:val="20"/>
        </w:rPr>
        <w:t xml:space="preserve">The release pipeline produces a comprehensive set of auditable artifacts:</w:t>
      </w:r>
    </w:p>
    <w:p>
      <w:pPr>
        <w:pStyle w:val="ListParagraph"/>
        <w:numPr>
          <w:ilvl w:val="0"/>
          <w:numId w:val="2"/>
        </w:numPr>
        <w:spacing w:after="80"/>
      </w:pPr>
      <w:r>
        <w:rPr>
          <w:rFonts w:ascii="Arial" w:cs="Arial" w:eastAsia="Arial" w:hAnsi="Arial"/>
          <w:sz w:val="20"/>
          <w:szCs w:val="20"/>
        </w:rPr>
        <w:t xml:space="preserve">Deployment snapshot (latest.json): Addresses, constructor args, block number, deployer</w:t>
      </w:r>
    </w:p>
    <w:p>
      <w:pPr>
        <w:pStyle w:val="ListParagraph"/>
        <w:numPr>
          <w:ilvl w:val="0"/>
          <w:numId w:val="2"/>
        </w:numPr>
        <w:spacing w:after="80"/>
      </w:pPr>
      <w:r>
        <w:rPr>
          <w:rFonts w:ascii="Arial" w:cs="Arial" w:eastAsia="Arial" w:hAnsi="Arial"/>
          <w:sz w:val="20"/>
          <w:szCs w:val="20"/>
        </w:rPr>
        <w:t xml:space="preserve">Release lock (release-latest.json): Digest + signature for bit-for-bit verification</w:t>
      </w:r>
    </w:p>
    <w:p>
      <w:pPr>
        <w:pStyle w:val="ListParagraph"/>
        <w:numPr>
          <w:ilvl w:val="0"/>
          <w:numId w:val="2"/>
        </w:numPr>
        <w:spacing w:after="80"/>
      </w:pPr>
      <w:r>
        <w:rPr>
          <w:rFonts w:ascii="Arial" w:cs="Arial" w:eastAsia="Arial" w:hAnsi="Arial"/>
          <w:sz w:val="20"/>
          <w:szCs w:val="20"/>
        </w:rPr>
        <w:t xml:space="preserve">Frontend manifest (frontend-manifest-latest.json): Chain-to-address mapping with game registry</w:t>
      </w:r>
    </w:p>
    <w:p>
      <w:pPr>
        <w:pStyle w:val="ListParagraph"/>
        <w:numPr>
          <w:ilvl w:val="0"/>
          <w:numId w:val="2"/>
        </w:numPr>
        <w:spacing w:after="80"/>
      </w:pPr>
      <w:r>
        <w:rPr>
          <w:rFonts w:ascii="Arial" w:cs="Arial" w:eastAsia="Arial" w:hAnsi="Arial"/>
          <w:sz w:val="20"/>
          <w:szCs w:val="20"/>
        </w:rPr>
        <w:t xml:space="preserve">Golden vectors: Deterministic test cases for frontend payout verification</w:t>
      </w:r>
    </w:p>
    <w:p>
      <w:pPr>
        <w:pStyle w:val="ListParagraph"/>
        <w:numPr>
          <w:ilvl w:val="0"/>
          <w:numId w:val="2"/>
        </w:numPr>
        <w:spacing w:after="80"/>
      </w:pPr>
      <w:r>
        <w:rPr>
          <w:rFonts w:ascii="Arial" w:cs="Arial" w:eastAsia="Arial" w:hAnsi="Arial"/>
          <w:sz w:val="20"/>
          <w:szCs w:val="20"/>
        </w:rPr>
        <w:t xml:space="preserve">Verify helpers: Auto-generated Etherscan verification scripts</w:t>
      </w:r>
    </w:p>
    <w:p>
      <w:pPr>
        <w:pStyle w:val="ListParagraph"/>
        <w:numPr>
          <w:ilvl w:val="0"/>
          <w:numId w:val="2"/>
        </w:numPr>
        <w:spacing w:after="80"/>
      </w:pPr>
      <w:r>
        <w:rPr>
          <w:rFonts w:ascii="Arial" w:cs="Arial" w:eastAsia="Arial" w:hAnsi="Arial"/>
          <w:sz w:val="20"/>
          <w:szCs w:val="20"/>
        </w:rPr>
        <w:t xml:space="preserve">ABI exports: Pre-compiled JSON ABIs for each contract</w:t>
      </w:r>
    </w:p>
    <w:p>
      <w:pPr>
        <w:pStyle w:val="ListParagraph"/>
        <w:numPr>
          <w:ilvl w:val="0"/>
          <w:numId w:val="2"/>
        </w:numPr>
        <w:spacing w:after="80"/>
      </w:pPr>
      <w:r>
        <w:rPr>
          <w:rFonts w:ascii="Arial" w:cs="Arial" w:eastAsia="Arial" w:hAnsi="Arial"/>
          <w:sz w:val="20"/>
          <w:szCs w:val="20"/>
        </w:rPr>
        <w:t xml:space="preserve">Audit bundle: Code + docs + deps + release artifacts as tar.gz</w:t>
      </w:r>
    </w:p>
    <w:p>
      <w:pPr>
        <w:pStyle w:val="Heading2"/>
        <w:spacing w:before="280" w:after="160"/>
      </w:pPr>
      <w:r>
        <w:rPr>
          <w:rFonts w:ascii="Arial" w:cs="Arial" w:eastAsia="Arial" w:hAnsi="Arial"/>
          <w:b/>
          <w:bCs/>
          <w:color w:val="1F4E79"/>
          <w:sz w:val="26"/>
          <w:szCs w:val="26"/>
        </w:rPr>
        <w:t xml:space="preserve">6.3 Deployment Safety</w:t>
      </w:r>
    </w:p>
    <w:p>
      <w:pPr>
        <w:spacing w:after="120"/>
      </w:pPr>
      <w:r>
        <w:rPr>
          <w:rFonts w:ascii="Arial" w:cs="Arial" w:eastAsia="Arial" w:hAnsi="Arial"/>
          <w:sz w:val="20"/>
          <w:szCs w:val="20"/>
        </w:rPr>
        <w:t xml:space="preserve">The Deploy.s.sol script (530 lines) implements multiple safety features:</w:t>
      </w:r>
    </w:p>
    <w:p>
      <w:pPr>
        <w:pStyle w:val="ListParagraph"/>
        <w:numPr>
          <w:ilvl w:val="0"/>
          <w:numId w:val="2"/>
        </w:numPr>
        <w:spacing w:after="80"/>
      </w:pPr>
      <w:r>
        <w:rPr>
          <w:rFonts w:ascii="Arial" w:cs="Arial" w:eastAsia="Arial" w:hAnsi="Arial"/>
          <w:sz w:val="20"/>
          <w:szCs w:val="20"/>
        </w:rPr>
        <w:t xml:space="preserve">Private key validation: deployer must match governance address</w:t>
      </w:r>
    </w:p>
    <w:p>
      <w:pPr>
        <w:pStyle w:val="ListParagraph"/>
        <w:numPr>
          <w:ilvl w:val="0"/>
          <w:numId w:val="2"/>
        </w:numPr>
        <w:spacing w:after="80"/>
      </w:pPr>
      <w:r>
        <w:rPr>
          <w:rFonts w:ascii="Arial" w:cs="Arial" w:eastAsia="Arial" w:hAnsi="Arial"/>
          <w:sz w:val="20"/>
          <w:szCs w:val="20"/>
        </w:rPr>
        <w:t xml:space="preserve">Atomic wiring: circular adapter/VRFHub dependency resolved post-construction</w:t>
      </w:r>
    </w:p>
    <w:p>
      <w:pPr>
        <w:pStyle w:val="ListParagraph"/>
        <w:numPr>
          <w:ilvl w:val="0"/>
          <w:numId w:val="2"/>
        </w:numPr>
        <w:spacing w:after="80"/>
      </w:pPr>
      <w:r>
        <w:rPr>
          <w:rFonts w:ascii="Arial" w:cs="Arial" w:eastAsia="Arial" w:hAnsi="Arial"/>
          <w:sz w:val="20"/>
          <w:szCs w:val="20"/>
        </w:rPr>
        <w:t xml:space="preserve">Multi-chain support: Base, Base Sepolia, Arbitrum, Arbitrum Sepolia with per-chain verifiers</w:t>
      </w:r>
    </w:p>
    <w:p>
      <w:pPr>
        <w:pStyle w:val="ListParagraph"/>
        <w:numPr>
          <w:ilvl w:val="0"/>
          <w:numId w:val="2"/>
        </w:numPr>
        <w:spacing w:after="80"/>
      </w:pPr>
      <w:r>
        <w:rPr>
          <w:rFonts w:ascii="Arial" w:cs="Arial" w:eastAsia="Arial" w:hAnsi="Arial"/>
          <w:sz w:val="20"/>
          <w:szCs w:val="20"/>
        </w:rPr>
        <w:t xml:space="preserve">Best-effort artifact writing: file write failures warn but do not fail deployment</w:t>
      </w:r>
    </w:p>
    <w:p>
      <w:pPr>
        <w:pStyle w:val="ListParagraph"/>
        <w:numPr>
          <w:ilvl w:val="0"/>
          <w:numId w:val="2"/>
        </w:numPr>
        <w:spacing w:after="80"/>
      </w:pPr>
      <w:r>
        <w:rPr>
          <w:rFonts w:ascii="Arial" w:cs="Arial" w:eastAsia="Arial" w:hAnsi="Arial"/>
          <w:sz w:val="20"/>
          <w:szCs w:val="20"/>
        </w:rPr>
        <w:t xml:space="preserve">Environment parameterization: all configs via env vars with explicit require</w:t>
      </w:r>
    </w:p>
    <w:p>
      <w:r>
        <w:br w:type="page"/>
      </w:r>
    </w:p>
    <w:p>
      <w:pPr>
        <w:pStyle w:val="Heading1"/>
        <w:spacing w:before="360" w:after="200"/>
      </w:pPr>
      <w:r>
        <w:rPr>
          <w:rFonts w:ascii="Arial" w:cs="Arial" w:eastAsia="Arial" w:hAnsi="Arial"/>
          <w:b/>
          <w:bCs/>
          <w:color w:val="1F4E79"/>
          <w:sz w:val="32"/>
          <w:szCs w:val="32"/>
        </w:rPr>
        <w:t xml:space="preserve">7. Frontend Application Review</w:t>
      </w:r>
    </w:p>
    <w:p>
      <w:pPr>
        <w:pStyle w:val="Heading2"/>
        <w:spacing w:before="280" w:after="160"/>
      </w:pPr>
      <w:r>
        <w:rPr>
          <w:rFonts w:ascii="Arial" w:cs="Arial" w:eastAsia="Arial" w:hAnsi="Arial"/>
          <w:b/>
          <w:bCs/>
          <w:color w:val="1F4E79"/>
          <w:sz w:val="26"/>
          <w:szCs w:val="26"/>
        </w:rPr>
        <w:t xml:space="preserve">7.1 Tech Stack</w:t>
      </w:r>
    </w:p>
    <w:p>
      <w:pPr>
        <w:spacing w:after="120"/>
      </w:pPr>
      <w:r>
        <w:rPr>
          <w:rFonts w:ascii="Arial" w:cs="Arial" w:eastAsia="Arial" w:hAnsi="Arial"/>
          <w:sz w:val="20"/>
          <w:szCs w:val="20"/>
        </w:rPr>
        <w:t xml:space="preserve">The frontend is a pnpm monorepo (pnpm 9.12.3, Node 20) with three packages:</w:t>
      </w:r>
    </w:p>
    <w:p>
      <w:pPr>
        <w:pStyle w:val="ListParagraph"/>
        <w:numPr>
          <w:ilvl w:val="0"/>
          <w:numId w:val="2"/>
        </w:numPr>
        <w:spacing w:after="80"/>
      </w:pPr>
      <w:r>
        <w:rPr>
          <w:rFonts w:ascii="Arial" w:cs="Arial" w:eastAsia="Arial" w:hAnsi="Arial"/>
          <w:sz w:val="20"/>
          <w:szCs w:val="20"/>
        </w:rPr>
        <w:t xml:space="preserve">apps/web: Next.js 15.1 + React 18 main application with App Router</w:t>
      </w:r>
    </w:p>
    <w:p>
      <w:pPr>
        <w:pStyle w:val="ListParagraph"/>
        <w:numPr>
          <w:ilvl w:val="0"/>
          <w:numId w:val="2"/>
        </w:numPr>
        <w:spacing w:after="80"/>
      </w:pPr>
      <w:r>
        <w:rPr>
          <w:rFonts w:ascii="Arial" w:cs="Arial" w:eastAsia="Arial" w:hAnsi="Arial"/>
          <w:sz w:val="20"/>
          <w:szCs w:val="20"/>
        </w:rPr>
        <w:t xml:space="preserve">packages/ssot: Core SDK (ABI resolution, domain models, release manifest parsing)</w:t>
      </w:r>
    </w:p>
    <w:p>
      <w:pPr>
        <w:pStyle w:val="ListParagraph"/>
        <w:numPr>
          <w:ilvl w:val="0"/>
          <w:numId w:val="2"/>
        </w:numPr>
        <w:spacing w:after="80"/>
      </w:pPr>
      <w:r>
        <w:rPr>
          <w:rFonts w:ascii="Arial" w:cs="Arial" w:eastAsia="Arial" w:hAnsi="Arial"/>
          <w:sz w:val="20"/>
          <w:szCs w:val="20"/>
        </w:rPr>
        <w:t xml:space="preserve">packages/ui: Tailwind CSS 3.4 + shadcn/ui component library with Storybook 8.6</w:t>
      </w:r>
    </w:p>
    <w:p>
      <w:pPr>
        <w:pStyle w:val="Heading2"/>
        <w:spacing w:before="280" w:after="160"/>
      </w:pPr>
      <w:r>
        <w:rPr>
          <w:rFonts w:ascii="Arial" w:cs="Arial" w:eastAsia="Arial" w:hAnsi="Arial"/>
          <w:b/>
          <w:bCs/>
          <w:color w:val="1F4E79"/>
          <w:sz w:val="26"/>
          <w:szCs w:val="26"/>
        </w:rPr>
        <w:t xml:space="preserve">7.2 Web3 Integration</w:t>
      </w:r>
    </w:p>
    <w:p>
      <w:pPr>
        <w:spacing w:after="120"/>
      </w:pPr>
      <w:r>
        <w:rPr>
          <w:rFonts w:ascii="Arial" w:cs="Arial" w:eastAsia="Arial" w:hAnsi="Arial"/>
          <w:sz w:val="20"/>
          <w:szCs w:val="20"/>
        </w:rPr>
        <w:t xml:space="preserve">The application uses wagmi 2.14 + viem 2.21 for type-safe Ethereum interaction, with TanStack Query 5.56 for server state management. Release manifests are embedded at build time via ssot:sync, ensuring the frontend always references correct contract addresses and ABIs.</w:t>
      </w:r>
    </w:p>
    <w:p>
      <w:pPr>
        <w:pStyle w:val="Heading2"/>
        <w:spacing w:before="280" w:after="160"/>
      </w:pPr>
      <w:r>
        <w:rPr>
          <w:rFonts w:ascii="Arial" w:cs="Arial" w:eastAsia="Arial" w:hAnsi="Arial"/>
          <w:b/>
          <w:bCs/>
          <w:color w:val="1F4E79"/>
          <w:sz w:val="26"/>
          <w:szCs w:val="26"/>
        </w:rPr>
        <w:t xml:space="preserve">7.3 Safety Properties</w:t>
      </w:r>
    </w:p>
    <w:p>
      <w:pPr>
        <w:pStyle w:val="ListParagraph"/>
        <w:numPr>
          <w:ilvl w:val="0"/>
          <w:numId w:val="2"/>
        </w:numPr>
        <w:spacing w:after="80"/>
      </w:pPr>
      <w:r>
        <w:rPr>
          <w:rFonts w:ascii="Arial" w:cs="Arial" w:eastAsia="Arial" w:hAnsi="Arial"/>
          <w:sz w:val="20"/>
          <w:szCs w:val="20"/>
        </w:rPr>
        <w:t xml:space="preserve">Manifest immutability: addresses cannot be updated without new release</w:t>
      </w:r>
    </w:p>
    <w:p>
      <w:pPr>
        <w:pStyle w:val="ListParagraph"/>
        <w:numPr>
          <w:ilvl w:val="0"/>
          <w:numId w:val="2"/>
        </w:numPr>
        <w:spacing w:after="80"/>
      </w:pPr>
      <w:r>
        <w:rPr>
          <w:rFonts w:ascii="Arial" w:cs="Arial" w:eastAsia="Arial" w:hAnsi="Arial"/>
          <w:sz w:val="20"/>
          <w:szCs w:val="20"/>
        </w:rPr>
        <w:t xml:space="preserve">ABI generated from canonical Foundry source (version-locked)</w:t>
      </w:r>
    </w:p>
    <w:p>
      <w:pPr>
        <w:pStyle w:val="ListParagraph"/>
        <w:numPr>
          <w:ilvl w:val="0"/>
          <w:numId w:val="2"/>
        </w:numPr>
        <w:spacing w:after="80"/>
      </w:pPr>
      <w:r>
        <w:rPr>
          <w:rFonts w:ascii="Arial" w:cs="Arial" w:eastAsia="Arial" w:hAnsi="Arial"/>
          <w:sz w:val="20"/>
          <w:szCs w:val="20"/>
        </w:rPr>
        <w:t xml:space="preserve">Deterministic historical replay via block number snapshot in manifest</w:t>
      </w:r>
    </w:p>
    <w:p>
      <w:r>
        <w:br w:type="page"/>
      </w:r>
    </w:p>
    <w:p>
      <w:pPr>
        <w:pStyle w:val="Heading1"/>
        <w:spacing w:before="360" w:after="200"/>
      </w:pPr>
      <w:r>
        <w:rPr>
          <w:rFonts w:ascii="Arial" w:cs="Arial" w:eastAsia="Arial" w:hAnsi="Arial"/>
          <w:b/>
          <w:bCs/>
          <w:color w:val="1F4E79"/>
          <w:sz w:val="32"/>
          <w:szCs w:val="32"/>
        </w:rPr>
        <w:t xml:space="preserve">8. Documentation Quality</w:t>
      </w:r>
    </w:p>
    <w:p>
      <w:pPr>
        <w:pStyle w:val="Heading2"/>
        <w:spacing w:before="280" w:after="160"/>
      </w:pPr>
      <w:r>
        <w:rPr>
          <w:rFonts w:ascii="Arial" w:cs="Arial" w:eastAsia="Arial" w:hAnsi="Arial"/>
          <w:b/>
          <w:bCs/>
          <w:color w:val="1F4E79"/>
          <w:sz w:val="26"/>
          <w:szCs w:val="26"/>
        </w:rPr>
        <w:t xml:space="preserve">8.1 Documentation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Category</w:t>
            </w:r>
          </w:p>
        </w:tc>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Files</w:t>
            </w:r>
          </w:p>
        </w:tc>
        <w:tc>
          <w:tcPr>
            <w:tcW w:type="dxa" w:w="38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Assessment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SSOT Constitution</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 versions (v1.0-v1.2)</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Formal axioms with versioned evolution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Executable SSOT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 versions (v1.0-v1.2)</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Maps constitution to Solidity invariants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Architecture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overview.md</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Clear contract relationships and data flow</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Threat Model</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threat-model.md</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Threats, mitigations, trust assumptions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Invariants Map</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invariants-map.md</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Property-to-code mapping for auditors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ADRs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28 records (0001-0028)</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Comprehensive architectural decision history</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Deployment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 env examples + checklist</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Multi-chain deployment documentation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Ops/Runbooks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4 runbooks + metrics + alerts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Operational monitoring and incident response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Game Docs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roulette.md, keno.md</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Game-specific rules and parameters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Migration</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refactored-mapping.md</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Clean-room rewrite traceability</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Release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checklist.md + README</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Release process documentation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Milestones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7 milestone plans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Complete development roadmap</w:t>
            </w:r>
          </w:p>
        </w:tc>
      </w:tr>
    </w:tbl>
    <w:p>
      <w:pPr>
        <w:spacing w:after="120"/>
      </w:pPr>
      <w:r>
        <w:rPr>
          <w:rFonts w:ascii="Arial" w:cs="Arial" w:eastAsia="Arial" w:hAnsi="Arial"/>
          <w:b/>
          <w:bCs/>
          <w:sz w:val="20"/>
          <w:szCs w:val="20"/>
        </w:rPr>
        <w:t xml:space="preserve">Assessment: </w:t>
      </w:r>
      <w:r>
        <w:rPr>
          <w:rFonts w:ascii="Arial" w:cs="Arial" w:eastAsia="Arial" w:hAnsi="Arial"/>
          <w:color w:val="000000"/>
          <w:sz w:val="20"/>
          <w:szCs w:val="20"/>
        </w:rPr>
        <w:t xml:space="preserve">Documentation quality is </w:t>
      </w:r>
      <w:r>
        <w:rPr>
          <w:rFonts w:ascii="Arial" w:cs="Arial" w:eastAsia="Arial" w:hAnsi="Arial"/>
          <w:b/>
          <w:bCs/>
          <w:color w:val="548235"/>
          <w:sz w:val="20"/>
          <w:szCs w:val="20"/>
        </w:rPr>
        <w:t xml:space="preserve">exceptional</w:t>
      </w:r>
      <w:r>
        <w:rPr>
          <w:rFonts w:ascii="Arial" w:cs="Arial" w:eastAsia="Arial" w:hAnsi="Arial"/>
          <w:sz w:val="20"/>
          <w:szCs w:val="20"/>
        </w:rPr>
        <w:t xml:space="preserve">. The formal SSOT constitution with versioned evolution, 28 ADRs, executable specification, and comprehensive operational runbooks represent best-in-class documentation for a DeFi protocol.</w:t>
      </w:r>
    </w:p>
    <w:p>
      <w:pPr>
        <w:pStyle w:val="Heading2"/>
        <w:spacing w:before="280" w:after="160"/>
      </w:pPr>
      <w:r>
        <w:rPr>
          <w:rFonts w:ascii="Arial" w:cs="Arial" w:eastAsia="Arial" w:hAnsi="Arial"/>
          <w:b/>
          <w:bCs/>
          <w:color w:val="1F4E79"/>
          <w:sz w:val="26"/>
          <w:szCs w:val="26"/>
        </w:rPr>
        <w:t xml:space="preserve">8.2 Security Disclosure</w:t>
      </w:r>
    </w:p>
    <w:p>
      <w:pPr>
        <w:spacing w:after="120"/>
      </w:pPr>
      <w:r>
        <w:rPr>
          <w:rFonts w:ascii="Arial" w:cs="Arial" w:eastAsia="Arial" w:hAnsi="Arial"/>
          <w:sz w:val="20"/>
          <w:szCs w:val="20"/>
        </w:rPr>
        <w:t xml:space="preserve">Security policy (SECURITY.md) specifies private reporting to security@bankroll.studio with 72-hour response target. In-scope: loss of funds, SSOT invariant breaking, VRF fulfillment bricking, referral/XP corruption. Out-of-scope: dependency vulnerabilities (unless exploitable), social engineering.</w:t>
      </w:r>
    </w:p>
    <w:p>
      <w:r>
        <w:br w:type="page"/>
      </w:r>
    </w:p>
    <w:p>
      <w:pPr>
        <w:pStyle w:val="Heading1"/>
        <w:spacing w:before="360" w:after="200"/>
      </w:pPr>
      <w:r>
        <w:rPr>
          <w:rFonts w:ascii="Arial" w:cs="Arial" w:eastAsia="Arial" w:hAnsi="Arial"/>
          <w:b/>
          <w:bCs/>
          <w:color w:val="1F4E79"/>
          <w:sz w:val="32"/>
          <w:szCs w:val="32"/>
        </w:rPr>
        <w:t xml:space="preserve">9. Recommendations</w:t>
      </w:r>
    </w:p>
    <w:p>
      <w:pPr>
        <w:pStyle w:val="Heading2"/>
        <w:spacing w:before="280" w:after="160"/>
      </w:pPr>
      <w:r>
        <w:rPr>
          <w:rFonts w:ascii="Arial" w:cs="Arial" w:eastAsia="Arial" w:hAnsi="Arial"/>
          <w:b/>
          <w:bCs/>
          <w:color w:val="1F4E79"/>
          <w:sz w:val="26"/>
          <w:szCs w:val="26"/>
        </w:rPr>
        <w:t xml:space="preserve">9.1 High Priority</w:t>
      </w:r>
    </w:p>
    <w:p>
      <w:pPr>
        <w:pStyle w:val="ListParagraph"/>
        <w:numPr>
          <w:ilvl w:val="0"/>
          <w:numId w:val="2"/>
        </w:numPr>
        <w:spacing w:after="80"/>
      </w:pPr>
      <w:r>
        <w:rPr>
          <w:rFonts w:ascii="Arial" w:cs="Arial" w:eastAsia="Arial" w:hAnsi="Arial"/>
          <w:sz w:val="20"/>
          <w:szCs w:val="20"/>
        </w:rPr>
        <w:t xml:space="preserve">Add governance timelock: Consider implementing a time-delayed governance mechanism to reduce single-point-of-failure risk. A 24-48 hour delay on parameter changes would provide community oversight.</w:t>
      </w:r>
    </w:p>
    <w:p>
      <w:pPr>
        <w:pStyle w:val="ListParagraph"/>
        <w:numPr>
          <w:ilvl w:val="0"/>
          <w:numId w:val="2"/>
        </w:numPr>
        <w:spacing w:after="80"/>
      </w:pPr>
      <w:r>
        <w:rPr>
          <w:rFonts w:ascii="Arial" w:cs="Arial" w:eastAsia="Arial" w:hAnsi="Arial"/>
          <w:sz w:val="20"/>
          <w:szCs w:val="20"/>
        </w:rPr>
        <w:t xml:space="preserve">Extend fork tests: Add VRF fulfillment completion testing (via testnet or mock callback) to validate the full lifecycle on real networks.</w:t>
      </w:r>
    </w:p>
    <w:p>
      <w:pPr>
        <w:pStyle w:val="ListParagraph"/>
        <w:numPr>
          <w:ilvl w:val="0"/>
          <w:numId w:val="2"/>
        </w:numPr>
        <w:spacing w:after="80"/>
      </w:pPr>
      <w:r>
        <w:rPr>
          <w:rFonts w:ascii="Arial" w:cs="Arial" w:eastAsia="Arial" w:hAnsi="Arial"/>
          <w:sz w:val="20"/>
          <w:szCs w:val="20"/>
        </w:rPr>
        <w:t xml:space="preserve">Fuzz extreme bounds: Add invariant test scenarios for maximum bet sizes near reserve limits, near-empty banks, and extreme referral chain depths.</w:t>
      </w:r>
    </w:p>
    <w:p>
      <w:pPr>
        <w:pStyle w:val="ListParagraph"/>
        <w:numPr>
          <w:ilvl w:val="0"/>
          <w:numId w:val="2"/>
        </w:numPr>
        <w:spacing w:after="80"/>
      </w:pPr>
      <w:r>
        <w:rPr>
          <w:rFonts w:ascii="Arial" w:cs="Arial" w:eastAsia="Arial" w:hAnsi="Arial"/>
          <w:sz w:val="20"/>
          <w:szCs w:val="20"/>
        </w:rPr>
        <w:t xml:space="preserve">Gas regression testing: Implement per-profile gas cost baselines to detect unexpected cost increases across releases.</w:t>
      </w:r>
    </w:p>
    <w:p>
      <w:pPr>
        <w:pStyle w:val="Heading2"/>
        <w:spacing w:before="280" w:after="160"/>
      </w:pPr>
      <w:r>
        <w:rPr>
          <w:rFonts w:ascii="Arial" w:cs="Arial" w:eastAsia="Arial" w:hAnsi="Arial"/>
          <w:b/>
          <w:bCs/>
          <w:color w:val="1F4E79"/>
          <w:sz w:val="26"/>
          <w:szCs w:val="26"/>
        </w:rPr>
        <w:t xml:space="preserve">9.2 Medium Priority</w:t>
      </w:r>
    </w:p>
    <w:p>
      <w:pPr>
        <w:pStyle w:val="ListParagraph"/>
        <w:numPr>
          <w:ilvl w:val="0"/>
          <w:numId w:val="2"/>
        </w:numPr>
        <w:spacing w:after="80"/>
      </w:pPr>
      <w:r>
        <w:rPr>
          <w:rFonts w:ascii="Arial" w:cs="Arial" w:eastAsia="Arial" w:hAnsi="Arial"/>
          <w:sz w:val="20"/>
          <w:szCs w:val="20"/>
        </w:rPr>
        <w:t xml:space="preserve">Formal verification: Consider Certora or Halmos for SMT-based proofs of core invariants (A1/A2/A3, LIVE), especially before mainnet deployment.</w:t>
      </w:r>
    </w:p>
    <w:p>
      <w:pPr>
        <w:pStyle w:val="ListParagraph"/>
        <w:numPr>
          <w:ilvl w:val="0"/>
          <w:numId w:val="2"/>
        </w:numPr>
        <w:spacing w:after="80"/>
      </w:pPr>
      <w:r>
        <w:rPr>
          <w:rFonts w:ascii="Arial" w:cs="Arial" w:eastAsia="Arial" w:hAnsi="Arial"/>
          <w:sz w:val="20"/>
          <w:szCs w:val="20"/>
        </w:rPr>
        <w:t xml:space="preserve">Mutation testing: Add mutation testing pass to detect subtle logic errors not caught by current test suite.</w:t>
      </w:r>
    </w:p>
    <w:p>
      <w:pPr>
        <w:pStyle w:val="ListParagraph"/>
        <w:numPr>
          <w:ilvl w:val="0"/>
          <w:numId w:val="2"/>
        </w:numPr>
        <w:spacing w:after="80"/>
      </w:pPr>
      <w:r>
        <w:rPr>
          <w:rFonts w:ascii="Arial" w:cs="Arial" w:eastAsia="Arial" w:hAnsi="Arial"/>
          <w:sz w:val="20"/>
          <w:szCs w:val="20"/>
        </w:rPr>
        <w:t xml:space="preserve">Post-deployment validation: Add automated smoke test script that verifies deployed contract state matches expected configuration.</w:t>
      </w:r>
    </w:p>
    <w:p>
      <w:pPr>
        <w:pStyle w:val="ListParagraph"/>
        <w:numPr>
          <w:ilvl w:val="0"/>
          <w:numId w:val="2"/>
        </w:numPr>
        <w:spacing w:after="80"/>
      </w:pPr>
      <w:r>
        <w:rPr>
          <w:rFonts w:ascii="Arial" w:cs="Arial" w:eastAsia="Arial" w:hAnsi="Arial"/>
          <w:sz w:val="20"/>
          <w:szCs w:val="20"/>
        </w:rPr>
        <w:t xml:space="preserve">Coverage reports: Integrate Foundry coverage reporting into CI for PR-level visibility.</w:t>
      </w:r>
    </w:p>
    <w:p>
      <w:pPr>
        <w:pStyle w:val="ListParagraph"/>
        <w:numPr>
          <w:ilvl w:val="0"/>
          <w:numId w:val="2"/>
        </w:numPr>
        <w:spacing w:after="80"/>
      </w:pPr>
      <w:r>
        <w:rPr>
          <w:rFonts w:ascii="Arial" w:cs="Arial" w:eastAsia="Arial" w:hAnsi="Arial"/>
          <w:sz w:val="20"/>
          <w:szCs w:val="20"/>
        </w:rPr>
        <w:t xml:space="preserve">Holdback precision: Replace integer division in holdback vesting with Math.mulDiv() for improved precision over many sync operations.</w:t>
      </w:r>
    </w:p>
    <w:p>
      <w:pPr>
        <w:pStyle w:val="Heading2"/>
        <w:spacing w:before="280" w:after="160"/>
      </w:pPr>
      <w:r>
        <w:rPr>
          <w:rFonts w:ascii="Arial" w:cs="Arial" w:eastAsia="Arial" w:hAnsi="Arial"/>
          <w:b/>
          <w:bCs/>
          <w:color w:val="1F4E79"/>
          <w:sz w:val="26"/>
          <w:szCs w:val="26"/>
        </w:rPr>
        <w:t xml:space="preserve">9.3 Low Priority</w:t>
      </w:r>
    </w:p>
    <w:p>
      <w:pPr>
        <w:pStyle w:val="ListParagraph"/>
        <w:numPr>
          <w:ilvl w:val="0"/>
          <w:numId w:val="2"/>
        </w:numPr>
        <w:spacing w:after="80"/>
      </w:pPr>
      <w:r>
        <w:rPr>
          <w:rFonts w:ascii="Arial" w:cs="Arial" w:eastAsia="Arial" w:hAnsi="Arial"/>
          <w:sz w:val="20"/>
          <w:szCs w:val="20"/>
        </w:rPr>
        <w:t xml:space="preserve">Constants consolidation: Gather magic numbers (MAX_SKYLINE_SEGMENTS, MAX_BET_COUNT, BPS) into a shared Constants library.</w:t>
      </w:r>
    </w:p>
    <w:p>
      <w:pPr>
        <w:pStyle w:val="ListParagraph"/>
        <w:numPr>
          <w:ilvl w:val="0"/>
          <w:numId w:val="2"/>
        </w:numPr>
        <w:spacing w:after="80"/>
      </w:pPr>
      <w:r>
        <w:rPr>
          <w:rFonts w:ascii="Arial" w:cs="Arial" w:eastAsia="Arial" w:hAnsi="Arial"/>
          <w:sz w:val="20"/>
          <w:szCs w:val="20"/>
        </w:rPr>
        <w:t xml:space="preserve">Keno gain table verification: Provide a Python/Sage script that independently computes hypergeometric gain factors and compares against hardcoded values.</w:t>
      </w:r>
    </w:p>
    <w:p>
      <w:pPr>
        <w:pStyle w:val="ListParagraph"/>
        <w:numPr>
          <w:ilvl w:val="0"/>
          <w:numId w:val="2"/>
        </w:numPr>
        <w:spacing w:after="80"/>
      </w:pPr>
      <w:r>
        <w:rPr>
          <w:rFonts w:ascii="Arial" w:cs="Arial" w:eastAsia="Arial" w:hAnsi="Arial"/>
          <w:sz w:val="20"/>
          <w:szCs w:val="20"/>
        </w:rPr>
        <w:t xml:space="preserve">Performance benchmarks: Track gas costs across releases to detect optimization regressions.</w:t>
      </w:r>
    </w:p>
    <w:p>
      <w:pPr>
        <w:pStyle w:val="ListParagraph"/>
        <w:numPr>
          <w:ilvl w:val="0"/>
          <w:numId w:val="2"/>
        </w:numPr>
        <w:spacing w:after="80"/>
      </w:pPr>
      <w:r>
        <w:rPr>
          <w:rFonts w:ascii="Arial" w:cs="Arial" w:eastAsia="Arial" w:hAnsi="Arial"/>
          <w:sz w:val="20"/>
          <w:szCs w:val="20"/>
        </w:rPr>
        <w:t xml:space="preserve">Pause-state documentation: Document the intentional asymmetry between pause-gated (claimXP) and always-live (unlockXPLocked) operations.</w:t>
      </w:r>
    </w:p>
    <w:p>
      <w:r>
        <w:br w:type="page"/>
      </w:r>
    </w:p>
    <w:p>
      <w:pPr>
        <w:pStyle w:val="Heading1"/>
        <w:spacing w:before="360" w:after="200"/>
      </w:pPr>
      <w:r>
        <w:rPr>
          <w:rFonts w:ascii="Arial" w:cs="Arial" w:eastAsia="Arial" w:hAnsi="Arial"/>
          <w:b/>
          <w:bCs/>
          <w:color w:val="1F4E79"/>
          <w:sz w:val="32"/>
          <w:szCs w:val="32"/>
        </w:rPr>
        <w:t xml:space="preserve">10. Conclusion</w:t>
      </w:r>
    </w:p>
    <w:p>
      <w:pPr>
        <w:spacing w:after="120"/>
      </w:pPr>
      <w:r>
        <w:rPr>
          <w:rFonts w:ascii="Arial" w:cs="Arial" w:eastAsia="Arial" w:hAnsi="Arial"/>
          <w:sz w:val="20"/>
          <w:szCs w:val="20"/>
        </w:rPr>
        <w:t xml:space="preserve">The Bankroll Protocol SSOT v1.2 repository represents a high-quality, well-engineered on-chain gaming protocol with several standout characteristics:</w:t>
      </w:r>
    </w:p>
    <w:p>
      <w:pPr>
        <w:pStyle w:val="ListParagraph"/>
        <w:numPr>
          <w:ilvl w:val="0"/>
          <w:numId w:val="2"/>
        </w:numPr>
        <w:spacing w:after="80"/>
      </w:pPr>
      <w:r>
        <w:rPr>
          <w:rFonts w:ascii="Arial" w:cs="Arial" w:eastAsia="Arial" w:hAnsi="Arial"/>
          <w:sz w:val="20"/>
          <w:szCs w:val="20"/>
        </w:rPr>
        <w:t xml:space="preserve">Formal specification-driven development with executable SSOT proofs that directly map constitutional axioms to Solidity invariant tests</w:t>
      </w:r>
    </w:p>
    <w:p>
      <w:pPr>
        <w:pStyle w:val="ListParagraph"/>
        <w:numPr>
          <w:ilvl w:val="0"/>
          <w:numId w:val="2"/>
        </w:numPr>
        <w:spacing w:after="80"/>
      </w:pPr>
      <w:r>
        <w:rPr>
          <w:rFonts w:ascii="Arial" w:cs="Arial" w:eastAsia="Arial" w:hAnsi="Arial"/>
          <w:sz w:val="20"/>
          <w:szCs w:val="20"/>
        </w:rPr>
        <w:t xml:space="preserve">Multi-layer test strategy (unit, differential, invariant, fork) providing comprehensive coverage with escalating rigor across PR, nightly, and release profiles</w:t>
      </w:r>
    </w:p>
    <w:p>
      <w:pPr>
        <w:pStyle w:val="ListParagraph"/>
        <w:numPr>
          <w:ilvl w:val="0"/>
          <w:numId w:val="2"/>
        </w:numPr>
        <w:spacing w:after="80"/>
      </w:pPr>
      <w:r>
        <w:rPr>
          <w:rFonts w:ascii="Arial" w:cs="Arial" w:eastAsia="Arial" w:hAnsi="Arial"/>
          <w:sz w:val="20"/>
          <w:szCs w:val="20"/>
        </w:rPr>
        <w:t xml:space="preserve">Immutable architecture with permissionless liveness guarantees ensuring no bet can ever be permanently locked</w:t>
      </w:r>
    </w:p>
    <w:p>
      <w:pPr>
        <w:pStyle w:val="ListParagraph"/>
        <w:numPr>
          <w:ilvl w:val="0"/>
          <w:numId w:val="2"/>
        </w:numPr>
        <w:spacing w:after="80"/>
      </w:pPr>
      <w:r>
        <w:rPr>
          <w:rFonts w:ascii="Arial" w:cs="Arial" w:eastAsia="Arial" w:hAnsi="Arial"/>
          <w:sz w:val="20"/>
          <w:szCs w:val="20"/>
        </w:rPr>
        <w:t xml:space="preserve">Clean separation of concerns with strict dependency isolation preventing cross-layer coupling</w:t>
      </w:r>
    </w:p>
    <w:p>
      <w:pPr>
        <w:pStyle w:val="ListParagraph"/>
        <w:numPr>
          <w:ilvl w:val="0"/>
          <w:numId w:val="2"/>
        </w:numPr>
        <w:spacing w:after="80"/>
      </w:pPr>
      <w:r>
        <w:rPr>
          <w:rFonts w:ascii="Arial" w:cs="Arial" w:eastAsia="Arial" w:hAnsi="Arial"/>
          <w:sz w:val="20"/>
          <w:szCs w:val="20"/>
        </w:rPr>
        <w:t xml:space="preserve">Production-ready release discipline with digest-locked artifacts, automated verification scripts, and audit bundles</w:t>
      </w:r>
    </w:p>
    <w:p>
      <w:pPr>
        <w:spacing w:after="120"/>
      </w:pPr>
      <w:r>
        <w:rPr>
          <w:rFonts w:ascii="Arial" w:cs="Arial" w:eastAsia="Arial" w:hAnsi="Arial"/>
          <w:b w:val="false"/>
          <w:bCs w:val="false"/>
          <w:sz w:val="20"/>
          <w:szCs w:val="20"/>
        </w:rPr>
        <w:t xml:space="preserve">Overall, this is a </w:t>
      </w:r>
      <w:r>
        <w:rPr>
          <w:rFonts w:ascii="Arial" w:cs="Arial" w:eastAsia="Arial" w:hAnsi="Arial"/>
          <w:b/>
          <w:bCs/>
          <w:color w:val="548235"/>
          <w:sz w:val="20"/>
          <w:szCs w:val="20"/>
        </w:rPr>
        <w:t xml:space="preserve">production-ready protocol</w:t>
      </w:r>
      <w:r>
        <w:rPr>
          <w:rFonts w:ascii="Arial" w:cs="Arial" w:eastAsia="Arial" w:hAnsi="Arial"/>
          <w:sz w:val="20"/>
          <w:szCs w:val="20"/>
        </w:rPr>
        <w:t xml:space="preserve"> that demonstrates institution-grade engineering practices. The primary areas for improvement are governance decentralization (timelock), formal verification tooling, and extended fork test coverage. No critical vulnerabilities were identified during this review.</w:t>
      </w:r>
    </w:p>
    <w:p>
      <w:pPr>
        <w:spacing w:after="120"/>
      </w:pPr>
      <w:r>
        <w:rPr>
          <w:rFonts w:ascii="Arial" w:cs="Arial" w:eastAsia="Arial" w:hAnsi="Arial"/>
          <w:sz w:val="20"/>
          <w:szCs w:val="20"/>
        </w:rPr>
        <w:t xml:space="preserve"/>
      </w:r>
    </w:p>
    <w:p>
      <w:pPr>
        <w:spacing w:after="120"/>
      </w:pPr>
      <w:r>
        <w:rPr>
          <w:rFonts w:ascii="Arial" w:cs="Arial" w:eastAsia="Arial" w:hAnsi="Arial"/>
          <w:color w:val="808080"/>
          <w:sz w:val="20"/>
          <w:szCs w:val="20"/>
        </w:rPr>
        <w:t xml:space="preserve">--- End of Report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Page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08080"/>
        <w:sz w:val="16"/>
        <w:szCs w:val="16"/>
      </w:rPr>
      <w:t xml:space="preserve">SSOT v1.2 Audit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F4E79"/>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2026-02-09T04:17:34.343Z</dcterms:created>
  <dcterms:modified xsi:type="dcterms:W3CDTF">2026-02-09T04:17:34.343Z</dcterms:modified>
</cp:coreProperties>
</file>

<file path=docProps/custom.xml><?xml version="1.0" encoding="utf-8"?>
<Properties xmlns="http://schemas.openxmlformats.org/officeDocument/2006/custom-properties" xmlns:vt="http://schemas.openxmlformats.org/officeDocument/2006/docPropsVTypes"/>
</file>