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  <w:color w:val="1F4E5F"/>
          <w:sz w:val="44"/>
          <w:szCs w:val="44"/>
        </w:rPr>
        <w:t xml:space="preserve">Solution Design Document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Health Insurance Customer &amp; Claims Analytics Platform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Solution</w:t>
      </w:r>
    </w:p>
    <w:p>
      <w:pPr>
        <w:spacing w:after="160"/>
      </w:pPr>
      <w:r>
        <w:t xml:space="preserve">This solution implements a Big Data pipeline that moves competitor and third-party health insurance data from raw files through cleansing and into a queryable Redshift analytics layer. The end-to-end flow is as follows: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Ingest: Raw sample files (Patients, Subscriber, Claims, Group_subgroup) are uploaded to an AWS S3 bucket under an input-data/ prefix.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Inspect: A PySpark job (developed/tested on Databricks Community Edition) reads each dataset from S3 and profiles it — counting nulls per column and identifying duplicate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Cleanse: Null values in key columns are standardized to 'NA'; duplicate records are dropped. Each of the four datasets is cleansed independently using a dedicated cleansing module.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to Staging: Cleansed DataFrames are written into corresponding Redshift staging tables (patients, hospital, subscriber, claims, group_subgroup) using the Redshift JDBC/Spark connector.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Use Cases: Thirteen PySpark result-generation modules query the staging tables (joined as needed via the PK/FK relationships in Section 3) and compute each business use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 Results: Each use case's output is written to its own table inside a dedicated Project-Output Redshift schema, so business users can query results without touching staging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Visualize / Present: Databricks notebooks are used to produce result visualizations (charts) for the use cases, to be included in the live presentation and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Deploy: Once validated in Databricks Community Edition, the PySpark code is pushed to GitHub via PyCharm. Production runs execute on AWS EMR (or a Databricks production workspace), triggered from the GitHub repo.</w:t>
      </w:r>
    </w:p>
    <w:p>
      <w:r>
        <w:br w:type="page"/>
      </w:r>
    </w:p>
    <w:p>
      <w:pPr>
        <w:pStyle w:val="Heading1"/>
      </w:pPr>
      <w:r>
        <w:t xml:space="preserve">2. Use Cases</w:t>
      </w:r>
    </w:p>
    <w:p>
      <w:pPr>
        <w:spacing w:after="160"/>
      </w:pPr>
      <w:r>
        <w:t xml:space="preserve">This solution covers the following 13 use cases, each mapped to a dedicated output table in the Project-Output Redshift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Disease with the maximum number of claims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out_disease_max_claims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Subscribers under age 30 enrolled in a subgroup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out_subscribers_under30_subgroup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 with the maximum number of subgroups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out_group_max_subgroups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Hospital serving the most patients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out_hospital_most_patients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Subgroups with the most subscriptions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out_subgroup_most_subscriptions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number of rejected claims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out_claims_rejected_total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 generating the most claims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out_city_most_claims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Government vs. Private policy split by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out_policy_type_counts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Average monthly premium paid by subscribers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out_avg_monthly_premium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 profitable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out_group_most_profitable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Patients under 18 admitted for cancer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out_patients_under18_cancer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Cashless patients with charges &gt;= Rs. 50,000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out_cashless_high_charges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Female patients over 40 with knee surgery (past year)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out_female_over40_knee_surgery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2.1 Database Design — Redshift Tables</w:t>
      </w:r>
    </w:p>
    <w:p>
      <w:pPr>
        <w:spacing w:after="160"/>
      </w:pPr>
      <w:r>
        <w:t xml:space="preserve">Two Redshift schemas are used: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bootcamp (staging schema) — holds cleansed source data: patients, hospital, subscriber, claims, group_subgroup.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Project-Output (results schema) — holds one table per use case, listed in the table above.</w:t>
      </w:r>
    </w:p>
    <w:p>
      <w:r>
        <w:br w:type="page"/>
      </w:r>
    </w:p>
    <w:p>
      <w:pPr>
        <w:pStyle w:val="Heading1"/>
      </w:pPr>
      <w:r>
        <w:t xml:space="preserve">3. Tables Metadata — PK/FK Relationships</w:t>
      </w:r>
    </w:p>
    <w:p>
      <w:pPr>
        <w:pStyle w:val="Heading2"/>
      </w:pPr>
      <w:r>
        <w:t xml:space="preserve">3.1 hospital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hospital_id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Surrogate key, unique per hospital.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hospital_name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 of the hospital.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 the hospital is located 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the hospital is located in.</w:t>
            </w:r>
          </w:p>
        </w:tc>
      </w:tr>
    </w:tbl>
    <w:p>
      <w:pPr>
        <w:pStyle w:val="Heading2"/>
      </w:pPr>
      <w:r>
        <w:t xml:space="preserve">3.2 group_subgroup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 (composite)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Identifies the parent policy group (e.g., employer).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 (composite)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Identifies the subgroup within the parent group.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name of the group.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subgroup_name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name of the subgroup.</w:t>
            </w:r>
          </w:p>
        </w:tc>
      </w:tr>
    </w:tbl>
    <w:p>
      <w:pPr>
        <w:pStyle w:val="Heading2"/>
      </w:pPr>
      <w:r>
        <w:t xml:space="preserve">3.3 subscriber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Surrogate key, unique per subscriber.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-&gt; group_subgroup.group_id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 the subscriber belongs 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-&gt; group_subgroup.subgroup_id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Subgroup the subscriber belongs 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 first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 last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 age in years.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Subscriber's city.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policy_type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'Government' or 'Private'.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monthly_premium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Premium amount paid per month.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cashless_flag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'Y' or 'N' — whether the subscriber holds cashless insurance.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the subscriber enrolled.</w:t>
            </w:r>
          </w:p>
        </w:tc>
      </w:tr>
    </w:tbl>
    <w:p>
      <w:pPr>
        <w:pStyle w:val="Heading2"/>
      </w:pPr>
      <w:r>
        <w:t xml:space="preserve">3.4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Surrogate key, unique per patient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-&gt; subscriber.subscriber_id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Links the patient to their policy subscriber.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hospital_id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-&gt; hospital.hospital_id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Hospital where the patient was treated.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 first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 last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 gender.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 age in years.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Patient's city.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Diagnosed condition, e.g. cancer.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procedure_type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e.g. 'Knee Surgery'; NULL if not a surgical case.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admission_date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Hospital admission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Hospital discharge date.</w:t>
            </w:r>
          </w:p>
        </w:tc>
      </w:tr>
    </w:tbl>
    <w:p>
      <w:pPr>
        <w:pStyle w:val="Heading2"/>
      </w:pPr>
      <w:r>
        <w:t xml:space="preserve">3.5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claim_id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Surrogate key, unique per claim.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-&gt; patients.patient_id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 associated with the claim.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-&gt; subscriber.subscriber_id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Subscriber associated with the claim.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Disease the claim relates 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claim_amount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 claimed.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total_charges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hospital charges for the visit.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claim_status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'Approved', 'Rejected', or 'Pending'.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claim_date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the claim was filed.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 the claim originated from.</w:t>
            </w:r>
          </w:p>
        </w:tc>
      </w:tr>
    </w:tbl>
    <w:p>
      <w:pPr>
        <w:pStyle w:val="Heading2"/>
      </w:pPr>
      <w:r>
        <w:t xml:space="preserve">3.6 ER Diagram (Optional)</w:t>
      </w:r>
    </w:p>
    <w:p>
      <w:pPr>
        <w:spacing w:after="160"/>
      </w:pPr>
      <w:r>
        <w:t xml:space="preserve">group_subgroup (1) -&gt; (M) subscriber (1) -&gt; (M) patients (1) -&gt; (M) claims. hospital (1) -&gt; (M) patients. A full visual ER diagram can be generated from these tables using a tool such as dbdiagram.io or the AWS Schema Conversion Tool and attached here as an image during the design week.</w:t>
      </w:r>
    </w:p>
    <w:p>
      <w:r>
        <w:br w:type="page"/>
      </w:r>
    </w:p>
    <w:p>
      <w:pPr>
        <w:pStyle w:val="Heading1"/>
      </w:pPr>
      <w:r>
        <w:t xml:space="preserve">4. Technologies and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in This 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S3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Stores raw input files (input-data/) and any intermediate files produced during cleansing.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PySpark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Performs distributed data cleansing (null handling, deduplication) and computes all 13 use-case transformations.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Databricks (Community Edition)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Development and testing environment for the PySpark notebooks before production deployment; also used to generate result visualizations.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EMR Studio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 execution environment for the PySpark jobs once validated.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Redshift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Stores cleansed staging tables and the Project-Output schema holding all 13 use-case result tables.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Hosts the Documents repo (RSD, SDD, schema doc, Jira exports) and the PySpark Source Code repo (cleansing + result modules).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PyCharm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 used to develop and push the validated PySpark code to GitHub.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Jira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Tracks the 2-week sprint, user stories per use case, and associated test cases.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Health Insurance Analytics Platform — Solution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2026-06-23T00:49:56.949Z</dcterms:created>
  <dcterms:modified xsi:type="dcterms:W3CDTF">2026-06-23T00:49:56.949Z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