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三院整合型計畫 子計畫四研究內容</w:t>
      </w:r>
    </w:p>
    <w:p>
      <w:pPr>
        <w:jc w:val="center"/>
      </w:pPr>
      <w:r>
        <w:rPr>
          <w:b/>
          <w:sz w:val="24"/>
        </w:rPr>
        <w:t>子計畫四：AI Core &amp; Smart Camera平台開發（林明錦）</w:t>
      </w:r>
    </w:p>
    <w:p>
      <w:pPr>
        <w:pStyle w:val="Heading1"/>
      </w:pPr>
      <w:r>
        <w:t>(一) 子計畫背景、目的及前期數據</w:t>
      </w:r>
    </w:p>
    <w:p>
      <w:pPr>
        <w:spacing w:after="120"/>
      </w:pPr>
      <w:r>
        <w:rPr>
          <w:b/>
        </w:rPr>
        <w:t>研究背景：</w:t>
      </w:r>
      <w:r>
        <w:t>許多疾病以不正常步態表現(帕金森、關節炎、前庭功能障礙等),但傳統定量步態分析需特定設備(3D動作捕捉、測力板等),成本高昂且耗時。臨床診斷多以定性評估,無法量化步態參數,且跨科別診斷困難。</w:t>
      </w:r>
    </w:p>
    <w:p>
      <w:pPr>
        <w:spacing w:after="120"/>
      </w:pPr>
      <w:r>
        <w:rPr>
          <w:b/>
        </w:rPr>
        <w:t>前期成果：</w:t>
      </w:r>
      <w:r>
        <w:t>國科會步態研究已證實單一攝影鏡頭搭配OpenPose/MediaPipe可準確擷取人體18-25個關鍵點,量化步速、步頻、膝關節角度、步態偏差指數(GDI)等,與疾病嚴重度顯著相關。本院已累積數百筆臨床影像資料。</w:t>
      </w:r>
    </w:p>
    <w:p>
      <w:pPr>
        <w:spacing w:after="160"/>
      </w:pPr>
      <w:r>
        <w:rPr>
          <w:b/>
        </w:rPr>
        <w:t>研究目的：</w:t>
      </w:r>
      <w:r>
        <w:t>(1)開發Smart Camera/Robot硬體平台(部署≥20台);(2)建構多模態資料庫(影像/聲音/行為,3000-5000筆);(3)開發AI Core深度學習引擎(CNN/RNN/Transformer);(4)開發運動功能指標(FRI)與平衡功能評估(BFS)AI模組;(5)建立SHAP可解釋AI模型;(6)支援三院臨床子計畫應用。</w:t>
      </w:r>
    </w:p>
    <w:p>
      <w:pPr>
        <w:pStyle w:val="Heading1"/>
      </w:pPr>
      <w:r>
        <w:t>(二) 子計畫對整體計畫的重要性</w:t>
      </w:r>
    </w:p>
    <w:p>
      <w:pPr>
        <w:spacing w:after="160"/>
      </w:pPr>
      <w:r>
        <w:t>本子計畫為整體計畫技術核心,提供:(1)統一AI Core與Smart Camera平台供三院臨床子計畫共用;(2)標準化多模態資料收集流程(OpenPose步態+MediaPipe手勢/表情);(3)資料融合、去識別化、加密傳輸與權限控管;(4)多模態AI模型開發(準確率≥85%);(5)SHAP可解釋AI提升臨床信任度;(6)資料標註平台與品質控管;(7)臨床決策支援系統整合至HIS。若無本子計畫,其他臨床子計畫將缺乏標準化工具、資料無法整合比較、AI模型缺乏可解釋性。</w:t>
      </w:r>
    </w:p>
    <w:p>
      <w:pPr>
        <w:pStyle w:val="Heading1"/>
      </w:pPr>
      <w:r>
        <w:t>(三) 子計畫執行方式及內容</w:t>
      </w:r>
    </w:p>
    <w:p>
      <w:pPr>
        <w:spacing w:after="120"/>
      </w:pPr>
      <w:r>
        <w:rPr>
          <w:b/>
        </w:rPr>
        <w:t>1. Smart Camera/Robot硬體平台：</w:t>
      </w:r>
      <w:r>
        <w:t>設計智慧攝影機器人整合高解析度攝影機(≥1080p)、麥克風陣列、邊緣運算模組、雲端連線與移動機構。三院部署≥20台於骨科/神經內科/神經外科/眩暈門診,支援自動化拍攝與多模態資料收集。</w:t>
      </w:r>
    </w:p>
    <w:p>
      <w:pPr>
        <w:spacing w:after="120"/>
      </w:pPr>
      <w:r>
        <w:rPr>
          <w:b/>
        </w:rPr>
        <w:t>2. 多模態資料收集：</w:t>
      </w:r>
      <w:r>
        <w:t>收集影像(步態/手勢/臉部表情)、聲音(語音/環境音)、行為(動作序列/完成時間)等多模態資料,與電子病歷(ICD-10/LOINC/SNOMED CT)結構化鏈結,建立3000-5000筆完整紀錄。</w:t>
      </w:r>
    </w:p>
    <w:p>
      <w:pPr>
        <w:spacing w:after="120"/>
      </w:pPr>
      <w:r>
        <w:rPr>
          <w:b/>
        </w:rPr>
        <w:t>3. OpenPose與MediaPipe整合：</w:t>
      </w:r>
      <w:r>
        <w:t>OpenPose偵測18個身體關鍵點擷取步態參數(步速/步頻/步長/關節角度);MediaPipe Hands偵測21個手部關鍵點評估精細動作與顫抖;MediaPipe Face Mesh偵測468個臉部關鍵點分析表情與情緒,融合多模態特徵。</w:t>
      </w:r>
    </w:p>
    <w:p>
      <w:pPr>
        <w:spacing w:after="120"/>
      </w:pPr>
      <w:r>
        <w:rPr>
          <w:b/>
        </w:rPr>
        <w:t>4. AI Core深度學習引擎：</w:t>
      </w:r>
      <w:r>
        <w:t>開發CNN(空間特徵)、RNN/LSTM(時間序列)、Transformer(多模態融合+注意力機制)模型,採用遷移學習與交叉驗證,目標準確率≥85%。</w:t>
      </w:r>
    </w:p>
    <w:p>
      <w:pPr>
        <w:spacing w:after="120"/>
      </w:pPr>
      <w:r>
        <w:rPr>
          <w:b/>
        </w:rPr>
        <w:t>5. FRI與BFS AI分析模組：</w:t>
      </w:r>
      <w:r>
        <w:t>開發運動功能指標(Functional Reach Index)自動分析前伸測試、身體穩定度;平衡功能評估(Balance Function Score)整合多項平衡測試(單腳站立/串聯步行/轉身)自動評分;計算步態偏差指數(GDI)評估異常程度,支援骨科術後追蹤與神經退化監測。</w:t>
      </w:r>
    </w:p>
    <w:p>
      <w:pPr>
        <w:spacing w:after="120"/>
      </w:pPr>
      <w:r>
        <w:rPr>
          <w:b/>
        </w:rPr>
        <w:t>6. SHAP可解釋AI：</w:t>
      </w:r>
      <w:r>
        <w:t>採用SHAP技術計算每個特徵(步速/關節角度/表情等)對預測結果的貢獻值(Shapley Value),提供視覺化解釋報告,支援個案解釋(Local)與全域解釋(Global),打破AI黑盒子,提升臨床信任度。</w:t>
      </w:r>
    </w:p>
    <w:p>
      <w:pPr>
        <w:spacing w:after="120"/>
      </w:pPr>
      <w:r>
        <w:rPr>
          <w:b/>
        </w:rPr>
        <w:t>7. 資料標註平台：</w:t>
      </w:r>
      <w:r>
        <w:t>建置網頁式標註平台支援影像/影片/多模態標註,制定標準化指引,採用半自動標註(AI初標+人工修正)提升效率50%,多人標註一致性檢核(Kappa≥0.8)。</w:t>
      </w:r>
    </w:p>
    <w:p>
      <w:pPr>
        <w:spacing w:after="120"/>
      </w:pPr>
      <w:r>
        <w:rPr>
          <w:b/>
        </w:rPr>
        <w:t>8. 隱私保護：</w:t>
      </w:r>
      <w:r>
        <w:t>去識別化(移除臉部/個資)、AES-256加密傳輸、角色權限管理(RBAC)、存取日誌記錄,符合個資法與人體試驗倫理。</w:t>
      </w:r>
    </w:p>
    <w:p>
      <w:pPr>
        <w:spacing w:after="160"/>
      </w:pPr>
      <w:r>
        <w:rPr>
          <w:b/>
        </w:rPr>
        <w:t>9. 收案規劃：</w:t>
      </w:r>
      <w:r>
        <w:t>三院合計3000-5000人,年齡20-100歲,納入骨科/神經內科/神經外科/眩暈門診可自行步行且未裝義肢之病患及健康對照組,追蹤至多24週(術後可延長至52週)。</w:t>
      </w:r>
    </w:p>
    <w:p>
      <w:r>
        <w:br w:type="page"/>
      </w:r>
    </w:p>
    <w:p>
      <w:pPr>
        <w:pStyle w:val="Heading1"/>
      </w:pPr>
      <w:r>
        <w:t>(四) 子計畫的預期成果</w:t>
      </w:r>
    </w:p>
    <w:p>
      <w:pPr>
        <w:spacing w:after="120"/>
      </w:pPr>
      <w:r>
        <w:rPr>
          <w:b/>
        </w:rPr>
        <w:t>量化成果：</w:t>
      </w:r>
      <w:r>
        <w:t>(1)部署Smart Camera/Robot≥20台;(2)建立多模態資料庫3000-5000筆;(3)AI模型準確率≥85%;(4)FRI與BFS模組準確度≥90%;(5)SHAP可解釋報告臨床滿意度≥80%;(6)標註平台Kappa≥0.8;(7)門診量測時間&lt;2分鐘;(8)整合HIS臨床決策支援模組。</w:t>
      </w:r>
    </w:p>
    <w:p>
      <w:pPr>
        <w:spacing w:after="120"/>
      </w:pPr>
      <w:r>
        <w:rPr>
          <w:b/>
        </w:rPr>
        <w:t>學術成果：</w:t>
      </w:r>
      <w:r>
        <w:t>(1)發表IEEE/Nature系列期刊3-5篇(IF≥8,目標期刊:Nature Communications、IEEE Trans Medical Imaging、Nature Digital Medicine等);(2)專利2-3件(步態分析/多模態融合/可解釋AI/Smart Camera);(3)國際會議6-10篇(CVPR/ICCV/MICCAI/ACM MobiHealth/IEEE EMBC);(4)開源釋出資料標註平台與SHAP工具。</w:t>
      </w:r>
    </w:p>
    <w:p>
      <w:pPr>
        <w:spacing w:after="120"/>
      </w:pPr>
      <w:r>
        <w:rPr>
          <w:b/>
        </w:rPr>
        <w:t>臨床應用：</w:t>
      </w:r>
      <w:r>
        <w:t>(1)標準化門診多模態評估流程(神經內科/骨科/復健科/眩暈/精神科);(2)即時AI分析與可解釋報告,縮短評估時間;(3)早期發現步態/認知/情緒障礙;(4)FRI與BFS長期追蹤系統支援術後評估/疾病監測/復健成效;(5)SHAP報告增加AI信任度。</w:t>
      </w:r>
    </w:p>
    <w:p>
      <w:pPr>
        <w:spacing w:after="120"/>
      </w:pPr>
      <w:r>
        <w:rPr>
          <w:b/>
        </w:rPr>
        <w:t>技術成果：</w:t>
      </w:r>
      <w:r>
        <w:t>Smart Camera硬體技術文件、多模態收集規範、OpenPose與MediaPipe整合方案、AI Core引擎原始碼、SHAP可解釋模組、資料標註平台原始碼、隱私保護實作指南。</w:t>
      </w:r>
    </w:p>
    <w:p>
      <w:pPr>
        <w:spacing w:after="160"/>
      </w:pPr>
      <w:r>
        <w:rPr>
          <w:b/>
        </w:rPr>
        <w:t>人才培育：</w:t>
      </w:r>
      <w:r>
        <w:t>培訓研究生15-20名(AI技術/可解釋AI/多模態分析/OpenPose/MediaPipe/大數據/人體試驗)、臨床醫師10-15名(AI醫療應用/SHAP判讀/多模態臨床意義),促進醫工跨領域人才養成。</w:t>
      </w:r>
    </w:p>
    <w:p>
      <w:pPr>
        <w:pStyle w:val="Heading1"/>
      </w:pPr>
      <w:r>
        <w:t>(五) 子計畫的創新性及可能應用及貢獻</w:t>
      </w:r>
    </w:p>
    <w:p>
      <w:pPr>
        <w:spacing w:after="120"/>
      </w:pPr>
      <w:r>
        <w:rPr>
          <w:b/>
        </w:rPr>
        <w:t>創新性：</w:t>
      </w:r>
      <w:r>
        <w:t>(1)Smart Camera/Robot智慧硬體平台:首創結合智慧攝影機器人與AI邊緣運算的臨床資料收集平台,支援自動化、標準化、多模態收集,大幅降低成本與人為誤差;(2)OpenPose+MediaPipe多模態融合:整合步態骨架、手勢、臉部表情偵測,建立全方位人體動作與行為分析系統;(3)Transformer多模態深度學習:採用先進Transformer融合影像/聲音/行為,利用注意力機制學習跨模態關聯性,準確度≥85%;(4)SHAP可解釋AI系統:首次應用SHAP於臨床步態與多模態分析,提供視覺化可解釋報告,打破AI黑盒子,大幅提升臨床信任度;(5)FRI與BFS AI自動評估:全自動運動功能與平衡功能評估,取代傳統人工評估,提供客觀一致快速評估;(6)跨院多模態資料湖:建立台灣首個跨三院多模態AI步態與行為資料湖,使用標準醫學詞彙(ICD-10/LOINC/SNOMED CT),支援大規模資料交換與AI模型共享;(7)多層次隱私保護:整合去識別化、加密傳輸、權限管理,平衡隱私保護與研究需求。</w:t>
      </w:r>
    </w:p>
    <w:p>
      <w:pPr>
        <w:spacing w:after="120"/>
      </w:pPr>
      <w:r>
        <w:rPr>
          <w:b/>
        </w:rPr>
        <w:t>可能應用：</w:t>
      </w:r>
      <w:r>
        <w:t>(1)早期疾病篩檢:社區/老照機構早期發現帕金森/關節退化/前庭障礙/認知障礙/情緒障礙;(2)術後追蹤:TKR/髖關節置換/脊椎手術功能恢復追蹤,評估手術成效/FRI/BFS/滿意度;(3)神經退化監測:長期監測帕金森/阿茲海默症/多發性硬化症步態/手勢/表情/語音變化;(4)眩暈與平衡評估:前庭障礙/梅尼爾氏症/BPPV的BFS評估;(5)精神科情緒評估:憂鬱症/焦慮症/思覺失調症情緒狀態評估;(6)居家監測與遠距照護:延伸至居家錄製步態上傳雲端,遠距監測病情;(7)跌倒風險預警:高齡者或神經退化患者步態穩定性/BFS分析,預測跌倒風險;(8)運動復健指導:分析步態偏差與FRI缺陷,個人化復健建議;(9)運動科學:運動員動作分析、訓練成效評估、傷害預防。</w:t>
      </w:r>
    </w:p>
    <w:p>
      <w:pPr>
        <w:spacing w:after="160"/>
      </w:pPr>
      <w:r>
        <w:rPr>
          <w:b/>
        </w:rPr>
        <w:t>貢獻：</w:t>
      </w:r>
      <w:r>
        <w:t>(1)臨床:提升早期診斷效率、縮短評估時間(15-30分鐘→2分鐘)、改善術後照護、提供客觀量化工具、降低醫療成本、增進病人安全與生活品質、促進精準醫療;(2)學術:建立台灣首個跨院AI多模態步態資料平台,發展本土化AI醫療技術,提升國際知名度,發表高影響力期刊(IF≥8),培養國際級研究團隊;(3)技術:突破AI黑盒子困境,建立可解釋AI(SHAP)臨床應用典範,開發Smart Camera硬體技術,建立多模態分析標準流程;(4)產業:技轉醫材或資訊業,開發商品化步態分析系統/Smart Camera/可解釋AI平台,創造經濟價值(預估市場規模數十億元),輸出至醫療/長照/健檢/運動訓練機構;(5)政策:作為健康台灣五年五百億智慧醫療政策示範案例,建立AI醫療法規與倫理規範參考(可解釋AI/隱私保護),推動台灣AI醫療國際競爭力;(6)社會:提升高齡化社會醫療照護品質,早期發現與預防老年疾病(帕金森/失智/跌倒),減輕家庭與社會照護負擔,促進健康老化,縮小城鄉醫療資源差距(遠距照護);(7)教育:培養AI醫療跨領域人才,建立教育訓練課程,促進醫學與工程知識交流合作。</w:t>
      </w:r>
    </w:p>
    <w:p>
      <w:pPr>
        <w:pStyle w:val="Heading1"/>
      </w:pPr>
      <w:r>
        <w:t>(六) 參考文獻</w:t>
      </w:r>
    </w:p>
    <w:p>
      <w:pPr>
        <w:pStyle w:val="ListNumber"/>
        <w:spacing w:after="60"/>
        <w:ind w:left="360" w:hanging="360"/>
      </w:pPr>
      <w:r>
        <w:t>1. Kidziński Ł, et al. Deep neural networks enable quantitative movement analysis using single-camera videos. Nat Commun 2020;11:4054.</w:t>
      </w:r>
    </w:p>
    <w:p>
      <w:pPr>
        <w:pStyle w:val="ListNumber"/>
        <w:spacing w:after="60"/>
        <w:ind w:left="360" w:hanging="360"/>
      </w:pPr>
      <w:r>
        <w:t>2. Cao Z, et al. OpenPose: Realtime Multi-Person 2D Pose Estimation Using Part Affinity Fields. IEEE Trans Pattern Anal Mach Intell 2021;43:172-186.</w:t>
      </w:r>
    </w:p>
    <w:p>
      <w:pPr>
        <w:pStyle w:val="ListNumber"/>
        <w:spacing w:after="60"/>
        <w:ind w:left="360" w:hanging="360"/>
      </w:pPr>
      <w:r>
        <w:t>3. Lugaresi C, et al. MediaPipe: A Framework for Building Perception Pipelines. arXiv:1906.08172, 2019.</w:t>
      </w:r>
    </w:p>
    <w:p>
      <w:pPr>
        <w:pStyle w:val="ListNumber"/>
        <w:spacing w:after="60"/>
        <w:ind w:left="360" w:hanging="360"/>
      </w:pPr>
      <w:r>
        <w:t>4. Lundberg SM, Lee SI. A Unified Approach to Interpreting Model Predictions. Adv Neural Inf Process Syst 2017;30.</w:t>
      </w:r>
    </w:p>
    <w:p>
      <w:pPr>
        <w:pStyle w:val="ListNumber"/>
        <w:spacing w:after="60"/>
        <w:ind w:left="360" w:hanging="360"/>
      </w:pPr>
      <w:r>
        <w:t>5. Vaswani A, et al. Attention is All You Need. Adv Neural Inf Process Syst 2017;30.</w:t>
      </w:r>
    </w:p>
    <w:p>
      <w:pPr>
        <w:pStyle w:val="ListNumber"/>
        <w:spacing w:after="60"/>
        <w:ind w:left="360" w:hanging="360"/>
      </w:pPr>
      <w:r>
        <w:t>6. McClelland JA, et al. Gait analysis of patients following total knee replacement: a systematic review. Knee 2007;14:253-263.</w:t>
      </w:r>
    </w:p>
    <w:p>
      <w:pPr>
        <w:pStyle w:val="ListNumber"/>
        <w:spacing w:after="60"/>
        <w:ind w:left="360" w:hanging="360"/>
      </w:pPr>
      <w:r>
        <w:t>7. Christensen JC, et al. Gait mechanics are influenced by quadriceps strength, age, and sex after total knee arthroplasty. J Orthop Res 2021;39:1523-1532.</w:t>
      </w:r>
    </w:p>
    <w:p>
      <w:pPr>
        <w:pStyle w:val="ListNumber"/>
        <w:spacing w:after="60"/>
        <w:ind w:left="360" w:hanging="360"/>
      </w:pPr>
      <w:r>
        <w:t>8. Pogorelc B, et al. Automatic recognition of gait-related health problems in the elderly using machine learning. Multimed Tools Appl 2012;58:333-354.</w:t>
      </w:r>
    </w:p>
    <w:p>
      <w:pPr>
        <w:pStyle w:val="ListNumber"/>
        <w:spacing w:after="60"/>
        <w:ind w:left="360" w:hanging="360"/>
      </w:pPr>
      <w:r>
        <w:t>9. Kokkotis C, et al. Identifying Gait-Related Functional Outcomes in Post-Knee Surgery Patients Using Machine Learning. Sensors 2023;20:448.</w:t>
      </w:r>
    </w:p>
    <w:p>
      <w:pPr>
        <w:pStyle w:val="ListNumber"/>
        <w:spacing w:after="60"/>
        <w:ind w:left="360" w:hanging="360"/>
      </w:pPr>
      <w:r>
        <w:t>10. Rajpurkar P, et al. AI in health and medicine. Nat Med 2022;28:31-38.</w:t>
      </w:r>
    </w:p>
    <w:p>
      <w:pPr>
        <w:pStyle w:val="ListNumber"/>
        <w:spacing w:after="60"/>
        <w:ind w:left="360" w:hanging="360"/>
      </w:pPr>
      <w:r>
        <w:t>11. Esteva A, et al. Deep learning-enabled medical computer vision. npj Digit Med 2021;4:5.</w:t>
      </w:r>
    </w:p>
    <w:p>
      <w:pPr>
        <w:pStyle w:val="ListNumber"/>
        <w:spacing w:after="60"/>
        <w:ind w:left="360" w:hanging="360"/>
      </w:pPr>
      <w:r>
        <w:t>12. Topol EJ. High-performance medicine: the convergence of human and artificial intelligence. Nat Med 2019;25:44-56.</w:t>
      </w:r>
    </w:p>
    <w:p>
      <w:pPr>
        <w:pStyle w:val="ListNumber"/>
        <w:spacing w:after="60"/>
        <w:ind w:left="360" w:hanging="360"/>
      </w:pPr>
      <w:r>
        <w:t>13. Chen M, et al. Multimodal fusion learning for medical imaging and clinical data. IEEE Trans Med Imaging 2021;40:2982-2994.</w:t>
      </w:r>
    </w:p>
    <w:p>
      <w:pPr>
        <w:pStyle w:val="ListNumber"/>
        <w:spacing w:after="60"/>
        <w:ind w:left="360" w:hanging="360"/>
      </w:pPr>
      <w:r>
        <w:t>14. Zhang Y, et al. Deep learning in medical image analysis. Annu Rev Biomed Eng 2020;22:221-248.</w:t>
      </w:r>
    </w:p>
    <w:p>
      <w:pPr>
        <w:pStyle w:val="ListNumber"/>
        <w:spacing w:after="60"/>
        <w:ind w:left="360" w:hanging="360"/>
      </w:pPr>
      <w:r>
        <w:t>15. Kondragunta V, et al. Parkinson's disease: current therapies and future directions. Curr Neuropharmacol 2019;17:705-721.</w:t>
      </w:r>
    </w:p>
    <w:p>
      <w:pPr>
        <w:pStyle w:val="ListNumber"/>
        <w:spacing w:after="60"/>
        <w:ind w:left="360" w:hanging="360"/>
      </w:pPr>
      <w:r>
        <w:t>16. Tysnes OB, Storstein A. Epidemiology of Parkinson's disease. J Neural Transm 2017;124:901-905.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