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Fisionomias campestres localizadas no Bioma Pampa (Hasenack et al., dados não publicados). Relevo suave corresponde a declividades entre 3 e 8% e relevo ondulado corresponde a declividades entre 8 e 20%.</w:t>
      </w:r>
    </w:p>
    <w:tbl>
      <w:tblPr>
        <w:tblStyle w:val="TableNormal"/>
        <w:tblW w:type="pct" w:w="4861.111111111111"/>
        <w:tblLook w:firstRow="1"/>
        <w:tblCaption w:val="Fisionomias campestres localizadas no Bioma Pampa (Hasenack et al., dados não publicados). Relevo suave corresponde a declividades entre 3 e 8% e relevo ondulado corresponde a declividades entre 8 e 20%."/>
      </w:tblPr>
      <w:tblGrid>
        <w:gridCol w:w="2310"/>
        <w:gridCol w:w="2970"/>
        <w:gridCol w:w="143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Fisionomia campestre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Características principais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 (km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Pampa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Campo Litorâneo</w:t>
            </w:r>
          </w:p>
        </w:tc>
        <w:tc>
          <w:p>
            <w:pPr>
              <w:pStyle w:val="Compact"/>
              <w:jc w:val="left"/>
            </w:pPr>
            <w:r>
              <w:t xml:space="preserve">Terras baixas e relevo plano do litoral. Altitudes inferiores a 30 m.</w:t>
            </w:r>
          </w:p>
        </w:tc>
        <w:tc>
          <w:p>
            <w:pPr>
              <w:pStyle w:val="Compact"/>
              <w:jc w:val="left"/>
            </w:pPr>
            <w:r>
              <w:t xml:space="preserve">35.298,34</w:t>
            </w:r>
          </w:p>
        </w:tc>
        <w:tc>
          <w:p>
            <w:pPr>
              <w:pStyle w:val="Compact"/>
              <w:jc w:val="left"/>
            </w:pPr>
            <w:r>
              <w:t xml:space="preserve">20,00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3db5a3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2019-09-04T16:01:37Z</dcterms:created>
  <dcterms:modified xsi:type="dcterms:W3CDTF">2019-09-04T16:01:37Z</dcterms:modified>
</cp:coreProperties>
</file>