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52" w:line="240" w:lineRule="auto"/>
        <w:jc w:val="left"/>
        <w:rPr>
          <w:b w:val="1"/>
          <w:bCs w:val="1"/>
          <w:outline w:val="0"/>
          <w:color w:val="1a1a1a"/>
          <w:sz w:val="52"/>
          <w:szCs w:val="52"/>
          <w:shd w:val="clear" w:color="auto" w:fill="ffffff"/>
          <w14:textFill>
            <w14:solidFill>
              <w14:srgbClr w14:val="1B1B1B"/>
            </w14:solidFill>
          </w14:textFill>
        </w:rPr>
      </w:pPr>
      <w:r>
        <w:rPr>
          <w:b w:val="1"/>
          <w:bCs w:val="1"/>
          <w:outline w:val="0"/>
          <w:color w:val="1a1a1a"/>
          <w:sz w:val="52"/>
          <w:szCs w:val="52"/>
          <w:shd w:val="clear" w:color="auto" w:fill="ffffff"/>
          <w14:textFill>
            <w14:solidFill>
              <w14:srgbClr w14:val="1B1B1B"/>
            </w14:solidFill>
          </w14:textFill>
        </w:rPr>
        <w:tab/>
      </w:r>
      <w:r>
        <w:rPr>
          <w:b w:val="1"/>
          <w:bCs w:val="1"/>
          <w:outline w:val="0"/>
          <w:color w:val="1a1a1a"/>
          <w:sz w:val="52"/>
          <w:szCs w:val="52"/>
          <w:shd w:val="clear" w:color="auto" w:fill="ffffff"/>
          <w:rtl w:val="0"/>
          <w:lang w:val="pt-PT"/>
          <w14:textFill>
            <w14:solidFill>
              <w14:srgbClr w14:val="1B1B1B"/>
            </w14:solidFill>
          </w14:textFill>
        </w:rPr>
        <w:t xml:space="preserve">A </w:t>
      </w:r>
      <w:r>
        <w:rPr>
          <w:b w:val="1"/>
          <w:bCs w:val="1"/>
          <w:outline w:val="0"/>
          <w:color w:val="1a1a1a"/>
          <w:sz w:val="52"/>
          <w:szCs w:val="52"/>
          <w:shd w:val="clear" w:color="auto" w:fill="ffffff"/>
          <w:rtl w:val="0"/>
          <w:lang w:val="en-US"/>
          <w14:textFill>
            <w14:solidFill>
              <w14:srgbClr w14:val="1B1B1B"/>
            </w14:solidFill>
          </w14:textFill>
        </w:rPr>
        <w:t>Basic Model</w:t>
      </w:r>
      <w:r>
        <w:rPr>
          <w:b w:val="1"/>
          <w:bCs w:val="1"/>
          <w:outline w:val="0"/>
          <w:color w:val="1a1a1a"/>
          <w:sz w:val="52"/>
          <w:szCs w:val="52"/>
          <w:shd w:val="clear" w:color="auto" w:fill="ffffff"/>
          <w:rtl w:val="0"/>
          <w:lang w:val="en-US"/>
          <w14:textFill>
            <w14:solidFill>
              <w14:srgbClr w14:val="1B1B1B"/>
            </w14:solidFill>
          </w14:textFill>
        </w:rPr>
        <w:t xml:space="preserve"> for Cogniti</w:t>
      </w:r>
      <w:r>
        <w:rPr>
          <w:b w:val="1"/>
          <w:bCs w:val="1"/>
          <w:outline w:val="0"/>
          <w:color w:val="1a1a1a"/>
          <w:sz w:val="52"/>
          <w:szCs w:val="52"/>
          <w:shd w:val="clear" w:color="auto" w:fill="ffffff"/>
          <w:rtl w:val="0"/>
          <w:lang w:val="en-US"/>
          <w14:textFill>
            <w14:solidFill>
              <w14:srgbClr w14:val="1B1B1B"/>
            </w14:solidFill>
          </w14:textFill>
        </w:rPr>
        <w:t>on</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T</w:t>
      </w:r>
      <w:r>
        <w:rPr>
          <w:outline w:val="0"/>
          <w:color w:val="1a1a1a"/>
          <w:sz w:val="26"/>
          <w:szCs w:val="26"/>
          <w:shd w:val="clear" w:color="auto" w:fill="ffffff"/>
          <w:rtl w:val="0"/>
          <w:lang w:val="en-US"/>
          <w14:textFill>
            <w14:solidFill>
              <w14:srgbClr w14:val="1B1B1B"/>
            </w14:solidFill>
          </w14:textFill>
        </w:rPr>
        <w:t xml:space="preserve">his essay explores a basic model of </w:t>
      </w:r>
      <w:r>
        <w:rPr>
          <w:outline w:val="0"/>
          <w:color w:val="1a1a1a"/>
          <w:sz w:val="26"/>
          <w:szCs w:val="26"/>
          <w:shd w:val="clear" w:color="auto" w:fill="ffffff"/>
          <w:rtl w:val="0"/>
          <w:lang w:val="en-US"/>
          <w14:textFill>
            <w14:solidFill>
              <w14:srgbClr w14:val="1B1B1B"/>
            </w14:solidFill>
          </w14:textFill>
        </w:rPr>
        <w:t xml:space="preserve">human </w:t>
      </w:r>
      <w:r>
        <w:rPr>
          <w:outline w:val="0"/>
          <w:color w:val="1a1a1a"/>
          <w:sz w:val="26"/>
          <w:szCs w:val="26"/>
          <w:shd w:val="clear" w:color="auto" w:fill="ffffff"/>
          <w:rtl w:val="0"/>
          <w:lang w:val="it-IT"/>
          <w14:textFill>
            <w14:solidFill>
              <w14:srgbClr w14:val="1B1B1B"/>
            </w14:solidFill>
          </w14:textFill>
        </w:rPr>
        <w:t>cognition.</w:t>
      </w:r>
      <w:r>
        <w:rPr>
          <w:outline w:val="0"/>
          <w:color w:val="1a1a1a"/>
          <w:sz w:val="26"/>
          <w:szCs w:val="26"/>
          <w:shd w:val="clear" w:color="auto" w:fill="ffffff"/>
          <w:rtl w:val="0"/>
          <w:lang w:val="en-US"/>
          <w14:textFill>
            <w14:solidFill>
              <w14:srgbClr w14:val="1B1B1B"/>
            </w14:solidFill>
          </w14:textFill>
        </w:rPr>
        <w:t xml:space="preserve"> </w:t>
      </w:r>
      <w:r>
        <w:rPr>
          <w:outline w:val="0"/>
          <w:color w:val="1a1a1a"/>
          <w:sz w:val="26"/>
          <w:szCs w:val="26"/>
          <w:shd w:val="clear" w:color="auto" w:fill="ffffff"/>
          <w:rtl w:val="0"/>
          <w:lang w:val="en-US"/>
          <w14:textFill>
            <w14:solidFill>
              <w14:srgbClr w14:val="1B1B1B"/>
            </w14:solidFill>
          </w14:textFill>
        </w:rPr>
        <w:t xml:space="preserve">The possible implementations of such a model create a spectrum of complexity with two theoretical extremes. On the simple end of the spectrum are models such as behaviorism that treat all of cognition as a subjective </w:t>
      </w:r>
      <w:r>
        <w:rPr>
          <w:outline w:val="0"/>
          <w:color w:val="1a1a1a"/>
          <w:sz w:val="26"/>
          <w:szCs w:val="26"/>
          <w:shd w:val="clear" w:color="auto" w:fill="ffffff"/>
          <w:rtl w:val="1"/>
          <w:lang w:val="ar-SA" w:bidi="ar-SA"/>
          <w14:textFill>
            <w14:solidFill>
              <w14:srgbClr w14:val="1B1B1B"/>
            </w14:solidFill>
          </w14:textFill>
        </w:rPr>
        <w:t>“</w:t>
      </w:r>
      <w:r>
        <w:rPr>
          <w:outline w:val="0"/>
          <w:color w:val="1a1a1a"/>
          <w:sz w:val="26"/>
          <w:szCs w:val="26"/>
          <w:shd w:val="clear" w:color="auto" w:fill="ffffff"/>
          <w:rtl w:val="0"/>
          <w:lang w:val="en-US"/>
          <w14:textFill>
            <w14:solidFill>
              <w14:srgbClr w14:val="1B1B1B"/>
            </w14:solidFill>
          </w14:textFill>
        </w:rPr>
        <w:t>black box</w:t>
      </w:r>
      <w:r>
        <w:rPr>
          <w:outline w:val="0"/>
          <w:color w:val="1a1a1a"/>
          <w:sz w:val="26"/>
          <w:szCs w:val="26"/>
          <w:shd w:val="clear" w:color="auto" w:fill="ffffff"/>
          <w:rtl w:val="0"/>
          <w14:textFill>
            <w14:solidFill>
              <w14:srgbClr w14:val="1B1B1B"/>
            </w14:solidFill>
          </w14:textFill>
        </w:rPr>
        <w:t xml:space="preserve">” </w:t>
      </w:r>
      <w:r>
        <w:rPr>
          <w:outline w:val="0"/>
          <w:color w:val="1a1a1a"/>
          <w:sz w:val="26"/>
          <w:szCs w:val="26"/>
          <w:shd w:val="clear" w:color="auto" w:fill="ffffff"/>
          <w:rtl w:val="0"/>
          <w:lang w:val="en-US"/>
          <w14:textFill>
            <w14:solidFill>
              <w14:srgbClr w14:val="1B1B1B"/>
            </w14:solidFill>
          </w14:textFill>
        </w:rPr>
        <w:t xml:space="preserve">about which nothing can be said (as in Figure A). </w:t>
      </w:r>
      <w:r>
        <w:rPr>
          <w:outline w:val="0"/>
          <w:color w:val="1a1a1a"/>
          <w:sz w:val="26"/>
          <w:szCs w:val="26"/>
          <w:shd w:val="clear" w:color="auto" w:fill="ffffff"/>
          <w:rtl w:val="0"/>
          <w:lang w:val="en-US"/>
          <w14:textFill>
            <w14:solidFill>
              <w14:srgbClr w14:val="1B1B1B"/>
            </w14:solidFill>
          </w14:textFill>
        </w:rPr>
        <w:t xml:space="preserve">Modern LLMs are example implementations of this paradigm. </w:t>
      </w:r>
      <w:r>
        <w:rPr>
          <w:outline w:val="0"/>
          <w:color w:val="1a1a1a"/>
          <w:sz w:val="26"/>
          <w:szCs w:val="26"/>
          <w:shd w:val="clear" w:color="auto" w:fill="ffffff"/>
          <w:rtl w:val="0"/>
          <w:lang w:val="en-US"/>
          <w14:textFill>
            <w14:solidFill>
              <w14:srgbClr w14:val="1B1B1B"/>
            </w14:solidFill>
          </w14:textFill>
        </w:rPr>
        <w:t>On the complex end of the spectrum are models that describe numerous and detailed aspects of cognition and their corresponding biological implementation</w:t>
      </w:r>
      <w:r>
        <w:rPr>
          <w:outline w:val="0"/>
          <w:color w:val="1a1a1a"/>
          <w:sz w:val="26"/>
          <w:szCs w:val="26"/>
          <w:shd w:val="clear" w:color="auto" w:fill="ffffff"/>
          <w:rtl w:val="0"/>
          <w:lang w:val="en-US"/>
          <w14:textFill>
            <w14:solidFill>
              <w14:srgbClr w14:val="1B1B1B"/>
            </w14:solidFill>
          </w14:textFill>
        </w:rPr>
        <w:t>, which also tend to be opaque</w:t>
      </w:r>
      <w:r>
        <w:rPr>
          <w:outline w:val="0"/>
          <w:color w:val="1a1a1a"/>
          <w:sz w:val="26"/>
          <w:szCs w:val="26"/>
          <w:shd w:val="clear" w:color="auto" w:fill="ffffff"/>
          <w:rtl w:val="0"/>
          <w14:textFill>
            <w14:solidFill>
              <w14:srgbClr w14:val="1B1B1B"/>
            </w14:solidFill>
          </w14:textFill>
        </w:rPr>
        <w:t>.</w:t>
      </w:r>
    </w:p>
    <w:p>
      <w:pPr>
        <w:pStyle w:val="Default"/>
        <w:suppressAutoHyphens w:val="1"/>
        <w:spacing w:before="0" w:line="240" w:lineRule="auto"/>
        <w:jc w:val="left"/>
        <w:rPr>
          <w:outline w:val="0"/>
          <w:color w:val="1a1a1a"/>
          <w:sz w:val="36"/>
          <w:szCs w:val="36"/>
          <w:shd w:val="clear" w:color="auto" w:fill="ffffff"/>
          <w14:textFill>
            <w14:solidFill>
              <w14:srgbClr w14:val="1B1B1B"/>
            </w14:solidFill>
          </w14:textFill>
        </w:rPr>
      </w:pPr>
      <w:r>
        <w:rPr>
          <w:outline w:val="0"/>
          <w:color w:val="1a1a1a"/>
          <w:sz w:val="36"/>
          <w:szCs w:val="36"/>
          <w14:textFill>
            <w14:solidFill>
              <w14:srgbClr w14:val="1B1B1B"/>
            </w14:solidFill>
          </w14:textFill>
        </w:rPr>
        <w:tab/>
        <w:tab/>
      </w:r>
      <w:r>
        <w:rPr>
          <w:outline w:val="0"/>
          <w:color w:val="1a1a1a"/>
          <w:sz w:val="36"/>
          <w:szCs w:val="36"/>
          <w:shd w:val="clear" w:color="auto" w:fill="ffffff"/>
          <w14:textFill>
            <w14:solidFill>
              <w14:srgbClr w14:val="1B1B1B"/>
            </w14:solidFill>
          </w14:textFill>
        </w:rPr>
        <w:drawing xmlns:a="http://schemas.openxmlformats.org/drawingml/2006/main">
          <wp:inline distT="0" distB="0" distL="0" distR="0">
            <wp:extent cx="3810000" cy="1092200"/>
            <wp:effectExtent l="0" t="0" r="0" b="0"/>
            <wp:docPr id="1073741825" name="officeArt object" descr="Screen-Shot-2020-05-24-at-10.25.02-AM-300x86.png"/>
            <wp:cNvGraphicFramePr/>
            <a:graphic xmlns:a="http://schemas.openxmlformats.org/drawingml/2006/main">
              <a:graphicData uri="http://schemas.openxmlformats.org/drawingml/2006/picture">
                <pic:pic xmlns:pic="http://schemas.openxmlformats.org/drawingml/2006/picture">
                  <pic:nvPicPr>
                    <pic:cNvPr id="1073741825" name="Screen-Shot-2020-05-24-at-10.25.02-AM-300x86.png" descr="Screen-Shot-2020-05-24-at-10.25.02-AM-300x86.png"/>
                    <pic:cNvPicPr>
                      <a:picLocks noChangeAspect="1"/>
                    </pic:cNvPicPr>
                  </pic:nvPicPr>
                  <pic:blipFill>
                    <a:blip r:embed="rId4">
                      <a:extLst/>
                    </a:blip>
                    <a:stretch>
                      <a:fillRect/>
                    </a:stretch>
                  </pic:blipFill>
                  <pic:spPr>
                    <a:xfrm>
                      <a:off x="0" y="0"/>
                      <a:ext cx="3810000" cy="1092200"/>
                    </a:xfrm>
                    <a:prstGeom prst="rect">
                      <a:avLst/>
                    </a:prstGeom>
                    <a:ln w="12700" cap="flat">
                      <a:noFill/>
                      <a:miter lim="400000"/>
                    </a:ln>
                    <a:effectLst/>
                  </pic:spPr>
                </pic:pic>
              </a:graphicData>
            </a:graphic>
          </wp:inline>
        </w:drawing>
      </w:r>
    </w:p>
    <w:p>
      <w:pPr>
        <w:pStyle w:val="Default"/>
        <w:suppressAutoHyphens w:val="1"/>
        <w:spacing w:before="0" w:after="360" w:line="240" w:lineRule="auto"/>
        <w:jc w:val="center"/>
        <w:rPr>
          <w:b w:val="0"/>
          <w:bCs w:val="0"/>
          <w:outline w:val="0"/>
          <w:color w:val="1a1a1a"/>
          <w:sz w:val="28"/>
          <w:szCs w:val="28"/>
          <w:shd w:val="clear" w:color="auto" w:fill="ffffff"/>
          <w14:textFill>
            <w14:solidFill>
              <w14:srgbClr w14:val="1B1B1B"/>
            </w14:solidFill>
          </w14:textFill>
        </w:rPr>
      </w:pPr>
      <w:r>
        <w:rPr>
          <w:b w:val="1"/>
          <w:bCs w:val="1"/>
          <w:i w:val="1"/>
          <w:iCs w:val="1"/>
          <w:outline w:val="0"/>
          <w:color w:val="1a1a1a"/>
          <w:sz w:val="28"/>
          <w:szCs w:val="28"/>
          <w:shd w:val="clear" w:color="auto" w:fill="ffffff"/>
          <w:rtl w:val="0"/>
          <w:lang w:val="it-IT"/>
          <w14:textFill>
            <w14:solidFill>
              <w14:srgbClr w14:val="1B1B1B"/>
            </w14:solidFill>
          </w14:textFill>
        </w:rPr>
        <w:t>Figure A</w:t>
      </w:r>
      <w:r>
        <w:rPr>
          <w:b w:val="1"/>
          <w:bCs w:val="1"/>
          <w:outline w:val="0"/>
          <w:color w:val="1a1a1a"/>
          <w:sz w:val="28"/>
          <w:szCs w:val="28"/>
          <w:shd w:val="clear" w:color="auto" w:fill="ffffff"/>
          <w:rtl w:val="0"/>
          <w:lang w:val="en-US"/>
          <w14:textFill>
            <w14:solidFill>
              <w14:srgbClr w14:val="1B1B1B"/>
            </w14:solidFill>
          </w14:textFill>
        </w:rPr>
        <w:t>: The behaviorist model analyzes the world in terms of the stimuli (</w:t>
      </w:r>
      <w:r>
        <w:rPr>
          <w:b w:val="1"/>
          <w:bCs w:val="1"/>
          <w:outline w:val="0"/>
          <w:color w:val="1a1a1a"/>
          <w:sz w:val="28"/>
          <w:szCs w:val="28"/>
          <w:shd w:val="clear" w:color="auto" w:fill="ffffff"/>
          <w:rtl w:val="0"/>
          <w14:textFill>
            <w14:solidFill>
              <w14:srgbClr w14:val="1B1B1B"/>
            </w14:solidFill>
          </w14:textFill>
        </w:rPr>
        <w:t>Θ</w:t>
      </w:r>
      <w:r>
        <w:rPr>
          <w:b w:val="1"/>
          <w:bCs w:val="1"/>
          <w:outline w:val="0"/>
          <w:color w:val="1a1a1a"/>
          <w:sz w:val="28"/>
          <w:szCs w:val="28"/>
          <w:shd w:val="clear" w:color="auto" w:fill="ffffff"/>
          <w:rtl w:val="0"/>
          <w:lang w:val="en-US"/>
          <w14:textFill>
            <w14:solidFill>
              <w14:srgbClr w14:val="1B1B1B"/>
            </w14:solidFill>
          </w14:textFill>
        </w:rPr>
        <w:t>) and responses (</w:t>
      </w:r>
      <w:r>
        <w:rPr>
          <w:b w:val="1"/>
          <w:bCs w:val="1"/>
          <w:outline w:val="0"/>
          <w:color w:val="1a1a1a"/>
          <w:sz w:val="28"/>
          <w:szCs w:val="28"/>
          <w:shd w:val="clear" w:color="auto" w:fill="ffffff"/>
          <w:rtl w:val="0"/>
          <w14:textFill>
            <w14:solidFill>
              <w14:srgbClr w14:val="1B1B1B"/>
            </w14:solidFill>
          </w14:textFill>
        </w:rPr>
        <w:t>Δ</w:t>
      </w:r>
      <w:r>
        <w:rPr>
          <w:b w:val="1"/>
          <w:bCs w:val="1"/>
          <w:outline w:val="0"/>
          <w:color w:val="1a1a1a"/>
          <w:sz w:val="28"/>
          <w:szCs w:val="28"/>
          <w:shd w:val="clear" w:color="auto" w:fill="ffffff"/>
          <w:rtl w:val="0"/>
          <w:lang w:val="en-US"/>
          <w14:textFill>
            <w14:solidFill>
              <w14:srgbClr w14:val="1B1B1B"/>
            </w14:solidFill>
          </w14:textFill>
        </w:rPr>
        <w:t>) that occur between objective (or environmental) spaces and subjective (or mental) spaces.</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 xml:space="preserve">Perhaps the most simple modification of the behaviorist model divides subjectivity into two constituents. Although there are different ways to accomplish this division, one of the most common ways distinguishes conceptual and nonconceptual content. In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"https://en.wikipedia.org/wiki/Dual_process_theory"</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en-US"/>
          <w14:textFill>
            <w14:solidFill>
              <w14:srgbClr w14:val="416ED2"/>
            </w14:solidFill>
          </w14:textFill>
        </w:rPr>
        <w:t>Dual Process Theory</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lang w:val="en-US"/>
          <w14:textFill>
            <w14:solidFill>
              <w14:srgbClr w14:val="1B1B1B"/>
            </w14:solidFill>
          </w14:textFill>
        </w:rPr>
        <w:t xml:space="preserve">, for example, this distinction creates two systems called System 1 and System 2. In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"https://en.wikipedia.org/wiki/ACT-R"</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de-DE"/>
          <w14:textFill>
            <w14:solidFill>
              <w14:srgbClr w14:val="416ED2"/>
            </w14:solidFill>
          </w14:textFill>
        </w:rPr>
        <w:t>ACT-R</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lang w:val="en-US"/>
          <w14:textFill>
            <w14:solidFill>
              <w14:srgbClr w14:val="1B1B1B"/>
            </w14:solidFill>
          </w14:textFill>
        </w:rPr>
        <w:t xml:space="preserve">, a similar distinction differentiates declarative and procedural knowledge. In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"https://en.wikipedia.org/wiki/Theoretical_linguistics"</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en-US"/>
          <w14:textFill>
            <w14:solidFill>
              <w14:srgbClr w14:val="416ED2"/>
            </w14:solidFill>
          </w14:textFill>
        </w:rPr>
        <w:t>theoretical linguistics</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lang w:val="en-US"/>
          <w14:textFill>
            <w14:solidFill>
              <w14:srgbClr w14:val="1B1B1B"/>
            </w14:solidFill>
          </w14:textFill>
        </w:rPr>
        <w:t>, this fundamental dividing line differentiates syntax from semantics. However, despite the prevalence of these parallel distinctions within cognitive science, they do not serve as a unifying theme. As Johnathan Evans summarizes in a discussion of Dual Process Theory:</w:t>
      </w:r>
    </w:p>
    <w:p>
      <w:pPr>
        <w:pStyle w:val="Default"/>
        <w:suppressAutoHyphens w:val="1"/>
        <w:spacing w:before="0" w:after="511" w:line="240" w:lineRule="auto"/>
        <w:jc w:val="left"/>
        <w:rPr>
          <w:rFonts w:ascii="Helvetica" w:cs="Helvetica" w:hAnsi="Helvetica" w:eastAsia="Helvetica"/>
          <w:i w:val="1"/>
          <w:iCs w:val="1"/>
          <w:outline w:val="0"/>
          <w:color w:val="000000"/>
          <w:sz w:val="28"/>
          <w:szCs w:val="28"/>
          <w:shd w:val="clear" w:color="auto" w:fill="ffffff"/>
          <w14:textFill>
            <w14:solidFill>
              <w14:srgbClr w14:val="000000">
                <w14:alpha w14:val="34902"/>
              </w14:srgbClr>
            </w14:solidFill>
          </w14:textFill>
        </w:rPr>
      </w:pPr>
      <w:r>
        <w:rPr>
          <w:rFonts w:ascii="Helvetica" w:hAnsi="Helvetica"/>
          <w:i w:val="1"/>
          <w:iCs w:val="1"/>
          <w:outline w:val="0"/>
          <w:color w:val="000000"/>
          <w:sz w:val="28"/>
          <w:szCs w:val="28"/>
          <w:shd w:val="clear" w:color="auto" w:fill="ffffff"/>
          <w:rtl w:val="0"/>
          <w:lang w:val="en-US"/>
          <w14:textFill>
            <w14:solidFill>
              <w14:srgbClr w14:val="000000">
                <w14:alpha w14:val="34902"/>
              </w14:srgbClr>
            </w14:solidFill>
          </w14:textFill>
        </w:rPr>
        <w:t>The distinction between two kinds of thinking, one fast and intuitive, the other slow and deliberative, is both ancient in origin and widespread in philosophical and psychological writing. Such a distinction has been made by many authors in many fields, often in ignorance of the related writing of others. [</w:t>
      </w:r>
      <w:r>
        <w:rPr>
          <w:rStyle w:val="Hyperlink.0"/>
          <w:rFonts w:ascii="Helvetica" w:cs="Helvetica" w:hAnsi="Helvetica" w:eastAsia="Helvetica"/>
          <w:i w:val="1"/>
          <w:iCs w:val="1"/>
          <w:outline w:val="0"/>
          <w:color w:val="406dd2"/>
          <w:sz w:val="28"/>
          <w:szCs w:val="28"/>
          <w:shd w:val="clear" w:color="auto" w:fill="ffffff"/>
          <w14:textFill>
            <w14:solidFill>
              <w14:srgbClr w14:val="416ED2"/>
            </w14:solidFill>
          </w14:textFill>
        </w:rPr>
        <w:fldChar w:fldCharType="begin" w:fldLock="0"/>
      </w:r>
      <w:r>
        <w:rPr>
          <w:rStyle w:val="Hyperlink.0"/>
          <w:rFonts w:ascii="Helvetica" w:cs="Helvetica" w:hAnsi="Helvetica" w:eastAsia="Helvetica"/>
          <w:i w:val="1"/>
          <w:iCs w:val="1"/>
          <w:outline w:val="0"/>
          <w:color w:val="406dd2"/>
          <w:sz w:val="28"/>
          <w:szCs w:val="28"/>
          <w:shd w:val="clear" w:color="auto" w:fill="ffffff"/>
          <w14:textFill>
            <w14:solidFill>
              <w14:srgbClr w14:val="416ED2"/>
            </w14:solidFill>
          </w14:textFill>
        </w:rPr>
        <w:instrText xml:space="preserve"> HYPERLINK "https://journals.sagepub.com/doi/10.1177/1745691612460685"</w:instrText>
      </w:r>
      <w:r>
        <w:rPr>
          <w:rStyle w:val="Hyperlink.0"/>
          <w:rFonts w:ascii="Helvetica" w:cs="Helvetica" w:hAnsi="Helvetica" w:eastAsia="Helvetica"/>
          <w:i w:val="1"/>
          <w:iCs w:val="1"/>
          <w:outline w:val="0"/>
          <w:color w:val="406dd2"/>
          <w:sz w:val="28"/>
          <w:szCs w:val="28"/>
          <w:shd w:val="clear" w:color="auto" w:fill="ffffff"/>
          <w14:textFill>
            <w14:solidFill>
              <w14:srgbClr w14:val="416ED2"/>
            </w14:solidFill>
          </w14:textFill>
        </w:rPr>
        <w:fldChar w:fldCharType="separate" w:fldLock="0"/>
      </w:r>
      <w:r>
        <w:rPr>
          <w:rStyle w:val="Hyperlink.0"/>
          <w:rFonts w:ascii="Helvetica" w:hAnsi="Helvetica"/>
          <w:i w:val="1"/>
          <w:iCs w:val="1"/>
          <w:outline w:val="0"/>
          <w:color w:val="406dd2"/>
          <w:sz w:val="28"/>
          <w:szCs w:val="28"/>
          <w:shd w:val="clear" w:color="auto" w:fill="ffffff"/>
          <w:rtl w:val="0"/>
          <w:lang w:val="it-IT"/>
          <w14:textFill>
            <w14:solidFill>
              <w14:srgbClr w14:val="416ED2"/>
            </w14:solidFill>
          </w14:textFill>
        </w:rPr>
        <w:t>Evans &amp; Stanovich, 2013</w:t>
      </w:r>
      <w:r>
        <w:rPr>
          <w:rFonts w:ascii="Helvetica" w:cs="Helvetica" w:hAnsi="Helvetica" w:eastAsia="Helvetica"/>
          <w:i w:val="1"/>
          <w:iCs w:val="1"/>
          <w:outline w:val="0"/>
          <w:color w:val="000000"/>
          <w:sz w:val="28"/>
          <w:szCs w:val="28"/>
          <w:shd w:val="clear" w:color="auto" w:fill="ffffff"/>
          <w14:textFill>
            <w14:solidFill>
              <w14:srgbClr w14:val="000000">
                <w14:alpha w14:val="34902"/>
              </w14:srgbClr>
            </w14:solidFill>
          </w14:textFill>
        </w:rPr>
        <w:fldChar w:fldCharType="end" w:fldLock="0"/>
      </w:r>
      <w:r>
        <w:rPr>
          <w:rFonts w:ascii="Helvetica" w:hAnsi="Helvetica"/>
          <w:i w:val="1"/>
          <w:iCs w:val="1"/>
          <w:outline w:val="0"/>
          <w:color w:val="000000"/>
          <w:sz w:val="28"/>
          <w:szCs w:val="28"/>
          <w:shd w:val="clear" w:color="auto" w:fill="ffffff"/>
          <w:rtl w:val="0"/>
          <w:lang w:val="pt-PT"/>
          <w14:textFill>
            <w14:solidFill>
              <w14:srgbClr w14:val="000000">
                <w14:alpha w14:val="34902"/>
              </w14:srgbClr>
            </w14:solidFill>
          </w14:textFill>
        </w:rPr>
        <w:t>].</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A novel diagram representing this basic model of cognition is presented here to unify this disparate terminology. Subjective space is divided into sensory and conceptual spaces to approximate the conceptual/nonconceptual distinction referenced above. As a result, while the perception of a tree in the behaviorist model is characterized only in terms of the response to that perception, the basic model of cognition described below further analyzes subjective experience in terms of the bottom-up concepts formed in response to sensation (</w:t>
      </w:r>
      <w:r>
        <w:rPr>
          <w:rStyle w:val="None"/>
          <w:b w:val="1"/>
          <w:bCs w:val="1"/>
          <w:outline w:val="0"/>
          <w:color w:val="1a1a1a"/>
          <w:sz w:val="26"/>
          <w:szCs w:val="26"/>
          <w:shd w:val="clear" w:color="auto" w:fill="ffffff"/>
          <w:rtl w:val="0"/>
          <w14:textFill>
            <w14:solidFill>
              <w14:srgbClr w14:val="1B1B1B"/>
            </w14:solidFill>
          </w14:textFill>
        </w:rPr>
        <w:t>Φ</w:t>
      </w:r>
      <w:r>
        <w:rPr>
          <w:outline w:val="0"/>
          <w:color w:val="1a1a1a"/>
          <w:sz w:val="26"/>
          <w:szCs w:val="26"/>
          <w:shd w:val="clear" w:color="auto" w:fill="ffffff"/>
          <w:rtl w:val="0"/>
          <w:lang w:val="en-US"/>
          <w14:textFill>
            <w14:solidFill>
              <w14:srgbClr w14:val="1B1B1B"/>
            </w14:solidFill>
          </w14:textFill>
        </w:rPr>
        <w:t>) and the top-down visualization of those concepts (</w:t>
      </w:r>
      <w:r>
        <w:rPr>
          <w:rStyle w:val="None"/>
          <w:b w:val="1"/>
          <w:bCs w:val="1"/>
          <w:outline w:val="0"/>
          <w:color w:val="1a1a1a"/>
          <w:sz w:val="26"/>
          <w:szCs w:val="26"/>
          <w:shd w:val="clear" w:color="auto" w:fill="ffffff"/>
          <w:rtl w:val="0"/>
          <w14:textFill>
            <w14:solidFill>
              <w14:srgbClr w14:val="1B1B1B"/>
            </w14:solidFill>
          </w14:textFill>
        </w:rPr>
        <w:t>Ψ</w:t>
      </w:r>
      <w:r>
        <w:rPr>
          <w:outline w:val="0"/>
          <w:color w:val="1a1a1a"/>
          <w:sz w:val="26"/>
          <w:szCs w:val="26"/>
          <w:shd w:val="clear" w:color="auto" w:fill="ffffff"/>
          <w:rtl w:val="0"/>
          <w14:textFill>
            <w14:solidFill>
              <w14:srgbClr w14:val="1B1B1B"/>
            </w14:solidFill>
          </w14:textFill>
        </w:rPr>
        <w:t>).</w:t>
      </w:r>
    </w:p>
    <w:p>
      <w:pPr>
        <w:pStyle w:val="Default"/>
        <w:suppressAutoHyphens w:val="1"/>
        <w:spacing w:before="0" w:line="240" w:lineRule="auto"/>
        <w:jc w:val="left"/>
        <w:rPr>
          <w:rStyle w:val="None"/>
          <w:outline w:val="0"/>
          <w:color w:val="1a1a1a"/>
          <w:sz w:val="36"/>
          <w:szCs w:val="36"/>
          <w:shd w:val="clear" w:color="auto" w:fill="ffffff"/>
          <w14:textFill>
            <w14:solidFill>
              <w14:srgbClr w14:val="1B1B1B"/>
            </w14:solidFill>
          </w14:textFill>
        </w:rPr>
      </w:pPr>
      <w:r>
        <w:rPr>
          <w:outline w:val="0"/>
          <w:color w:val="1a1a1a"/>
          <w:sz w:val="36"/>
          <w:szCs w:val="36"/>
          <w14:textFill>
            <w14:solidFill>
              <w14:srgbClr w14:val="1B1B1B"/>
            </w14:solidFill>
          </w14:textFill>
        </w:rPr>
        <w:tab/>
      </w:r>
      <w:r>
        <w:rPr>
          <w:rStyle w:val="None"/>
          <w:outline w:val="0"/>
          <w:color w:val="1a1a1a"/>
          <w:sz w:val="36"/>
          <w:szCs w:val="36"/>
          <w:shd w:val="clear" w:color="auto" w:fill="ffffff"/>
          <w14:textFill>
            <w14:solidFill>
              <w14:srgbClr w14:val="1B1B1B"/>
            </w14:solidFill>
          </w14:textFill>
        </w:rPr>
        <w:drawing xmlns:a="http://schemas.openxmlformats.org/drawingml/2006/main">
          <wp:inline distT="0" distB="0" distL="0" distR="0">
            <wp:extent cx="3810000" cy="2641600"/>
            <wp:effectExtent l="0" t="0" r="0" b="0"/>
            <wp:docPr id="1073741826" name="officeArt object" descr="Screen-Shot-2020-05-24-at-10.29.59-AM-300x208.png"/>
            <wp:cNvGraphicFramePr/>
            <a:graphic xmlns:a="http://schemas.openxmlformats.org/drawingml/2006/main">
              <a:graphicData uri="http://schemas.openxmlformats.org/drawingml/2006/picture">
                <pic:pic xmlns:pic="http://schemas.openxmlformats.org/drawingml/2006/picture">
                  <pic:nvPicPr>
                    <pic:cNvPr id="1073741826" name="Screen-Shot-2020-05-24-at-10.29.59-AM-300x208.png" descr="Screen-Shot-2020-05-24-at-10.29.59-AM-300x208.png"/>
                    <pic:cNvPicPr>
                      <a:picLocks noChangeAspect="1"/>
                    </pic:cNvPicPr>
                  </pic:nvPicPr>
                  <pic:blipFill>
                    <a:blip r:embed="rId5">
                      <a:extLst/>
                    </a:blip>
                    <a:stretch>
                      <a:fillRect/>
                    </a:stretch>
                  </pic:blipFill>
                  <pic:spPr>
                    <a:xfrm>
                      <a:off x="0" y="0"/>
                      <a:ext cx="3810000" cy="2641600"/>
                    </a:xfrm>
                    <a:prstGeom prst="rect">
                      <a:avLst/>
                    </a:prstGeom>
                    <a:ln w="12700" cap="flat">
                      <a:noFill/>
                      <a:miter lim="400000"/>
                    </a:ln>
                    <a:effectLst/>
                  </pic:spPr>
                </pic:pic>
              </a:graphicData>
            </a:graphic>
          </wp:inline>
        </w:drawing>
      </w:r>
    </w:p>
    <w:p>
      <w:pPr>
        <w:pStyle w:val="Default"/>
        <w:suppressAutoHyphens w:val="1"/>
        <w:spacing w:before="0" w:after="360" w:line="240" w:lineRule="auto"/>
        <w:jc w:val="center"/>
        <w:rPr>
          <w:rStyle w:val="None"/>
          <w:b w:val="0"/>
          <w:bCs w:val="0"/>
          <w:outline w:val="0"/>
          <w:color w:val="1a1a1a"/>
          <w:sz w:val="28"/>
          <w:szCs w:val="28"/>
          <w:shd w:val="clear" w:color="auto" w:fill="ffffff"/>
          <w14:textFill>
            <w14:solidFill>
              <w14:srgbClr w14:val="1B1B1B"/>
            </w14:solidFill>
          </w14:textFill>
        </w:rPr>
      </w:pPr>
      <w:r>
        <w:rPr>
          <w:b w:val="1"/>
          <w:bCs w:val="1"/>
          <w:outline w:val="0"/>
          <w:color w:val="1a1a1a"/>
          <w:sz w:val="28"/>
          <w:szCs w:val="28"/>
          <w:shd w:val="clear" w:color="auto" w:fill="ffffff"/>
          <w:rtl w:val="0"/>
          <w:lang w:val="en-US"/>
          <w14:textFill>
            <w14:solidFill>
              <w14:srgbClr w14:val="1B1B1B"/>
            </w14:solidFill>
          </w14:textFill>
        </w:rPr>
        <w:t xml:space="preserve">Figure B: Dividing subjective space into sensory and conceptual spaces allows modeling bottom-up </w:t>
      </w:r>
      <w:r>
        <w:rPr>
          <w:rStyle w:val="None"/>
          <w:b w:val="1"/>
          <w:bCs w:val="1"/>
          <w:i w:val="1"/>
          <w:iCs w:val="1"/>
          <w:outline w:val="0"/>
          <w:color w:val="1a1a1a"/>
          <w:sz w:val="28"/>
          <w:szCs w:val="28"/>
          <w:shd w:val="clear" w:color="auto" w:fill="ffffff"/>
          <w:rtl w:val="0"/>
          <w:lang w:val="en-US"/>
          <w14:textFill>
            <w14:solidFill>
              <w14:srgbClr w14:val="1B1B1B"/>
            </w14:solidFill>
          </w14:textFill>
        </w:rPr>
        <w:t>conceptualization</w:t>
      </w:r>
      <w:r>
        <w:rPr>
          <w:b w:val="1"/>
          <w:bCs w:val="1"/>
          <w:outline w:val="0"/>
          <w:color w:val="1a1a1a"/>
          <w:sz w:val="28"/>
          <w:szCs w:val="28"/>
          <w:shd w:val="clear" w:color="auto" w:fill="ffffff"/>
          <w:rtl w:val="0"/>
          <w14:textFill>
            <w14:solidFill>
              <w14:srgbClr w14:val="1B1B1B"/>
            </w14:solidFill>
          </w14:textFill>
        </w:rPr>
        <w:t xml:space="preserve"> (</w:t>
      </w:r>
      <w:r>
        <w:rPr>
          <w:b w:val="1"/>
          <w:bCs w:val="1"/>
          <w:outline w:val="0"/>
          <w:color w:val="1a1a1a"/>
          <w:sz w:val="28"/>
          <w:szCs w:val="28"/>
          <w:shd w:val="clear" w:color="auto" w:fill="ffffff"/>
          <w:rtl w:val="0"/>
          <w14:textFill>
            <w14:solidFill>
              <w14:srgbClr w14:val="1B1B1B"/>
            </w14:solidFill>
          </w14:textFill>
        </w:rPr>
        <w:t>Φ</w:t>
      </w:r>
      <w:r>
        <w:rPr>
          <w:b w:val="1"/>
          <w:bCs w:val="1"/>
          <w:outline w:val="0"/>
          <w:color w:val="1a1a1a"/>
          <w:sz w:val="28"/>
          <w:szCs w:val="28"/>
          <w:shd w:val="clear" w:color="auto" w:fill="ffffff"/>
          <w:rtl w:val="0"/>
          <w:lang w:val="en-US"/>
          <w14:textFill>
            <w14:solidFill>
              <w14:srgbClr w14:val="1B1B1B"/>
            </w14:solidFill>
          </w14:textFill>
        </w:rPr>
        <w:t xml:space="preserve">) and </w:t>
      </w:r>
      <w:r>
        <w:rPr>
          <w:rStyle w:val="None"/>
          <w:b w:val="1"/>
          <w:bCs w:val="1"/>
          <w:i w:val="1"/>
          <w:iCs w:val="1"/>
          <w:outline w:val="0"/>
          <w:color w:val="1a1a1a"/>
          <w:sz w:val="28"/>
          <w:szCs w:val="28"/>
          <w:shd w:val="clear" w:color="auto" w:fill="ffffff"/>
          <w:rtl w:val="0"/>
          <w:lang w:val="en-US"/>
          <w14:textFill>
            <w14:solidFill>
              <w14:srgbClr w14:val="1B1B1B"/>
            </w14:solidFill>
          </w14:textFill>
        </w:rPr>
        <w:t>top-down visualization</w:t>
      </w:r>
      <w:r>
        <w:rPr>
          <w:b w:val="1"/>
          <w:bCs w:val="1"/>
          <w:outline w:val="0"/>
          <w:color w:val="1a1a1a"/>
          <w:sz w:val="28"/>
          <w:szCs w:val="28"/>
          <w:shd w:val="clear" w:color="auto" w:fill="ffffff"/>
          <w:rtl w:val="0"/>
          <w14:textFill>
            <w14:solidFill>
              <w14:srgbClr w14:val="1B1B1B"/>
            </w14:solidFill>
          </w14:textFill>
        </w:rPr>
        <w:t xml:space="preserve"> (</w:t>
      </w:r>
      <w:r>
        <w:rPr>
          <w:b w:val="1"/>
          <w:bCs w:val="1"/>
          <w:outline w:val="0"/>
          <w:color w:val="1a1a1a"/>
          <w:sz w:val="28"/>
          <w:szCs w:val="28"/>
          <w:shd w:val="clear" w:color="auto" w:fill="ffffff"/>
          <w:rtl w:val="0"/>
          <w14:textFill>
            <w14:solidFill>
              <w14:srgbClr w14:val="1B1B1B"/>
            </w14:solidFill>
          </w14:textFill>
        </w:rPr>
        <w:t>Ψ</w:t>
      </w:r>
      <w:r>
        <w:rPr>
          <w:b w:val="1"/>
          <w:bCs w:val="1"/>
          <w:outline w:val="0"/>
          <w:color w:val="1a1a1a"/>
          <w:sz w:val="28"/>
          <w:szCs w:val="28"/>
          <w:shd w:val="clear" w:color="auto" w:fill="ffffff"/>
          <w:rtl w:val="0"/>
          <w14:textFill>
            <w14:solidFill>
              <w14:srgbClr w14:val="1B1B1B"/>
            </w14:solidFill>
          </w14:textFill>
        </w:rPr>
        <w:t>).</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 xml:space="preserve">In Figure B, although sensory and conceptual spaces are depicted as discrete entities, these nodes represent a single space that ranges from increasingly sensory parts to increasingly conceptual wholes. In other words, sensory content becomes </w:t>
      </w:r>
      <w:r>
        <w:rPr>
          <w:rStyle w:val="None"/>
          <w:i w:val="1"/>
          <w:iCs w:val="1"/>
          <w:outline w:val="0"/>
          <w:color w:val="1a1a1a"/>
          <w:sz w:val="26"/>
          <w:szCs w:val="26"/>
          <w:shd w:val="clear" w:color="auto" w:fill="ffffff"/>
          <w:rtl w:val="0"/>
          <w:lang w:val="en-US"/>
          <w14:textFill>
            <w14:solidFill>
              <w14:srgbClr w14:val="1B1B1B"/>
            </w14:solidFill>
          </w14:textFill>
        </w:rPr>
        <w:t>increasingly</w:t>
      </w:r>
      <w:r>
        <w:rPr>
          <w:outline w:val="0"/>
          <w:color w:val="1a1a1a"/>
          <w:sz w:val="26"/>
          <w:szCs w:val="26"/>
          <w:shd w:val="clear" w:color="auto" w:fill="ffffff"/>
          <w:rtl w:val="0"/>
          <w:lang w:val="en-US"/>
          <w14:textFill>
            <w14:solidFill>
              <w14:srgbClr w14:val="1B1B1B"/>
            </w14:solidFill>
          </w14:textFill>
        </w:rPr>
        <w:t xml:space="preserve"> conceptual as one moves bottom-up from sensory space to conceptual space, and conceptual content becomes </w:t>
      </w:r>
      <w:r>
        <w:rPr>
          <w:rStyle w:val="None"/>
          <w:i w:val="1"/>
          <w:iCs w:val="1"/>
          <w:outline w:val="0"/>
          <w:color w:val="1a1a1a"/>
          <w:sz w:val="26"/>
          <w:szCs w:val="26"/>
          <w:shd w:val="clear" w:color="auto" w:fill="ffffff"/>
          <w:rtl w:val="0"/>
          <w:lang w:val="en-US"/>
          <w14:textFill>
            <w14:solidFill>
              <w14:srgbClr w14:val="1B1B1B"/>
            </w14:solidFill>
          </w14:textFill>
        </w:rPr>
        <w:t>increasingly</w:t>
      </w:r>
      <w:r>
        <w:rPr>
          <w:outline w:val="0"/>
          <w:color w:val="1a1a1a"/>
          <w:sz w:val="26"/>
          <w:szCs w:val="26"/>
          <w:shd w:val="clear" w:color="auto" w:fill="ffffff"/>
          <w:rtl w:val="0"/>
          <w:lang w:val="en-US"/>
          <w14:textFill>
            <w14:solidFill>
              <w14:srgbClr w14:val="1B1B1B"/>
            </w14:solidFill>
          </w14:textFill>
        </w:rPr>
        <w:t xml:space="preserve"> sensory as one moves top-down from conceptual space to sensory space.</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 xml:space="preserve">A significant limitation of using the model in Figure B, however, is that it only describes symbolic processes. In particular, </w:t>
      </w:r>
      <w:r>
        <w:rPr>
          <w:rStyle w:val="None"/>
          <w:i w:val="1"/>
          <w:iCs w:val="1"/>
          <w:outline w:val="0"/>
          <w:color w:val="1a1a1a"/>
          <w:sz w:val="26"/>
          <w:szCs w:val="26"/>
          <w:shd w:val="clear" w:color="auto" w:fill="ffffff"/>
          <w:rtl w:val="0"/>
          <w:lang w:val="en-US"/>
          <w14:textFill>
            <w14:solidFill>
              <w14:srgbClr w14:val="1B1B1B"/>
            </w14:solidFill>
          </w14:textFill>
        </w:rPr>
        <w:t>conceptualization</w:t>
      </w:r>
      <w:r>
        <w:rPr>
          <w:outline w:val="0"/>
          <w:color w:val="1a1a1a"/>
          <w:sz w:val="26"/>
          <w:szCs w:val="26"/>
          <w:shd w:val="clear" w:color="auto" w:fill="ffffff"/>
          <w:rtl w:val="0"/>
          <w14:textFill>
            <w14:solidFill>
              <w14:srgbClr w14:val="1B1B1B"/>
            </w14:solidFill>
          </w14:textFill>
        </w:rPr>
        <w:t xml:space="preserve"> (</w:t>
      </w:r>
      <w:r>
        <w:rPr>
          <w:rStyle w:val="None"/>
          <w:b w:val="1"/>
          <w:bCs w:val="1"/>
          <w:outline w:val="0"/>
          <w:color w:val="1a1a1a"/>
          <w:sz w:val="26"/>
          <w:szCs w:val="26"/>
          <w:shd w:val="clear" w:color="auto" w:fill="ffffff"/>
          <w:rtl w:val="0"/>
          <w14:textFill>
            <w14:solidFill>
              <w14:srgbClr w14:val="1B1B1B"/>
            </w14:solidFill>
          </w14:textFill>
        </w:rPr>
        <w:t>Φ</w:t>
      </w:r>
      <w:r>
        <w:rPr>
          <w:outline w:val="0"/>
          <w:color w:val="1a1a1a"/>
          <w:sz w:val="26"/>
          <w:szCs w:val="26"/>
          <w:shd w:val="clear" w:color="auto" w:fill="ffffff"/>
          <w:rtl w:val="0"/>
          <w:lang w:val="en-US"/>
          <w14:textFill>
            <w14:solidFill>
              <w14:srgbClr w14:val="1B1B1B"/>
            </w14:solidFill>
          </w14:textFill>
        </w:rPr>
        <w:t xml:space="preserve">) and </w:t>
      </w:r>
      <w:r>
        <w:rPr>
          <w:rStyle w:val="None"/>
          <w:i w:val="1"/>
          <w:iCs w:val="1"/>
          <w:outline w:val="0"/>
          <w:color w:val="1a1a1a"/>
          <w:sz w:val="26"/>
          <w:szCs w:val="26"/>
          <w:shd w:val="clear" w:color="auto" w:fill="ffffff"/>
          <w:rtl w:val="0"/>
          <w:lang w:val="en-US"/>
          <w14:textFill>
            <w14:solidFill>
              <w14:srgbClr w14:val="1B1B1B"/>
            </w14:solidFill>
          </w14:textFill>
        </w:rPr>
        <w:t>visualization</w:t>
      </w:r>
      <w:r>
        <w:rPr>
          <w:outline w:val="0"/>
          <w:color w:val="1a1a1a"/>
          <w:sz w:val="26"/>
          <w:szCs w:val="26"/>
          <w:shd w:val="clear" w:color="auto" w:fill="ffffff"/>
          <w:rtl w:val="0"/>
          <w14:textFill>
            <w14:solidFill>
              <w14:srgbClr w14:val="1B1B1B"/>
            </w14:solidFill>
          </w14:textFill>
        </w:rPr>
        <w:t xml:space="preserve"> (</w:t>
      </w:r>
      <w:r>
        <w:rPr>
          <w:rStyle w:val="None"/>
          <w:b w:val="1"/>
          <w:bCs w:val="1"/>
          <w:outline w:val="0"/>
          <w:color w:val="1a1a1a"/>
          <w:sz w:val="26"/>
          <w:szCs w:val="26"/>
          <w:shd w:val="clear" w:color="auto" w:fill="ffffff"/>
          <w:rtl w:val="0"/>
          <w14:textFill>
            <w14:solidFill>
              <w14:srgbClr w14:val="1B1B1B"/>
            </w14:solidFill>
          </w14:textFill>
        </w:rPr>
        <w:t>Ψ</w:t>
      </w:r>
      <w:r>
        <w:rPr>
          <w:outline w:val="0"/>
          <w:color w:val="1a1a1a"/>
          <w:sz w:val="26"/>
          <w:szCs w:val="26"/>
          <w:shd w:val="clear" w:color="auto" w:fill="ffffff"/>
          <w:rtl w:val="0"/>
          <w:lang w:val="en-US"/>
          <w14:textFill>
            <w14:solidFill>
              <w14:srgbClr w14:val="1B1B1B"/>
            </w14:solidFill>
          </w14:textFill>
        </w:rPr>
        <w:t xml:space="preserve">) are subsymbolic rather than symbolic, and correspond to the relation between parts and wholes. As a result, there is no way within the model of Figure B to capture the notion that the symbol </w:t>
      </w:r>
      <w:r>
        <w:rPr>
          <w:outline w:val="0"/>
          <w:color w:val="1a1a1a"/>
          <w:sz w:val="26"/>
          <w:szCs w:val="26"/>
          <w:shd w:val="clear" w:color="auto" w:fill="ffffff"/>
          <w:rtl w:val="1"/>
          <w:lang w:val="ar-SA" w:bidi="ar-SA"/>
          <w14:textFill>
            <w14:solidFill>
              <w14:srgbClr w14:val="1B1B1B"/>
            </w14:solidFill>
          </w14:textFill>
        </w:rPr>
        <w:t>“</w:t>
      </w:r>
      <w:r>
        <w:rPr>
          <w:outline w:val="0"/>
          <w:color w:val="1a1a1a"/>
          <w:sz w:val="26"/>
          <w:szCs w:val="26"/>
          <w:shd w:val="clear" w:color="auto" w:fill="ffffff"/>
          <w:rtl w:val="0"/>
          <w:lang w:val="en-US"/>
          <w14:textFill>
            <w14:solidFill>
              <w14:srgbClr w14:val="1B1B1B"/>
            </w14:solidFill>
          </w14:textFill>
        </w:rPr>
        <w:t>tree</w:t>
      </w:r>
      <w:r>
        <w:rPr>
          <w:outline w:val="0"/>
          <w:color w:val="1a1a1a"/>
          <w:sz w:val="26"/>
          <w:szCs w:val="26"/>
          <w:shd w:val="clear" w:color="auto" w:fill="ffffff"/>
          <w:rtl w:val="0"/>
          <w14:textFill>
            <w14:solidFill>
              <w14:srgbClr w14:val="1B1B1B"/>
            </w14:solidFill>
          </w14:textFill>
        </w:rPr>
        <w:t xml:space="preserve">” </w:t>
      </w:r>
      <w:r>
        <w:rPr>
          <w:outline w:val="0"/>
          <w:color w:val="1a1a1a"/>
          <w:sz w:val="26"/>
          <w:szCs w:val="26"/>
          <w:shd w:val="clear" w:color="auto" w:fill="ffffff"/>
          <w:rtl w:val="0"/>
          <w:lang w:val="en-US"/>
          <w14:textFill>
            <w14:solidFill>
              <w14:srgbClr w14:val="1B1B1B"/>
            </w14:solidFill>
          </w14:textFill>
        </w:rPr>
        <w:t xml:space="preserve">is a representation of the concept tree, since they are not related to one another as parts or wholes (i.e., symbols are references to what they symbolize). Therefore, the description of symbolic processes requires the addition of two further relations: </w:t>
      </w:r>
      <w:r>
        <w:rPr>
          <w:rStyle w:val="None"/>
          <w:i w:val="1"/>
          <w:iCs w:val="1"/>
          <w:outline w:val="0"/>
          <w:color w:val="1a1a1a"/>
          <w:sz w:val="26"/>
          <w:szCs w:val="26"/>
          <w:shd w:val="clear" w:color="auto" w:fill="ffffff"/>
          <w:rtl w:val="0"/>
          <w:lang w:val="en-US"/>
          <w14:textFill>
            <w14:solidFill>
              <w14:srgbClr w14:val="1B1B1B"/>
            </w14:solidFill>
          </w14:textFill>
        </w:rPr>
        <w:t>symbolization</w:t>
      </w:r>
      <w:r>
        <w:rPr>
          <w:outline w:val="0"/>
          <w:color w:val="1a1a1a"/>
          <w:sz w:val="26"/>
          <w:szCs w:val="26"/>
          <w:shd w:val="clear" w:color="auto" w:fill="ffffff"/>
          <w:rtl w:val="0"/>
          <w14:textFill>
            <w14:solidFill>
              <w14:srgbClr w14:val="1B1B1B"/>
            </w14:solidFill>
          </w14:textFill>
        </w:rPr>
        <w:t xml:space="preserve"> (</w:t>
      </w:r>
      <w:r>
        <w:rPr>
          <w:rStyle w:val="None"/>
          <w:b w:val="1"/>
          <w:bCs w:val="1"/>
          <w:outline w:val="0"/>
          <w:color w:val="1a1a1a"/>
          <w:sz w:val="26"/>
          <w:szCs w:val="26"/>
          <w:shd w:val="clear" w:color="auto" w:fill="ffffff"/>
          <w:rtl w:val="0"/>
          <w14:textFill>
            <w14:solidFill>
              <w14:srgbClr w14:val="1B1B1B"/>
            </w14:solidFill>
          </w14:textFill>
        </w:rPr>
        <w:t>Ξ</w:t>
      </w:r>
      <w:r>
        <w:rPr>
          <w:outline w:val="0"/>
          <w:color w:val="1a1a1a"/>
          <w:sz w:val="26"/>
          <w:szCs w:val="26"/>
          <w:shd w:val="clear" w:color="auto" w:fill="ffffff"/>
          <w:rtl w:val="0"/>
          <w:lang w:val="en-US"/>
          <w14:textFill>
            <w14:solidFill>
              <w14:srgbClr w14:val="1B1B1B"/>
            </w14:solidFill>
          </w14:textFill>
        </w:rPr>
        <w:t xml:space="preserve">), which creates symbolic references from conceptual content, and </w:t>
      </w:r>
      <w:r>
        <w:rPr>
          <w:rStyle w:val="None"/>
          <w:i w:val="1"/>
          <w:iCs w:val="1"/>
          <w:outline w:val="0"/>
          <w:color w:val="1a1a1a"/>
          <w:sz w:val="26"/>
          <w:szCs w:val="26"/>
          <w:shd w:val="clear" w:color="auto" w:fill="ffffff"/>
          <w:rtl w:val="0"/>
          <w:lang w:val="it-IT"/>
          <w14:textFill>
            <w14:solidFill>
              <w14:srgbClr w14:val="1B1B1B"/>
            </w14:solidFill>
          </w14:textFill>
        </w:rPr>
        <w:t>interpretation</w:t>
      </w:r>
      <w:r>
        <w:rPr>
          <w:outline w:val="0"/>
          <w:color w:val="1a1a1a"/>
          <w:sz w:val="26"/>
          <w:szCs w:val="26"/>
          <w:shd w:val="clear" w:color="auto" w:fill="ffffff"/>
          <w:rtl w:val="0"/>
          <w14:textFill>
            <w14:solidFill>
              <w14:srgbClr w14:val="1B1B1B"/>
            </w14:solidFill>
          </w14:textFill>
        </w:rPr>
        <w:t xml:space="preserve"> (</w:t>
      </w:r>
      <w:r>
        <w:rPr>
          <w:rStyle w:val="None"/>
          <w:b w:val="1"/>
          <w:bCs w:val="1"/>
          <w:outline w:val="0"/>
          <w:color w:val="1a1a1a"/>
          <w:sz w:val="26"/>
          <w:szCs w:val="26"/>
          <w:shd w:val="clear" w:color="auto" w:fill="ffffff"/>
          <w:rtl w:val="0"/>
          <w14:textFill>
            <w14:solidFill>
              <w14:srgbClr w14:val="1B1B1B"/>
            </w14:solidFill>
          </w14:textFill>
        </w:rPr>
        <w:t>Ω</w:t>
      </w:r>
      <w:r>
        <w:rPr>
          <w:outline w:val="0"/>
          <w:color w:val="1a1a1a"/>
          <w:sz w:val="26"/>
          <w:szCs w:val="26"/>
          <w:shd w:val="clear" w:color="auto" w:fill="ffffff"/>
          <w:rtl w:val="0"/>
          <w:lang w:val="en-US"/>
          <w14:textFill>
            <w14:solidFill>
              <w14:srgbClr w14:val="1B1B1B"/>
            </w14:solidFill>
          </w14:textFill>
        </w:rPr>
        <w:t>), which dereferences symbols to activate their associated concepts. These relations allow one to model both the interpretation (or understanding) of the symbol of a tree as well as the symbolization (or naming) of the concept of a tree.</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 xml:space="preserve">Adding these two relations to the model in Figure B results in the following </w:t>
      </w:r>
      <w:r>
        <w:rPr>
          <w:rStyle w:val="None"/>
          <w:i w:val="1"/>
          <w:iCs w:val="1"/>
          <w:outline w:val="0"/>
          <w:color w:val="1a1a1a"/>
          <w:sz w:val="26"/>
          <w:szCs w:val="26"/>
          <w:shd w:val="clear" w:color="auto" w:fill="ffffff"/>
          <w:rtl w:val="0"/>
          <w:lang w:val="en-US"/>
          <w14:textFill>
            <w14:solidFill>
              <w14:srgbClr w14:val="1B1B1B"/>
            </w14:solidFill>
          </w14:textFill>
        </w:rPr>
        <w:t>basic model of cognition</w:t>
      </w:r>
      <w:r>
        <w:rPr>
          <w:outline w:val="0"/>
          <w:color w:val="1a1a1a"/>
          <w:sz w:val="26"/>
          <w:szCs w:val="26"/>
          <w:shd w:val="clear" w:color="auto" w:fill="ffffff"/>
          <w:rtl w:val="0"/>
          <w:lang w:val="en-US"/>
          <w14:textFill>
            <w14:solidFill>
              <w14:srgbClr w14:val="1B1B1B"/>
            </w14:solidFill>
          </w14:textFill>
        </w:rPr>
        <w:t>, which consists of three spaces and six relations:</w:t>
      </w:r>
    </w:p>
    <w:p>
      <w:pPr>
        <w:pStyle w:val="Default"/>
        <w:suppressAutoHyphens w:val="1"/>
        <w:spacing w:before="0" w:line="240" w:lineRule="auto"/>
        <w:jc w:val="left"/>
        <w:rPr>
          <w:rStyle w:val="None"/>
          <w:b w:val="1"/>
          <w:bCs w:val="1"/>
          <w:outline w:val="0"/>
          <w:color w:val="1a1a1a"/>
          <w:sz w:val="36"/>
          <w:szCs w:val="36"/>
          <w:shd w:val="clear" w:color="auto" w:fill="ffffff"/>
          <w14:textFill>
            <w14:solidFill>
              <w14:srgbClr w14:val="1B1B1B"/>
            </w14:solidFill>
          </w14:textFill>
        </w:rPr>
      </w:pPr>
      <w:r>
        <w:rPr>
          <w:b w:val="1"/>
          <w:bCs w:val="1"/>
          <w:outline w:val="0"/>
          <w:color w:val="1a1a1a"/>
          <w:sz w:val="36"/>
          <w:szCs w:val="36"/>
          <w14:textFill>
            <w14:solidFill>
              <w14:srgbClr w14:val="1B1B1B"/>
            </w14:solidFill>
          </w14:textFill>
        </w:rPr>
        <w:tab/>
        <w:tab/>
      </w:r>
      <w:r>
        <w:rPr>
          <w:rStyle w:val="None"/>
          <w:b w:val="1"/>
          <w:bCs w:val="1"/>
          <w:outline w:val="0"/>
          <w:color w:val="1a1a1a"/>
          <w:sz w:val="36"/>
          <w:szCs w:val="36"/>
          <w:shd w:val="clear" w:color="auto" w:fill="ffffff"/>
          <w14:textFill>
            <w14:solidFill>
              <w14:srgbClr w14:val="1B1B1B"/>
            </w14:solidFill>
          </w14:textFill>
        </w:rPr>
        <w:drawing xmlns:a="http://schemas.openxmlformats.org/drawingml/2006/main">
          <wp:inline distT="0" distB="0" distL="0" distR="0">
            <wp:extent cx="3810000" cy="2400300"/>
            <wp:effectExtent l="0" t="0" r="0" b="0"/>
            <wp:docPr id="1073741827" name="officeArt object" descr="Screen-Shot-2020-05-24-at-10.31.40-AM-300x189.png"/>
            <wp:cNvGraphicFramePr/>
            <a:graphic xmlns:a="http://schemas.openxmlformats.org/drawingml/2006/main">
              <a:graphicData uri="http://schemas.openxmlformats.org/drawingml/2006/picture">
                <pic:pic xmlns:pic="http://schemas.openxmlformats.org/drawingml/2006/picture">
                  <pic:nvPicPr>
                    <pic:cNvPr id="1073741827" name="Screen-Shot-2020-05-24-at-10.31.40-AM-300x189.png" descr="Screen-Shot-2020-05-24-at-10.31.40-AM-300x189.png"/>
                    <pic:cNvPicPr>
                      <a:picLocks noChangeAspect="1"/>
                    </pic:cNvPicPr>
                  </pic:nvPicPr>
                  <pic:blipFill>
                    <a:blip r:embed="rId6">
                      <a:extLst/>
                    </a:blip>
                    <a:stretch>
                      <a:fillRect/>
                    </a:stretch>
                  </pic:blipFill>
                  <pic:spPr>
                    <a:xfrm>
                      <a:off x="0" y="0"/>
                      <a:ext cx="3810000" cy="2400300"/>
                    </a:xfrm>
                    <a:prstGeom prst="rect">
                      <a:avLst/>
                    </a:prstGeom>
                    <a:ln w="12700" cap="flat">
                      <a:noFill/>
                      <a:miter lim="400000"/>
                    </a:ln>
                    <a:effectLst/>
                  </pic:spPr>
                </pic:pic>
              </a:graphicData>
            </a:graphic>
          </wp:inline>
        </w:drawing>
      </w:r>
    </w:p>
    <w:p>
      <w:pPr>
        <w:pStyle w:val="Default"/>
        <w:suppressAutoHyphens w:val="1"/>
        <w:spacing w:before="0" w:after="360" w:line="240" w:lineRule="auto"/>
        <w:jc w:val="center"/>
        <w:rPr>
          <w:rStyle w:val="None"/>
          <w:b w:val="0"/>
          <w:bCs w:val="0"/>
          <w:outline w:val="0"/>
          <w:color w:val="1a1a1a"/>
          <w:sz w:val="28"/>
          <w:szCs w:val="28"/>
          <w:shd w:val="clear" w:color="auto" w:fill="ffffff"/>
          <w14:textFill>
            <w14:solidFill>
              <w14:srgbClr w14:val="1B1B1B"/>
            </w14:solidFill>
          </w14:textFill>
        </w:rPr>
      </w:pPr>
      <w:r>
        <w:rPr>
          <w:b w:val="1"/>
          <w:bCs w:val="1"/>
          <w:outline w:val="0"/>
          <w:color w:val="1a1a1a"/>
          <w:sz w:val="28"/>
          <w:szCs w:val="28"/>
          <w:shd w:val="clear" w:color="auto" w:fill="ffffff"/>
          <w:rtl w:val="0"/>
          <w:lang w:val="en-US"/>
          <w14:textFill>
            <w14:solidFill>
              <w14:srgbClr w14:val="1B1B1B"/>
            </w14:solidFill>
          </w14:textFill>
        </w:rPr>
        <w:t>Figure C: The basic model of cognition.</w:t>
      </w:r>
      <w:r>
        <w:rPr>
          <w:b w:val="1"/>
          <w:bCs w:val="1"/>
          <w:outline w:val="0"/>
          <w:color w:val="1a1a1a"/>
          <w:sz w:val="28"/>
          <w:szCs w:val="28"/>
          <w:shd w:val="clear" w:color="auto" w:fill="ffffff"/>
          <w14:textFill>
            <w14:solidFill>
              <w14:srgbClr w14:val="1B1B1B"/>
            </w14:solidFill>
          </w14:textFill>
        </w:rPr>
        <w:br w:type="textWrapping"/>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rtl w:val="0"/>
          <w:lang w:val="en-US"/>
          <w14:textFill>
            <w14:solidFill>
              <w14:srgbClr w14:val="1B1B1B"/>
            </w14:solidFill>
          </w14:textFill>
        </w:rPr>
        <w:t xml:space="preserve">While this model is quite simple, it extends the more basic rubric of Dual Process Theory by adding terminology for both subsymbolic and symbolic operations. One of its key strengths is that it provides a common foundation for a number of existing theories in cognitive science; for example,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"https://en.wikipedia.org/wiki/First-order_logic"</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en-US"/>
          <w14:textFill>
            <w14:solidFill>
              <w14:srgbClr w14:val="416ED2"/>
            </w14:solidFill>
          </w14:textFill>
        </w:rPr>
        <w:t>first-order logic</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14:textFill>
            <w14:solidFill>
              <w14:srgbClr w14:val="1B1B1B"/>
            </w14:solidFill>
          </w14:textFill>
        </w:rPr>
        <w:t xml:space="preserve">,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"https://en.wikipedia.org/wiki/Syntactic_hierarchy"</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fr-FR"/>
          <w14:textFill>
            <w14:solidFill>
              <w14:srgbClr w14:val="416ED2"/>
            </w14:solidFill>
          </w14:textFill>
        </w:rPr>
        <w:t>syntactic hierarchies,</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lang w:val="en-US"/>
          <w14:textFill>
            <w14:solidFill>
              <w14:srgbClr w14:val="1B1B1B"/>
            </w14:solidFill>
          </w14:textFill>
        </w:rPr>
        <w:t xml:space="preserve"> and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"https://en.wikipedia.org/wiki/Set_theory"</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en-US"/>
          <w14:textFill>
            <w14:solidFill>
              <w14:srgbClr w14:val="416ED2"/>
            </w14:solidFill>
          </w14:textFill>
        </w:rPr>
        <w:t>mathematical sets</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lang w:val="en-US"/>
          <w14:textFill>
            <w14:solidFill>
              <w14:srgbClr w14:val="1B1B1B"/>
            </w14:solidFill>
          </w14:textFill>
        </w:rPr>
        <w:t xml:space="preserve"> can all be recursively constructed using conceptualization and symbolization (this is illustrated in the book The Whole Part [</w:t>
      </w:r>
      <w:r>
        <w:rPr>
          <w:rStyle w:val="Hyperlink.0"/>
          <w:outline w:val="0"/>
          <w:color w:val="406dd2"/>
          <w:sz w:val="26"/>
          <w:szCs w:val="26"/>
          <w:shd w:val="clear" w:color="auto" w:fill="ffffff"/>
          <w14:textFill>
            <w14:solidFill>
              <w14:srgbClr w14:val="416ED2"/>
            </w14:solidFill>
          </w14:textFill>
        </w:rPr>
        <w:fldChar w:fldCharType="begin" w:fldLock="0"/>
      </w:r>
      <w:r>
        <w:rPr>
          <w:rStyle w:val="Hyperlink.0"/>
          <w:outline w:val="0"/>
          <w:color w:val="406dd2"/>
          <w:sz w:val="26"/>
          <w:szCs w:val="26"/>
          <w:shd w:val="clear" w:color="auto" w:fill="ffffff"/>
          <w14:textFill>
            <w14:solidFill>
              <w14:srgbClr w14:val="416ED2"/>
            </w14:solidFill>
          </w14:textFill>
        </w:rPr>
        <w:instrText xml:space="preserve"> HYPERLINK "https://thewholepart.com/"</w:instrText>
      </w:r>
      <w:r>
        <w:rPr>
          <w:rStyle w:val="Hyperlink.0"/>
          <w:outline w:val="0"/>
          <w:color w:val="406dd2"/>
          <w:sz w:val="26"/>
          <w:szCs w:val="26"/>
          <w:shd w:val="clear" w:color="auto" w:fill="ffffff"/>
          <w14:textFill>
            <w14:solidFill>
              <w14:srgbClr w14:val="416ED2"/>
            </w14:solidFill>
          </w14:textFill>
        </w:rPr>
        <w:fldChar w:fldCharType="separate" w:fldLock="0"/>
      </w:r>
      <w:r>
        <w:rPr>
          <w:rStyle w:val="Hyperlink.0"/>
          <w:outline w:val="0"/>
          <w:color w:val="406dd2"/>
          <w:sz w:val="26"/>
          <w:szCs w:val="26"/>
          <w:shd w:val="clear" w:color="auto" w:fill="ffffff"/>
          <w:rtl w:val="0"/>
          <w:lang w:val="en-US"/>
          <w14:textFill>
            <w14:solidFill>
              <w14:srgbClr w14:val="416ED2"/>
            </w14:solidFill>
          </w14:textFill>
        </w:rPr>
        <w:t>Rogers, 2020</w:t>
      </w:r>
      <w:r>
        <w:rPr>
          <w:outline w:val="0"/>
          <w:color w:val="1a1a1a"/>
          <w:sz w:val="26"/>
          <w:szCs w:val="26"/>
          <w:shd w:val="clear" w:color="auto" w:fill="ffffff"/>
          <w14:textFill>
            <w14:solidFill>
              <w14:srgbClr w14:val="1B1B1B"/>
            </w14:solidFill>
          </w14:textFill>
        </w:rPr>
        <w:fldChar w:fldCharType="end" w:fldLock="0"/>
      </w:r>
      <w:r>
        <w:rPr>
          <w:outline w:val="0"/>
          <w:color w:val="1a1a1a"/>
          <w:sz w:val="26"/>
          <w:szCs w:val="26"/>
          <w:shd w:val="clear" w:color="auto" w:fill="ffffff"/>
          <w:rtl w:val="0"/>
          <w:lang w:val="en-US"/>
          <w14:textFill>
            <w14:solidFill>
              <w14:srgbClr w14:val="1B1B1B"/>
            </w14:solidFill>
          </w14:textFill>
        </w:rPr>
        <w:t>]). In distinction to these formalisms, however, the basic model of cognition also allows one to model animal cognition and other subsymbolic processes.</w:t>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r>
        <w:rPr>
          <w:outline w:val="0"/>
          <w:color w:val="1a1a1a"/>
          <w:sz w:val="26"/>
          <w:szCs w:val="26"/>
          <w:shd w:val="clear" w:color="auto" w:fill="ffffff"/>
          <w14:textFill>
            <w14:solidFill>
              <w14:srgbClr w14:val="1B1B1B"/>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124798</wp:posOffset>
            </wp:positionH>
            <wp:positionV relativeFrom="line">
              <wp:posOffset>203519</wp:posOffset>
            </wp:positionV>
            <wp:extent cx="5943600" cy="3393633"/>
            <wp:effectExtent l="0" t="0" r="0" b="0"/>
            <wp:wrapThrough wrapText="bothSides" distL="152400" distR="152400">
              <wp:wrapPolygon edited="1">
                <wp:start x="0" y="0"/>
                <wp:lineTo x="21600" y="0"/>
                <wp:lineTo x="21600" y="21600"/>
                <wp:lineTo x="0" y="21600"/>
                <wp:lineTo x="0" y="0"/>
              </wp:wrapPolygon>
            </wp:wrapThrough>
            <wp:docPr id="1073741828"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28" name="pasted-image.pdf" descr="pasted-image.pdf"/>
                    <pic:cNvPicPr>
                      <a:picLocks noChangeAspect="1"/>
                    </pic:cNvPicPr>
                  </pic:nvPicPr>
                  <pic:blipFill>
                    <a:blip r:embed="rId7">
                      <a:extLst/>
                    </a:blip>
                    <a:stretch>
                      <a:fillRect/>
                    </a:stretch>
                  </pic:blipFill>
                  <pic:spPr>
                    <a:xfrm>
                      <a:off x="0" y="0"/>
                      <a:ext cx="5943600" cy="3393633"/>
                    </a:xfrm>
                    <a:prstGeom prst="rect">
                      <a:avLst/>
                    </a:prstGeom>
                    <a:ln w="12700" cap="flat">
                      <a:noFill/>
                      <a:miter lim="400000"/>
                    </a:ln>
                    <a:effectLst/>
                  </pic:spPr>
                </pic:pic>
              </a:graphicData>
            </a:graphic>
          </wp:anchor>
        </w:drawing>
      </w: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rPr>
          <w:outline w:val="0"/>
          <w:color w:val="1a1a1a"/>
          <w:sz w:val="26"/>
          <w:szCs w:val="26"/>
          <w:shd w:val="clear" w:color="auto" w:fill="ffffff"/>
          <w14:textFill>
            <w14:solidFill>
              <w14:srgbClr w14:val="1B1B1B"/>
            </w14:solidFill>
          </w14:textFill>
        </w:rPr>
      </w:pPr>
    </w:p>
    <w:p>
      <w:pPr>
        <w:pStyle w:val="Default"/>
        <w:suppressAutoHyphens w:val="1"/>
        <w:spacing w:before="0" w:after="360" w:line="240" w:lineRule="auto"/>
        <w:jc w:val="left"/>
      </w:pPr>
      <w:r>
        <w:rPr>
          <w:outline w:val="0"/>
          <w:color w:val="1a1a1a"/>
          <w:sz w:val="26"/>
          <w:szCs w:val="26"/>
          <w:shd w:val="clear" w:color="auto" w:fill="ffffff"/>
          <w14:textFill>
            <w14:solidFill>
              <w14:srgbClr w14:val="1B1B1B"/>
            </w14:solidFill>
          </w14:textFill>
        </w:rPr>
      </w:r>
    </w:p>
    <w:sectPr>
      <w:headerReference w:type="default" r:id="rId8"/>
      <w:footerReference w:type="default" r:id="rId9"/>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406dd2"/>
      <w14:textFill>
        <w14:solidFill>
          <w14:srgbClr w14:val="416ED2"/>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