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Acme Technologies — Service Catalogue and Pricing</w:t>
      </w:r>
    </w:p>
    <w:p/>
    <w:p>
      <w:r>
        <w:t>*Synthetic demo document. Prices effective 1 April 2026, ex VAT.*</w:t>
      </w:r>
    </w:p>
    <w:p/>
    <w:p>
      <w:r>
        <w:t>Managed Workplace</w:t>
      </w:r>
    </w:p>
    <w:p/>
    <w:p>
      <w:r>
        <w:t>Tier | Per seat / month | Includes</w:t>
      </w:r>
    </w:p>
    <w:p>
      <w:r>
        <w:t>Essential | £28 | Endpoint management, patching, helpdesk 08:00–18:00</w:t>
      </w:r>
    </w:p>
    <w:p>
      <w:r>
        <w:t>Standard | £42 | Adds identity management, software deployment, asset reporting</w:t>
      </w:r>
    </w:p>
    <w:p>
      <w:r>
        <w:t>Complete | £61 | Adds 24/7 helpdesk, on-site support, named service manager</w:t>
      </w:r>
    </w:p>
    <w:p/>
    <w:p>
      <w:r>
        <w:t>Minimum commitment is 25 seats and 12 months.</w:t>
      </w:r>
    </w:p>
    <w:p/>
    <w:p>
      <w:r>
        <w:t>Managed Infrastructure</w:t>
      </w:r>
    </w:p>
    <w:p/>
    <w:p>
      <w:r>
        <w:t>Priced per environment, from £1,850 per month for a single-region cloud estate. Backup is included with a 30-day retention default; extended retention to 7 years is £240 per month per environment.</w:t>
      </w:r>
    </w:p>
    <w:p/>
    <w:p>
      <w:r>
        <w:t>Security Operations</w:t>
      </w:r>
    </w:p>
    <w:p/>
    <w:p>
      <w:r>
        <w:t>Package | Per month | Response target</w:t>
      </w:r>
    </w:p>
    <w:p>
      <w:r>
        <w:t>Monitor | £2,400 | Acknowledge in 30 minutes</w:t>
      </w:r>
    </w:p>
    <w:p>
      <w:r>
        <w:t>Respond | £4,100 | Acknowledge in 15 minutes, containment in 1 hour</w:t>
      </w:r>
    </w:p>
    <w:p>
      <w:r>
        <w:t>Assure | £6,750 | Adds quarterly testing and compliance reporting</w:t>
      </w:r>
    </w:p>
    <w:p/>
    <w:p>
      <w:r>
        <w:t>All Security Operations packages are 24/7.</w:t>
      </w:r>
    </w:p>
    <w:p/>
    <w:p>
      <w:r>
        <w:t>Service credits</w:t>
      </w:r>
    </w:p>
    <w:p/>
    <w:p>
      <w:r>
        <w:t>If Acme misses a contractual response target, the client receives a service credit of 5% of that month's fee per missed target, capped at 25% in any month.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