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left"/>
      </w:pPr>
      <w:r>
        <w:rPr>
          <w:rFonts w:ascii="Arial" w:cs="Arial" w:eastAsia="Arial" w:hAnsi="Arial"/>
          <w:b/>
          <w:bCs/>
          <w:i w:val="false"/>
          <w:iCs w:val="false"/>
          <w:color w:val="C4A35A"/>
          <w:sz w:val="20"/>
          <w:szCs w:val="20"/>
        </w:rPr>
        <w:t xml:space="preserve">COIN OP 4 CHARITY</w:t>
      </w:r>
    </w:p>
    <w:p>
      <w:pPr>
        <w:spacing w:after="200" w:before="0" w:line="276"/>
        <w:jc w:val="left"/>
      </w:pPr>
      <w:r>
        <w:rPr>
          <w:rFonts w:ascii="Arial" w:cs="Arial" w:eastAsia="Arial" w:hAnsi="Arial"/>
          <w:b w:val="false"/>
          <w:bCs w:val="false"/>
          <w:i w:val="false"/>
          <w:iCs w:val="false"/>
          <w:color w:val="666666"/>
          <w:sz w:val="18"/>
          <w:szCs w:val="18"/>
        </w:rPr>
        <w:t xml:space="preserve">A Nevada Nonprofit Corporation</w:t>
      </w:r>
    </w:p>
    <w:p>
      <w:pPr>
        <w:spacing w:after="80"/>
      </w:pPr>
      <w:r>
        <w:rPr>
          <w:rFonts w:ascii="Arial" w:cs="Arial" w:eastAsia="Arial" w:hAnsi="Arial"/>
          <w:b/>
          <w:bCs/>
          <w:color w:val="1B365D"/>
          <w:sz w:val="36"/>
          <w:szCs w:val="36"/>
        </w:rPr>
        <w:t xml:space="preserve">PARTNER &amp; STAFF EMERGENCY HARDSHIP RELIEF POLICY</w:t>
      </w:r>
    </w:p>
    <w:p>
      <w:pPr>
        <w:spacing w:after="240" w:before="0" w:line="276"/>
        <w:jc w:val="left"/>
      </w:pPr>
      <w:r>
        <w:rPr>
          <w:rFonts w:ascii="Arial" w:cs="Arial" w:eastAsia="Arial" w:hAnsi="Arial"/>
          <w:b w:val="false"/>
          <w:bCs w:val="false"/>
          <w:i/>
          <w:iCs/>
          <w:color w:val="555555"/>
          <w:sz w:val="22"/>
          <w:szCs w:val="22"/>
        </w:rPr>
        <w:t xml:space="preserve">Documented Expense Reimbursement and Restricted Partner Grants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Document number</w:t>
            </w:r>
          </w:p>
        </w:tc>
        <w:tc>
          <w:tcPr>
            <w:tcW w:type="dxa" w:w="616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POL-FIN-004</w:t>
            </w:r>
          </w:p>
        </w:tc>
      </w:tr>
      <w:tr>
        <w:tc>
          <w:tcPr>
            <w:tcW w:type="dxa" w:w="320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Effective date</w:t>
            </w:r>
          </w:p>
        </w:tc>
        <w:tc>
          <w:tcPr>
            <w:tcW w:type="dxa" w:w="616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September 12, 2026</w:t>
            </w:r>
          </w:p>
        </w:tc>
      </w:tr>
      <w:tr>
        <w:tc>
          <w:tcPr>
            <w:tcW w:type="dxa" w:w="320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Approved by</w:t>
            </w:r>
          </w:p>
        </w:tc>
        <w:tc>
          <w:tcPr>
            <w:tcW w:type="dxa" w:w="616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Board of Directors (pending adoption)</w:t>
            </w:r>
          </w:p>
        </w:tc>
      </w:tr>
      <w:tr>
        <w:tc>
          <w:tcPr>
            <w:tcW w:type="dxa" w:w="320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Owner</w:t>
            </w:r>
          </w:p>
        </w:tc>
        <w:tc>
          <w:tcPr>
            <w:tcW w:type="dxa" w:w="616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Treasurer / Finance Committee</w:t>
            </w:r>
          </w:p>
        </w:tc>
      </w:tr>
      <w:tr>
        <w:tc>
          <w:tcPr>
            <w:tcW w:type="dxa" w:w="320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Classification</w:t>
            </w:r>
          </w:p>
        </w:tc>
        <w:tc>
          <w:tcPr>
            <w:tcW w:type="dxa" w:w="616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Internal staff policy – retain with corporate records</w:t>
            </w:r>
          </w:p>
        </w:tc>
      </w:tr>
      <w:tr>
        <w:tc>
          <w:tcPr>
            <w:tcW w:type="dxa" w:w="320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Governing law</w:t>
            </w:r>
          </w:p>
        </w:tc>
        <w:tc>
          <w:tcPr>
            <w:tcW w:type="dxa" w:w="616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I.R.C. § 501(c)(3); Treas. Reg. § 1.501(c)(3)-1; I.R.C. §§ 139, 4958; IRS Pub. 3833; NRS Ch. 82; NRS Ch. 82A</w:t>
            </w:r>
          </w:p>
        </w:tc>
      </w:tr>
      <w:tr>
        <w:tc>
          <w:tcPr>
            <w:tcW w:type="dxa" w:w="320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Review cycle</w:t>
            </w:r>
          </w:p>
        </w:tc>
        <w:tc>
          <w:tcPr>
            <w:tcW w:type="dxa" w:w="616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Annually, or upon material change in law or program</w:t>
            </w:r>
          </w:p>
        </w:tc>
      </w:tr>
    </w:tbl>
    <w:p>
      <w:pPr>
        <w:spacing w:after="280" w:before="280" w:line="276"/>
        <w:jc w:val="left"/>
      </w:pPr>
      <w:r>
        <w:rPr>
          <w:rFonts w:ascii="Arial" w:cs="Arial" w:eastAsia="Arial" w:hAnsi="Arial"/>
          <w:b w:val="false"/>
          <w:bCs w:val="false"/>
          <w:i/>
          <w:iCs/>
          <w:color w:val="222222"/>
          <w:sz w:val="18"/>
          <w:szCs w:val="18"/>
        </w:rPr>
        <w:t xml:space="preserve">THIS DOCUMENT IS AN INTERNAL GOVERNANCE POLICY. It is not legal advice, tax advice, or a promise of funding. Awards are discretionary, contingent on available restricted or unrestricted funds, and may be denied for any lawful reason consistent with this Policy.</w:t>
      </w:r>
    </w:p>
    <w:p>
      <w:pPr>
        <w:pStyle w:val="Heading1"/>
        <w:pBdr>
          <w:bottom w:val="single" w:color="C4A35A" w:sz="12" w:space="4"/>
        </w:pBdr>
        <w:spacing w:after="160" w:before="360"/>
      </w:pPr>
      <w:r>
        <w:rPr>
          <w:rFonts w:ascii="Arial" w:cs="Arial" w:eastAsia="Arial" w:hAnsi="Arial"/>
          <w:b/>
          <w:bCs/>
          <w:color w:val="1B365D"/>
          <w:sz w:val="28"/>
          <w:szCs w:val="28"/>
        </w:rPr>
        <w:t xml:space="preserve">1. Purpose and Charitable Rationale</w:t>
      </w:r>
    </w:p>
    <w:p>
      <w:pPr>
        <w:spacing w:after="160" w:before="0" w:line="276"/>
        <w:jc w:val="left"/>
      </w:pPr>
      <w:r>
        <w:rPr>
          <w:rFonts w:ascii="Arial" w:cs="Arial" w:eastAsia="Arial" w:hAnsi="Arial"/>
          <w:b w:val="false"/>
          <w:bCs w:val="false"/>
          <w:i w:val="false"/>
          <w:iCs w:val="false"/>
          <w:color w:val="222222"/>
          <w:sz w:val="22"/>
          <w:szCs w:val="22"/>
        </w:rPr>
        <w:t xml:space="preserve">Coin Op 4 Charity (“Organization”) places restored coin-operated and arcade equipment with youth-serving and community partners in Nevada and, as authorized, elsewhere. Continuity of those partner sites is a charitable purpose: if a partner site cannot keep lights on, transport youth, or retain front-line staff after a sudden hardship, the Organization’s placements and youth programming fail.</w:t>
      </w:r>
    </w:p>
    <w:p>
      <w:pPr>
        <w:spacing w:after="160" w:before="0" w:line="276"/>
        <w:jc w:val="left"/>
      </w:pPr>
      <w:r>
        <w:rPr>
          <w:rFonts w:ascii="Arial" w:cs="Arial" w:eastAsia="Arial" w:hAnsi="Arial"/>
          <w:b w:val="false"/>
          <w:bCs w:val="false"/>
          <w:i w:val="false"/>
          <w:iCs w:val="false"/>
          <w:color w:val="222222"/>
          <w:sz w:val="22"/>
          <w:szCs w:val="22"/>
        </w:rPr>
        <w:t xml:space="preserve">This Policy authorizes two tightly limited forms of aid:</w:t>
      </w:r>
    </w:p>
    <w:p>
      <w:pPr>
        <w:pStyle w:val="ListParagraph"/>
        <w:numPr>
          <w:ilvl w:val="0"/>
          <w:numId w:val="2"/>
        </w:numPr>
        <w:spacing w:after="80" w:line="276"/>
      </w:pPr>
      <w:r>
        <w:rPr>
          <w:rFonts w:ascii="Arial" w:cs="Arial" w:eastAsia="Arial" w:hAnsi="Arial"/>
          <w:color w:val="222222"/>
          <w:sz w:val="22"/>
          <w:szCs w:val="22"/>
        </w:rPr>
        <w:t xml:space="preserve">Track A — Restricted grants to eligible partner organizations (preferred).</w:t>
      </w:r>
    </w:p>
    <w:p>
      <w:pPr>
        <w:pStyle w:val="ListParagraph"/>
        <w:numPr>
          <w:ilvl w:val="0"/>
          <w:numId w:val="2"/>
        </w:numPr>
        <w:spacing w:after="80" w:line="276"/>
      </w:pPr>
      <w:r>
        <w:rPr>
          <w:rFonts w:ascii="Arial" w:cs="Arial" w:eastAsia="Arial" w:hAnsi="Arial"/>
          <w:color w:val="222222"/>
          <w:sz w:val="22"/>
          <w:szCs w:val="22"/>
        </w:rPr>
        <w:t xml:space="preserve">Track B — Direct reimbursement of documented, necessary emergency expenses to eligible individuals who are part of an open charitable class and who demonstrate objective need.</w:t>
      </w:r>
    </w:p>
    <w:p>
      <w:pPr>
        <w:spacing w:after="160" w:before="0" w:line="276"/>
        <w:jc w:val="left"/>
      </w:pPr>
      <w:r>
        <w:rPr>
          <w:rFonts w:ascii="Arial" w:cs="Arial" w:eastAsia="Arial" w:hAnsi="Arial"/>
          <w:b w:val="false"/>
          <w:bCs w:val="false"/>
          <w:i w:val="false"/>
          <w:iCs w:val="false"/>
          <w:color w:val="222222"/>
          <w:sz w:val="22"/>
          <w:szCs w:val="22"/>
        </w:rPr>
        <w:t xml:space="preserve">The Organization does not operate a general cash-gift program, payroll substitute, bonus plan, or employee benefit plan. Cash may be used only as reimbursement or as a restricted grant after a written needs determination.</w:t>
      </w:r>
    </w:p>
    <w:p>
      <w:pPr>
        <w:pStyle w:val="Heading1"/>
        <w:pBdr>
          <w:bottom w:val="single" w:color="C4A35A" w:sz="12" w:space="4"/>
        </w:pBdr>
        <w:spacing w:after="160" w:before="360"/>
      </w:pPr>
      <w:r>
        <w:rPr>
          <w:rFonts w:ascii="Arial" w:cs="Arial" w:eastAsia="Arial" w:hAnsi="Arial"/>
          <w:b/>
          <w:bCs/>
          <w:color w:val="1B365D"/>
          <w:sz w:val="28"/>
          <w:szCs w:val="28"/>
        </w:rPr>
        <w:t xml:space="preserve">2. Legal Framework (Non-Negotiable)</w:t>
      </w:r>
    </w:p>
    <w:p>
      <w:pPr>
        <w:pStyle w:val="Heading2"/>
        <w:spacing w:after="120" w:before="280"/>
      </w:pPr>
      <w:r>
        <w:rPr>
          <w:rFonts w:ascii="Arial" w:cs="Arial" w:eastAsia="Arial" w:hAnsi="Arial"/>
          <w:b/>
          <w:bCs/>
          <w:color w:val="1B365D"/>
          <w:sz w:val="24"/>
          <w:szCs w:val="24"/>
        </w:rPr>
        <w:t xml:space="preserve">2.1 Federal tax-exempt operation</w:t>
      </w:r>
    </w:p>
    <w:p>
      <w:pPr>
        <w:pStyle w:val="ListParagraph"/>
        <w:numPr>
          <w:ilvl w:val="0"/>
          <w:numId w:val="3"/>
        </w:numPr>
        <w:spacing w:after="80" w:line="276"/>
      </w:pPr>
      <w:r>
        <w:rPr>
          <w:rFonts w:ascii="Arial" w:cs="Arial" w:eastAsia="Arial" w:hAnsi="Arial"/>
          <w:color w:val="222222"/>
          <w:sz w:val="22"/>
          <w:szCs w:val="22"/>
        </w:rPr>
        <w:t xml:space="preserve">The Organization is organized and operated exclusively for charitable and educational purposes under I.R.C. § 501(c)(3) and Treas. Reg. § 1.501(c)(3)-1.</w:t>
      </w:r>
    </w:p>
    <w:p>
      <w:pPr>
        <w:pStyle w:val="ListParagraph"/>
        <w:numPr>
          <w:ilvl w:val="0"/>
          <w:numId w:val="3"/>
        </w:numPr>
        <w:spacing w:after="80" w:line="276"/>
      </w:pPr>
      <w:r>
        <w:rPr>
          <w:rFonts w:ascii="Arial" w:cs="Arial" w:eastAsia="Arial" w:hAnsi="Arial"/>
          <w:color w:val="222222"/>
          <w:sz w:val="22"/>
          <w:szCs w:val="22"/>
        </w:rPr>
        <w:t xml:space="preserve">No part of net earnings may inure to the benefit of any private shareholder or individual. Treas. Reg. § 1.501(c)(3)-1(c)(2).</w:t>
      </w:r>
    </w:p>
    <w:p>
      <w:pPr>
        <w:pStyle w:val="ListParagraph"/>
        <w:numPr>
          <w:ilvl w:val="0"/>
          <w:numId w:val="3"/>
        </w:numPr>
        <w:spacing w:after="80" w:line="276"/>
      </w:pPr>
      <w:r>
        <w:rPr>
          <w:rFonts w:ascii="Arial" w:cs="Arial" w:eastAsia="Arial" w:hAnsi="Arial"/>
          <w:color w:val="222222"/>
          <w:sz w:val="22"/>
          <w:szCs w:val="22"/>
        </w:rPr>
        <w:t xml:space="preserve">The Organization must serve a public rather than a private interest and must not be operated to benefit designated individuals, founders, directors, officers, substantial contributors, or persons they control. Treas. Reg. § 1.501(c)(3)-1(d)(1)(ii).</w:t>
      </w:r>
    </w:p>
    <w:p>
      <w:pPr>
        <w:pStyle w:val="ListParagraph"/>
        <w:numPr>
          <w:ilvl w:val="0"/>
          <w:numId w:val="3"/>
        </w:numPr>
        <w:spacing w:after="80" w:line="276"/>
      </w:pPr>
      <w:r>
        <w:rPr>
          <w:rFonts w:ascii="Arial" w:cs="Arial" w:eastAsia="Arial" w:hAnsi="Arial"/>
          <w:color w:val="222222"/>
          <w:sz w:val="22"/>
          <w:szCs w:val="22"/>
        </w:rPr>
        <w:t xml:space="preserve">Awards that confer more than incidental private benefit, or that function as compensation for services, jeopardize exemption and may trigger intermediate sanctions under I.R.C. § 4958 (excess benefit transactions) against disqualified persons and organization managers who knowingly participate.</w:t>
      </w:r>
    </w:p>
    <w:p>
      <w:pPr>
        <w:pStyle w:val="Heading2"/>
        <w:spacing w:after="120" w:before="280"/>
      </w:pPr>
      <w:r>
        <w:rPr>
          <w:rFonts w:ascii="Arial" w:cs="Arial" w:eastAsia="Arial" w:hAnsi="Arial"/>
          <w:b/>
          <w:bCs/>
          <w:color w:val="1B365D"/>
          <w:sz w:val="24"/>
          <w:szCs w:val="24"/>
        </w:rPr>
        <w:t xml:space="preserve">2.2 Charitable class and need (IRS Pub. 3833)</w:t>
      </w:r>
    </w:p>
    <w:p>
      <w:pPr>
        <w:spacing w:after="160" w:before="0" w:line="276"/>
        <w:jc w:val="left"/>
      </w:pPr>
      <w:r>
        <w:rPr>
          <w:rFonts w:ascii="Arial" w:cs="Arial" w:eastAsia="Arial" w:hAnsi="Arial"/>
          <w:b w:val="false"/>
          <w:bCs w:val="false"/>
          <w:i w:val="false"/>
          <w:iCs w:val="false"/>
          <w:color w:val="222222"/>
          <w:sz w:val="22"/>
          <w:szCs w:val="22"/>
        </w:rPr>
        <w:t xml:space="preserve">Consistent with IRS Publication 3833, Disaster Relief: Providing Assistance Through Charitable Organizations, any aid to individuals must:</w:t>
      </w:r>
    </w:p>
    <w:p>
      <w:pPr>
        <w:pStyle w:val="ListParagraph"/>
        <w:numPr>
          <w:ilvl w:val="0"/>
          <w:numId w:val="3"/>
        </w:numPr>
        <w:spacing w:after="80" w:line="276"/>
      </w:pPr>
      <w:r>
        <w:rPr>
          <w:rFonts w:ascii="Arial" w:cs="Arial" w:eastAsia="Arial" w:hAnsi="Arial"/>
          <w:color w:val="222222"/>
          <w:sz w:val="22"/>
          <w:szCs w:val="22"/>
        </w:rPr>
        <w:t xml:space="preserve">Benefit a charitable class that is large or indefinite — not a closed list of named people;</w:t>
      </w:r>
    </w:p>
    <w:p>
      <w:pPr>
        <w:pStyle w:val="ListParagraph"/>
        <w:numPr>
          <w:ilvl w:val="0"/>
          <w:numId w:val="3"/>
        </w:numPr>
        <w:spacing w:after="80" w:line="276"/>
      </w:pPr>
      <w:r>
        <w:rPr>
          <w:rFonts w:ascii="Arial" w:cs="Arial" w:eastAsia="Arial" w:hAnsi="Arial"/>
          <w:color w:val="222222"/>
          <w:sz w:val="22"/>
          <w:szCs w:val="22"/>
        </w:rPr>
        <w:t xml:space="preserve">Be based on an objective determination that the recipient is needy or distressed and lacks resources to cover basic necessities; and</w:t>
      </w:r>
    </w:p>
    <w:p>
      <w:pPr>
        <w:pStyle w:val="ListParagraph"/>
        <w:numPr>
          <w:ilvl w:val="0"/>
          <w:numId w:val="3"/>
        </w:numPr>
        <w:spacing w:after="80" w:line="276"/>
      </w:pPr>
      <w:r>
        <w:rPr>
          <w:rFonts w:ascii="Arial" w:cs="Arial" w:eastAsia="Arial" w:hAnsi="Arial"/>
          <w:color w:val="222222"/>
          <w:sz w:val="22"/>
          <w:szCs w:val="22"/>
        </w:rPr>
        <w:t xml:space="preserve">Be selected by an independent review process so that any benefit to a partner employer is incidental and tenuous.</w:t>
      </w:r>
    </w:p>
    <w:p>
      <w:pPr>
        <w:spacing w:after="160" w:before="0" w:line="276"/>
        <w:jc w:val="left"/>
      </w:pPr>
      <w:r>
        <w:rPr>
          <w:rFonts w:ascii="Arial" w:cs="Arial" w:eastAsia="Arial" w:hAnsi="Arial"/>
          <w:b w:val="false"/>
          <w:bCs w:val="false"/>
          <w:i w:val="false"/>
          <w:iCs w:val="false"/>
          <w:color w:val="222222"/>
          <w:sz w:val="22"/>
          <w:szCs w:val="22"/>
        </w:rPr>
        <w:t xml:space="preserve">Surviving a hardship event is not automatic entitlement. Maintaining a person’s prior standard of living is not a charitable purpose. Aid is limited to reasonable and necessary basic needs not otherwise covered by insurance, employer benefits, government programs, or other reimbursement.</w:t>
      </w:r>
    </w:p>
    <w:p>
      <w:pPr>
        <w:pStyle w:val="Heading2"/>
        <w:spacing w:after="120" w:before="280"/>
      </w:pPr>
      <w:r>
        <w:rPr>
          <w:rFonts w:ascii="Arial" w:cs="Arial" w:eastAsia="Arial" w:hAnsi="Arial"/>
          <w:b/>
          <w:bCs/>
          <w:color w:val="1B365D"/>
          <w:sz w:val="24"/>
          <w:szCs w:val="24"/>
        </w:rPr>
        <w:t xml:space="preserve">2.3 Qualified disaster payments (I.R.C. § 139)</w:t>
      </w:r>
    </w:p>
    <w:p>
      <w:pPr>
        <w:spacing w:after="160" w:before="0" w:line="276"/>
        <w:jc w:val="left"/>
      </w:pPr>
      <w:r>
        <w:rPr>
          <w:rFonts w:ascii="Arial" w:cs="Arial" w:eastAsia="Arial" w:hAnsi="Arial"/>
          <w:b w:val="false"/>
          <w:bCs w:val="false"/>
          <w:i w:val="false"/>
          <w:iCs w:val="false"/>
          <w:color w:val="222222"/>
          <w:sz w:val="22"/>
          <w:szCs w:val="22"/>
        </w:rPr>
        <w:t xml:space="preserve">Amounts that meet the definition of “qualified disaster relief payments” under I.R.C. § 139 (reasonable and necessary personal, family, living, or funeral expenses incurred as a result of a federally declared or other Code-defined qualified disaster, and not compensated by insurance or otherwise) may be excluded from the recipient’s gross income. Ordinary personal hardship that is not a qualified disaster is generally taxable to the individual. The Organization will issue Form 1099-MISC or other required information returns when legally required and will not represent that a payment is tax-free unless counsel confirms § 139 or another exclusion applies.</w:t>
      </w:r>
    </w:p>
    <w:p>
      <w:pPr>
        <w:pStyle w:val="Heading2"/>
        <w:spacing w:after="120" w:before="280"/>
      </w:pPr>
      <w:r>
        <w:rPr>
          <w:rFonts w:ascii="Arial" w:cs="Arial" w:eastAsia="Arial" w:hAnsi="Arial"/>
          <w:b/>
          <w:bCs/>
          <w:color w:val="1B365D"/>
          <w:sz w:val="24"/>
          <w:szCs w:val="24"/>
        </w:rPr>
        <w:t xml:space="preserve">2.4 Nevada nonprofit law</w:t>
      </w:r>
    </w:p>
    <w:p>
      <w:pPr>
        <w:pStyle w:val="ListParagraph"/>
        <w:numPr>
          <w:ilvl w:val="0"/>
          <w:numId w:val="3"/>
        </w:numPr>
        <w:spacing w:after="80" w:line="276"/>
      </w:pPr>
      <w:r>
        <w:rPr>
          <w:rFonts w:ascii="Arial" w:cs="Arial" w:eastAsia="Arial" w:hAnsi="Arial"/>
          <w:color w:val="222222"/>
          <w:sz w:val="22"/>
          <w:szCs w:val="22"/>
        </w:rPr>
        <w:t xml:space="preserve">NRS Chapter 82 governs Nevada nonprofit corporations, including the duty that assets be used for stated nonprofit purposes and not distributed as dividends or private profit.</w:t>
      </w:r>
    </w:p>
    <w:p>
      <w:pPr>
        <w:pStyle w:val="ListParagraph"/>
        <w:numPr>
          <w:ilvl w:val="0"/>
          <w:numId w:val="3"/>
        </w:numPr>
        <w:spacing w:after="80" w:line="276"/>
      </w:pPr>
      <w:r>
        <w:rPr>
          <w:rFonts w:ascii="Arial" w:cs="Arial" w:eastAsia="Arial" w:hAnsi="Arial"/>
          <w:color w:val="222222"/>
          <w:sz w:val="22"/>
          <w:szCs w:val="22"/>
        </w:rPr>
        <w:t xml:space="preserve">Directors and officers owe duties of care and loyalty. Self-dealing, undisclosed conflicts, and use of corporate assets for personal benefit are prohibited.</w:t>
      </w:r>
    </w:p>
    <w:p>
      <w:pPr>
        <w:pStyle w:val="ListParagraph"/>
        <w:numPr>
          <w:ilvl w:val="0"/>
          <w:numId w:val="3"/>
        </w:numPr>
        <w:spacing w:after="80" w:line="276"/>
      </w:pPr>
      <w:r>
        <w:rPr>
          <w:rFonts w:ascii="Arial" w:cs="Arial" w:eastAsia="Arial" w:hAnsi="Arial"/>
          <w:color w:val="222222"/>
          <w:sz w:val="22"/>
          <w:szCs w:val="22"/>
        </w:rPr>
        <w:t xml:space="preserve">If the Organization solicits charitable contributions in Nevada, NRS Chapter 82A registration and reporting obligations apply unless an exemption is properly claimed and documented.</w:t>
      </w:r>
    </w:p>
    <w:p>
      <w:pPr>
        <w:pStyle w:val="ListParagraph"/>
        <w:numPr>
          <w:ilvl w:val="0"/>
          <w:numId w:val="3"/>
        </w:numPr>
        <w:spacing w:after="80" w:line="276"/>
      </w:pPr>
      <w:r>
        <w:rPr>
          <w:rFonts w:ascii="Arial" w:cs="Arial" w:eastAsia="Arial" w:hAnsi="Arial"/>
          <w:color w:val="222222"/>
          <w:sz w:val="22"/>
          <w:szCs w:val="22"/>
        </w:rPr>
        <w:t xml:space="preserve">Aid under this Policy is not wages. It shall not be structured to evade Nevada wage-and-hour, workers’ compensation, or unemployment rules. The Organization is not the employer of partner staff.</w:t>
      </w:r>
    </w:p>
    <w:p>
      <w:pPr>
        <w:pStyle w:val="Heading1"/>
        <w:pBdr>
          <w:bottom w:val="single" w:color="C4A35A" w:sz="12" w:space="4"/>
        </w:pBdr>
        <w:spacing w:after="160" w:before="360"/>
      </w:pPr>
      <w:r>
        <w:rPr>
          <w:rFonts w:ascii="Arial" w:cs="Arial" w:eastAsia="Arial" w:hAnsi="Arial"/>
          <w:b/>
          <w:bCs/>
          <w:color w:val="1B365D"/>
          <w:sz w:val="28"/>
          <w:szCs w:val="28"/>
        </w:rPr>
        <w:t xml:space="preserve">3. Who May Receive Aid</w:t>
      </w:r>
    </w:p>
    <w:p>
      <w:pPr>
        <w:pStyle w:val="Heading2"/>
        <w:spacing w:after="120" w:before="280"/>
      </w:pPr>
      <w:r>
        <w:rPr>
          <w:rFonts w:ascii="Arial" w:cs="Arial" w:eastAsia="Arial" w:hAnsi="Arial"/>
          <w:b/>
          <w:bCs/>
          <w:color w:val="1B365D"/>
          <w:sz w:val="24"/>
          <w:szCs w:val="24"/>
        </w:rPr>
        <w:t xml:space="preserve">3.1 Eligible partner organizations (Track A — preferred)</w:t>
      </w:r>
    </w:p>
    <w:p>
      <w:pPr>
        <w:spacing w:after="160" w:before="0" w:line="276"/>
        <w:jc w:val="left"/>
      </w:pPr>
      <w:r>
        <w:rPr>
          <w:rFonts w:ascii="Arial" w:cs="Arial" w:eastAsia="Arial" w:hAnsi="Arial"/>
          <w:b w:val="false"/>
          <w:bCs w:val="false"/>
          <w:i w:val="false"/>
          <w:iCs w:val="false"/>
          <w:color w:val="222222"/>
          <w:sz w:val="22"/>
          <w:szCs w:val="22"/>
        </w:rPr>
        <w:t xml:space="preserve">A partner is eligible only if all of the following are true:</w:t>
      </w:r>
    </w:p>
    <w:p>
      <w:pPr>
        <w:pStyle w:val="ListParagraph"/>
        <w:numPr>
          <w:ilvl w:val="0"/>
          <w:numId w:val="3"/>
        </w:numPr>
        <w:spacing w:after="80" w:line="276"/>
      </w:pPr>
      <w:r>
        <w:rPr>
          <w:rFonts w:ascii="Arial" w:cs="Arial" w:eastAsia="Arial" w:hAnsi="Arial"/>
          <w:color w:val="222222"/>
          <w:sz w:val="22"/>
          <w:szCs w:val="22"/>
        </w:rPr>
        <w:t xml:space="preserve">It is a current written placement, host, or program partner of the Organization;</w:t>
      </w:r>
    </w:p>
    <w:p>
      <w:pPr>
        <w:pStyle w:val="ListParagraph"/>
        <w:numPr>
          <w:ilvl w:val="0"/>
          <w:numId w:val="3"/>
        </w:numPr>
        <w:spacing w:after="80" w:line="276"/>
      </w:pPr>
      <w:r>
        <w:rPr>
          <w:rFonts w:ascii="Arial" w:cs="Arial" w:eastAsia="Arial" w:hAnsi="Arial"/>
          <w:color w:val="222222"/>
          <w:sz w:val="22"/>
          <w:szCs w:val="22"/>
        </w:rPr>
        <w:t xml:space="preserve">It is a U.S. organization described in I.R.C. § 501(c)(3) and § 170(b)(1)(A), a Nevada or local governmental unit, or a public school / youth-serving instrumentality, documented by a current IRS determination letter or equivalent public-charity evidence;</w:t>
      </w:r>
    </w:p>
    <w:p>
      <w:pPr>
        <w:pStyle w:val="ListParagraph"/>
        <w:numPr>
          <w:ilvl w:val="0"/>
          <w:numId w:val="3"/>
        </w:numPr>
        <w:spacing w:after="80" w:line="276"/>
      </w:pPr>
      <w:r>
        <w:rPr>
          <w:rFonts w:ascii="Arial" w:cs="Arial" w:eastAsia="Arial" w:hAnsi="Arial"/>
          <w:color w:val="222222"/>
          <w:sz w:val="22"/>
          <w:szCs w:val="22"/>
        </w:rPr>
        <w:t xml:space="preserve">The requested funds will be used solely to continue youth-serving operations or to relieve documented emergency expenses of the partner’s charitable program; and</w:t>
      </w:r>
    </w:p>
    <w:p>
      <w:pPr>
        <w:pStyle w:val="ListParagraph"/>
        <w:numPr>
          <w:ilvl w:val="0"/>
          <w:numId w:val="3"/>
        </w:numPr>
        <w:spacing w:after="80" w:line="276"/>
      </w:pPr>
      <w:r>
        <w:rPr>
          <w:rFonts w:ascii="Arial" w:cs="Arial" w:eastAsia="Arial" w:hAnsi="Arial"/>
          <w:color w:val="222222"/>
          <w:sz w:val="22"/>
          <w:szCs w:val="22"/>
        </w:rPr>
        <w:t xml:space="preserve">The partner executes a Restricted Grant Agreement before funds are released.</w:t>
      </w:r>
    </w:p>
    <w:p>
      <w:pPr>
        <w:spacing w:after="160" w:before="0" w:line="276"/>
        <w:jc w:val="left"/>
      </w:pPr>
      <w:r>
        <w:rPr>
          <w:rFonts w:ascii="Arial" w:cs="Arial" w:eastAsia="Arial" w:hAnsi="Arial"/>
          <w:b w:val="false"/>
          <w:bCs w:val="false"/>
          <w:i w:val="false"/>
          <w:iCs w:val="false"/>
          <w:color w:val="222222"/>
          <w:sz w:val="22"/>
          <w:szCs w:val="22"/>
        </w:rPr>
        <w:t xml:space="preserve">For-profit hosts, bars, casinos, and unaffiliated private businesses are not eligible grantees. A for-profit location that hosts a machine is not, by that fact, a charitable class.</w:t>
      </w:r>
    </w:p>
    <w:p>
      <w:pPr>
        <w:pStyle w:val="Heading2"/>
        <w:spacing w:after="120" w:before="280"/>
      </w:pPr>
      <w:r>
        <w:rPr>
          <w:rFonts w:ascii="Arial" w:cs="Arial" w:eastAsia="Arial" w:hAnsi="Arial"/>
          <w:b/>
          <w:bCs/>
          <w:color w:val="1B365D"/>
          <w:sz w:val="24"/>
          <w:szCs w:val="24"/>
        </w:rPr>
        <w:t xml:space="preserve">3.2 Eligible individuals (Track B — exception only)</w:t>
      </w:r>
    </w:p>
    <w:p>
      <w:pPr>
        <w:spacing w:after="160" w:before="0" w:line="276"/>
        <w:jc w:val="left"/>
      </w:pPr>
      <w:r>
        <w:rPr>
          <w:rFonts w:ascii="Arial" w:cs="Arial" w:eastAsia="Arial" w:hAnsi="Arial"/>
          <w:b w:val="false"/>
          <w:bCs w:val="false"/>
          <w:i w:val="false"/>
          <w:iCs w:val="false"/>
          <w:color w:val="222222"/>
          <w:sz w:val="22"/>
          <w:szCs w:val="22"/>
        </w:rPr>
        <w:t xml:space="preserve">An individual may be considered only if every condition is met:</w:t>
      </w:r>
    </w:p>
    <w:p>
      <w:pPr>
        <w:pStyle w:val="ListParagraph"/>
        <w:numPr>
          <w:ilvl w:val="0"/>
          <w:numId w:val="3"/>
        </w:numPr>
        <w:spacing w:after="80" w:line="276"/>
      </w:pPr>
      <w:r>
        <w:rPr>
          <w:rFonts w:ascii="Arial" w:cs="Arial" w:eastAsia="Arial" w:hAnsi="Arial"/>
          <w:color w:val="222222"/>
          <w:sz w:val="22"/>
          <w:szCs w:val="22"/>
        </w:rPr>
        <w:t xml:space="preserve">The person is a current W-2 employee, documented contractor primarily serving youth programming, or bona fide volunteer of an eligible Track A partner, or of the Organization itself;</w:t>
      </w:r>
    </w:p>
    <w:p>
      <w:pPr>
        <w:pStyle w:val="ListParagraph"/>
        <w:numPr>
          <w:ilvl w:val="0"/>
          <w:numId w:val="3"/>
        </w:numPr>
        <w:spacing w:after="80" w:line="276"/>
      </w:pPr>
      <w:r>
        <w:rPr>
          <w:rFonts w:ascii="Arial" w:cs="Arial" w:eastAsia="Arial" w:hAnsi="Arial"/>
          <w:color w:val="222222"/>
          <w:sz w:val="22"/>
          <w:szCs w:val="22"/>
        </w:rPr>
        <w:t xml:space="preserve">The person (and household) is experiencing an unforeseeable emergency that threatens basic necessities: housing, utilities necessary for health and safety, essential transportation to work or medical care, food, emergency medical / funeral costs, or disaster-caused displacement;</w:t>
      </w:r>
    </w:p>
    <w:p>
      <w:pPr>
        <w:pStyle w:val="ListParagraph"/>
        <w:numPr>
          <w:ilvl w:val="0"/>
          <w:numId w:val="3"/>
        </w:numPr>
        <w:spacing w:after="80" w:line="276"/>
      </w:pPr>
      <w:r>
        <w:rPr>
          <w:rFonts w:ascii="Arial" w:cs="Arial" w:eastAsia="Arial" w:hAnsi="Arial"/>
          <w:color w:val="222222"/>
          <w:sz w:val="22"/>
          <w:szCs w:val="22"/>
        </w:rPr>
        <w:t xml:space="preserve">The person is not a Disqualified Person of the Organization (see § 8);</w:t>
      </w:r>
    </w:p>
    <w:p>
      <w:pPr>
        <w:pStyle w:val="ListParagraph"/>
        <w:numPr>
          <w:ilvl w:val="0"/>
          <w:numId w:val="3"/>
        </w:numPr>
        <w:spacing w:after="80" w:line="276"/>
      </w:pPr>
      <w:r>
        <w:rPr>
          <w:rFonts w:ascii="Arial" w:cs="Arial" w:eastAsia="Arial" w:hAnsi="Arial"/>
          <w:color w:val="222222"/>
          <w:sz w:val="22"/>
          <w:szCs w:val="22"/>
        </w:rPr>
        <w:t xml:space="preserve">The person submits a complete application with third-party documentation of both the hardship and the expense; and</w:t>
      </w:r>
    </w:p>
    <w:p>
      <w:pPr>
        <w:pStyle w:val="ListParagraph"/>
        <w:numPr>
          <w:ilvl w:val="0"/>
          <w:numId w:val="3"/>
        </w:numPr>
        <w:spacing w:after="80" w:line="276"/>
      </w:pPr>
      <w:r>
        <w:rPr>
          <w:rFonts w:ascii="Arial" w:cs="Arial" w:eastAsia="Arial" w:hAnsi="Arial"/>
          <w:color w:val="222222"/>
          <w:sz w:val="22"/>
          <w:szCs w:val="22"/>
        </w:rPr>
        <w:t xml:space="preserve">An independent Review Committee finds objective need under § 5.</w:t>
      </w:r>
    </w:p>
    <w:p>
      <w:pPr>
        <w:spacing w:after="160" w:before="0" w:line="276"/>
        <w:jc w:val="left"/>
      </w:pPr>
      <w:r>
        <w:rPr>
          <w:rFonts w:ascii="Arial" w:cs="Arial" w:eastAsia="Arial" w:hAnsi="Arial"/>
          <w:b w:val="false"/>
          <w:bCs w:val="false"/>
          <w:i w:val="false"/>
          <w:iCs w:val="false"/>
          <w:color w:val="222222"/>
          <w:sz w:val="22"/>
          <w:szCs w:val="22"/>
        </w:rPr>
        <w:t xml:space="preserve">The eligible class is open-ended: present and future partner personnel who experience qualifying hardship. It is not a list of named beneficiaries written into this Policy.</w:t>
      </w:r>
    </w:p>
    <w:p>
      <w:pPr>
        <w:pStyle w:val="Heading2"/>
        <w:spacing w:after="120" w:before="280"/>
      </w:pPr>
      <w:r>
        <w:rPr>
          <w:rFonts w:ascii="Arial" w:cs="Arial" w:eastAsia="Arial" w:hAnsi="Arial"/>
          <w:b/>
          <w:bCs/>
          <w:color w:val="1B365D"/>
          <w:sz w:val="24"/>
          <w:szCs w:val="24"/>
        </w:rPr>
        <w:t xml:space="preserve">3.3 Ineligible persons and uses</w:t>
      </w:r>
    </w:p>
    <w:p>
      <w:pPr>
        <w:pStyle w:val="ListParagraph"/>
        <w:numPr>
          <w:ilvl w:val="0"/>
          <w:numId w:val="3"/>
        </w:numPr>
        <w:spacing w:after="80" w:line="276"/>
      </w:pPr>
      <w:r>
        <w:rPr>
          <w:rFonts w:ascii="Arial" w:cs="Arial" w:eastAsia="Arial" w:hAnsi="Arial"/>
          <w:color w:val="222222"/>
          <w:sz w:val="22"/>
          <w:szCs w:val="22"/>
        </w:rPr>
        <w:t xml:space="preserve">Directors, officers, founders, key employees of the Organization, substantial contributors, members of the Review Committee, and their spouses, ancestors, children, grandchildren, great-grandchildren, and spouses of those descendants (I.R.C. § 4958 / § 4946 analogues).</w:t>
      </w:r>
    </w:p>
    <w:p>
      <w:pPr>
        <w:pStyle w:val="ListParagraph"/>
        <w:numPr>
          <w:ilvl w:val="0"/>
          <w:numId w:val="3"/>
        </w:numPr>
        <w:spacing w:after="80" w:line="276"/>
      </w:pPr>
      <w:r>
        <w:rPr>
          <w:rFonts w:ascii="Arial" w:cs="Arial" w:eastAsia="Arial" w:hAnsi="Arial"/>
          <w:color w:val="222222"/>
          <w:sz w:val="22"/>
          <w:szCs w:val="22"/>
        </w:rPr>
        <w:t xml:space="preserve">Anyone who can approve their own award.</w:t>
      </w:r>
    </w:p>
    <w:p>
      <w:pPr>
        <w:pStyle w:val="ListParagraph"/>
        <w:numPr>
          <w:ilvl w:val="0"/>
          <w:numId w:val="3"/>
        </w:numPr>
        <w:spacing w:after="80" w:line="276"/>
      </w:pPr>
      <w:r>
        <w:rPr>
          <w:rFonts w:ascii="Arial" w:cs="Arial" w:eastAsia="Arial" w:hAnsi="Arial"/>
          <w:color w:val="222222"/>
          <w:sz w:val="22"/>
          <w:szCs w:val="22"/>
        </w:rPr>
        <w:t xml:space="preserve">Lifestyle maintenance, credit-card payoff unrelated to the emergency, vacation, entertainment, gambling losses, legal fines, tax penalties, or luxury goods.</w:t>
      </w:r>
    </w:p>
    <w:p>
      <w:pPr>
        <w:pStyle w:val="ListParagraph"/>
        <w:numPr>
          <w:ilvl w:val="0"/>
          <w:numId w:val="3"/>
        </w:numPr>
        <w:spacing w:after="80" w:line="276"/>
      </w:pPr>
      <w:r>
        <w:rPr>
          <w:rFonts w:ascii="Arial" w:cs="Arial" w:eastAsia="Arial" w:hAnsi="Arial"/>
          <w:color w:val="222222"/>
          <w:sz w:val="22"/>
          <w:szCs w:val="22"/>
        </w:rPr>
        <w:t xml:space="preserve">Wage replacement, bonuses, “thank you” cash, or recurring monthly support that functions as income.</w:t>
      </w:r>
    </w:p>
    <w:p>
      <w:pPr>
        <w:pStyle w:val="ListParagraph"/>
        <w:numPr>
          <w:ilvl w:val="0"/>
          <w:numId w:val="3"/>
        </w:numPr>
        <w:spacing w:after="80" w:line="276"/>
      </w:pPr>
      <w:r>
        <w:rPr>
          <w:rFonts w:ascii="Arial" w:cs="Arial" w:eastAsia="Arial" w:hAnsi="Arial"/>
          <w:color w:val="222222"/>
          <w:sz w:val="22"/>
          <w:szCs w:val="22"/>
        </w:rPr>
        <w:t xml:space="preserve">Expenses already paid by insurance, FEMA, employer EAP, Medicaid, SNAP, or another charity, except the documented uninsured remainder.</w:t>
      </w:r>
    </w:p>
    <w:p>
      <w:pPr>
        <w:pStyle w:val="Heading1"/>
        <w:pBdr>
          <w:bottom w:val="single" w:color="C4A35A" w:sz="12" w:space="4"/>
        </w:pBdr>
        <w:spacing w:after="160" w:before="360"/>
      </w:pPr>
      <w:r>
        <w:rPr>
          <w:rFonts w:ascii="Arial" w:cs="Arial" w:eastAsia="Arial" w:hAnsi="Arial"/>
          <w:b/>
          <w:bCs/>
          <w:color w:val="1B365D"/>
          <w:sz w:val="28"/>
          <w:szCs w:val="28"/>
        </w:rPr>
        <w:t xml:space="preserve">4. What Expenses Qualify</w:t>
      </w:r>
    </w:p>
    <w:p>
      <w:pPr>
        <w:spacing w:after="160" w:before="0" w:line="276"/>
        <w:jc w:val="left"/>
      </w:pPr>
      <w:r>
        <w:rPr>
          <w:rFonts w:ascii="Arial" w:cs="Arial" w:eastAsia="Arial" w:hAnsi="Arial"/>
          <w:b w:val="false"/>
          <w:bCs w:val="false"/>
          <w:i w:val="false"/>
          <w:iCs w:val="false"/>
          <w:color w:val="222222"/>
          <w:sz w:val="22"/>
          <w:szCs w:val="22"/>
        </w:rPr>
        <w:t xml:space="preserve">Aid is reimbursement of documented out-of-pocket costs, or a restricted grant to a partner that will pay those costs on the beneficiary’s behalf. Preferred method: pay the vendor or landlord directly.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C2B2" w:sz="4"/>
              <w:left w:val="single" w:color="C9C2B2" w:sz="4"/>
              <w:bottom w:val="single" w:color="C9C2B2" w:sz="4"/>
              <w:right w:val="single" w:color="C9C2B2"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Category</w:t>
            </w:r>
          </w:p>
        </w:tc>
        <w:tc>
          <w:tcPr>
            <w:tcW w:type="dxa" w:w="6160"/>
            <w:tcBorders>
              <w:top w:val="single" w:color="C9C2B2" w:sz="4"/>
              <w:left w:val="single" w:color="C9C2B2" w:sz="4"/>
              <w:bottom w:val="single" w:color="C9C2B2" w:sz="4"/>
              <w:right w:val="single" w:color="C9C2B2"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Examples (must be necessary and contemporaneous)</w:t>
            </w:r>
          </w:p>
        </w:tc>
      </w:tr>
      <w:tr>
        <w:tc>
          <w:tcPr>
            <w:tcW w:type="dxa" w:w="320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Housing / displacement</w:t>
            </w:r>
          </w:p>
        </w:tc>
        <w:tc>
          <w:tcPr>
            <w:tcW w:type="dxa" w:w="616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Past-due rent or mortgage on a primary residence to stop eviction or foreclosure; short-term motel after uninhabitability; security deposit only if required to obtain replacement basic housing.</w:t>
            </w:r>
          </w:p>
        </w:tc>
      </w:tr>
      <w:tr>
        <w:tc>
          <w:tcPr>
            <w:tcW w:type="dxa" w:w="320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Utilities / habitability</w:t>
            </w:r>
          </w:p>
        </w:tc>
        <w:tc>
          <w:tcPr>
            <w:tcW w:type="dxa" w:w="616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Electric, gas, water, or essential cooling/heating shutoff notices; emergency repair of a condition that makes the primary home unsafe.</w:t>
            </w:r>
          </w:p>
        </w:tc>
      </w:tr>
      <w:tr>
        <w:tc>
          <w:tcPr>
            <w:tcW w:type="dxa" w:w="320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Transportation</w:t>
            </w:r>
          </w:p>
        </w:tc>
        <w:tc>
          <w:tcPr>
            <w:tcW w:type="dxa" w:w="616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Repair of a vehicle required to reach work, medical care, or the partner site; bus/ride fare for the same purpose. Not a new vehicle purchase.</w:t>
            </w:r>
          </w:p>
        </w:tc>
      </w:tr>
      <w:tr>
        <w:tc>
          <w:tcPr>
            <w:tcW w:type="dxa" w:w="320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Medical / funeral</w:t>
            </w:r>
          </w:p>
        </w:tc>
        <w:tc>
          <w:tcPr>
            <w:tcW w:type="dxa" w:w="616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Uninsured emergency medical, dental trauma, prescription, or funeral/burial costs for the applicant or an immediate household member.</w:t>
            </w:r>
          </w:p>
        </w:tc>
      </w:tr>
      <w:tr>
        <w:tc>
          <w:tcPr>
            <w:tcW w:type="dxa" w:w="320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Disaster / crime</w:t>
            </w:r>
          </w:p>
        </w:tc>
        <w:tc>
          <w:tcPr>
            <w:tcW w:type="dxa" w:w="616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Loss of essential clothing, bedding, or food after fire, flood, declared disaster, or documented violent crime.</w:t>
            </w:r>
          </w:p>
        </w:tc>
      </w:tr>
      <w:tr>
        <w:tc>
          <w:tcPr>
            <w:tcW w:type="dxa" w:w="3200"/>
            <w:tcBorders>
              <w:top w:val="single" w:color="C9C2B2" w:sz="4"/>
              <w:left w:val="single" w:color="C9C2B2" w:sz="4"/>
              <w:bottom w:val="single" w:color="C9C2B2" w:sz="4"/>
              <w:right w:val="single" w:color="C9C2B2" w:sz="4"/>
            </w:tcBorders>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Partner operations (Track A only)</w:t>
            </w:r>
          </w:p>
        </w:tc>
        <w:tc>
          <w:tcPr>
            <w:tcW w:type="dxa" w:w="616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Emergency repair or relocation cost that keeps a youth site open; temporary coverage of a documented program cost that would otherwise cancel youth services.</w:t>
            </w:r>
          </w:p>
        </w:tc>
      </w:tr>
    </w:tbl>
    <w:p>
      <w:pPr>
        <w:spacing w:after="160" w:before="200" w:line="276"/>
        <w:jc w:val="left"/>
      </w:pPr>
      <w:r>
        <w:rPr>
          <w:rFonts w:ascii="Arial" w:cs="Arial" w:eastAsia="Arial" w:hAnsi="Arial"/>
          <w:b/>
          <w:bCs/>
          <w:i w:val="false"/>
          <w:iCs w:val="false"/>
          <w:color w:val="222222"/>
          <w:sz w:val="22"/>
          <w:szCs w:val="22"/>
        </w:rPr>
        <w:t xml:space="preserve">Caps (unless the Board adopts a written exception for a declared disaster):</w:t>
      </w:r>
    </w:p>
    <w:p>
      <w:pPr>
        <w:pStyle w:val="ListParagraph"/>
        <w:numPr>
          <w:ilvl w:val="0"/>
          <w:numId w:val="3"/>
        </w:numPr>
        <w:spacing w:after="80" w:line="276"/>
      </w:pPr>
      <w:r>
        <w:rPr>
          <w:rFonts w:ascii="Arial" w:cs="Arial" w:eastAsia="Arial" w:hAnsi="Arial"/>
          <w:color w:val="222222"/>
          <w:sz w:val="22"/>
          <w:szCs w:val="22"/>
        </w:rPr>
        <w:t xml:space="preserve">Track B individual award: the lesser of documented unreimbursed cost or $1,500 per person per rolling 12 months.</w:t>
      </w:r>
    </w:p>
    <w:p>
      <w:pPr>
        <w:pStyle w:val="ListParagraph"/>
        <w:numPr>
          <w:ilvl w:val="0"/>
          <w:numId w:val="3"/>
        </w:numPr>
        <w:spacing w:after="80" w:line="276"/>
      </w:pPr>
      <w:r>
        <w:rPr>
          <w:rFonts w:ascii="Arial" w:cs="Arial" w:eastAsia="Arial" w:hAnsi="Arial"/>
          <w:color w:val="222222"/>
          <w:sz w:val="22"/>
          <w:szCs w:val="22"/>
        </w:rPr>
        <w:t xml:space="preserve">Track A partner grant: the lesser of documented need or $2,000 per partner per rolling 12 months.</w:t>
      </w:r>
    </w:p>
    <w:p>
      <w:pPr>
        <w:pStyle w:val="ListParagraph"/>
        <w:numPr>
          <w:ilvl w:val="0"/>
          <w:numId w:val="3"/>
        </w:numPr>
        <w:spacing w:after="80" w:line="276"/>
      </w:pPr>
      <w:r>
        <w:rPr>
          <w:rFonts w:ascii="Arial" w:cs="Arial" w:eastAsia="Arial" w:hAnsi="Arial"/>
          <w:color w:val="222222"/>
          <w:sz w:val="22"/>
          <w:szCs w:val="22"/>
        </w:rPr>
        <w:t xml:space="preserve">Aggregate program spend in any fiscal year shall not exceed the amount the Board appropriates in the annual budget or a specific Board resolution. No award may be made from restricted gifts whose donor purpose excludes hardship aid.</w:t>
      </w:r>
    </w:p>
    <w:p>
      <w:pPr>
        <w:spacing w:after="160" w:before="0" w:line="276"/>
        <w:jc w:val="left"/>
      </w:pPr>
      <w:r>
        <w:rPr>
          <w:rFonts w:ascii="Arial" w:cs="Arial" w:eastAsia="Arial" w:hAnsi="Arial"/>
          <w:b w:val="false"/>
          <w:bCs w:val="false"/>
          <w:i w:val="false"/>
          <w:iCs w:val="false"/>
          <w:color w:val="222222"/>
          <w:sz w:val="22"/>
          <w:szCs w:val="22"/>
        </w:rPr>
        <w:t xml:space="preserve">Awards are one-time or short-term. Recurring support requires a new application, a new needs finding, and a showing that the situation remains an emergency rather than chronic underfunding.</w:t>
      </w:r>
    </w:p>
    <w:p>
      <w:pPr>
        <w:pStyle w:val="Heading1"/>
        <w:pBdr>
          <w:bottom w:val="single" w:color="C4A35A" w:sz="12" w:space="4"/>
        </w:pBdr>
        <w:spacing w:after="160" w:before="360"/>
      </w:pPr>
      <w:r>
        <w:rPr>
          <w:rFonts w:ascii="Arial" w:cs="Arial" w:eastAsia="Arial" w:hAnsi="Arial"/>
          <w:b/>
          <w:bCs/>
          <w:color w:val="1B365D"/>
          <w:sz w:val="28"/>
          <w:szCs w:val="28"/>
        </w:rPr>
        <w:t xml:space="preserve">5. Review Committee and Process</w:t>
      </w:r>
    </w:p>
    <w:p>
      <w:pPr>
        <w:pStyle w:val="Heading2"/>
        <w:spacing w:after="120" w:before="280"/>
      </w:pPr>
      <w:r>
        <w:rPr>
          <w:rFonts w:ascii="Arial" w:cs="Arial" w:eastAsia="Arial" w:hAnsi="Arial"/>
          <w:b/>
          <w:bCs/>
          <w:color w:val="1B365D"/>
          <w:sz w:val="24"/>
          <w:szCs w:val="24"/>
        </w:rPr>
        <w:t xml:space="preserve">5.1 Committee composition</w:t>
      </w:r>
    </w:p>
    <w:p>
      <w:pPr>
        <w:spacing w:after="160" w:before="0" w:line="276"/>
        <w:jc w:val="left"/>
      </w:pPr>
      <w:r>
        <w:rPr>
          <w:rFonts w:ascii="Arial" w:cs="Arial" w:eastAsia="Arial" w:hAnsi="Arial"/>
          <w:b w:val="false"/>
          <w:bCs w:val="false"/>
          <w:i w:val="false"/>
          <w:iCs w:val="false"/>
          <w:color w:val="222222"/>
          <w:sz w:val="22"/>
          <w:szCs w:val="22"/>
        </w:rPr>
        <w:t xml:space="preserve">A Review Committee of at least three persons shall decide Track B awards and shall recommend Track A awards above $1,000. A majority of sitting members must be persons who do not exercise substantial influence over the partner employer whose staff member is applying, and who are not Disqualified Persons with respect to the applicant. The Treasurer may sit if recused from any matter involving a related party.</w:t>
      </w:r>
    </w:p>
    <w:p>
      <w:pPr>
        <w:spacing w:after="160" w:before="0" w:line="276"/>
        <w:jc w:val="left"/>
      </w:pPr>
      <w:r>
        <w:rPr>
          <w:rFonts w:ascii="Arial" w:cs="Arial" w:eastAsia="Arial" w:hAnsi="Arial"/>
          <w:b w:val="false"/>
          <w:bCs w:val="false"/>
          <w:i w:val="false"/>
          <w:iCs w:val="false"/>
          <w:color w:val="222222"/>
          <w:sz w:val="22"/>
          <w:szCs w:val="22"/>
        </w:rPr>
        <w:t xml:space="preserve">Until the Board names standing members, the President shall appoint an ad hoc committee of three, documented in writing, subject to ratification at the next Board meeting.</w:t>
      </w:r>
    </w:p>
    <w:p>
      <w:pPr>
        <w:pStyle w:val="Heading2"/>
        <w:spacing w:after="120" w:before="280"/>
      </w:pPr>
      <w:r>
        <w:rPr>
          <w:rFonts w:ascii="Arial" w:cs="Arial" w:eastAsia="Arial" w:hAnsi="Arial"/>
          <w:b/>
          <w:bCs/>
          <w:color w:val="1B365D"/>
          <w:sz w:val="24"/>
          <w:szCs w:val="24"/>
        </w:rPr>
        <w:t xml:space="preserve">5.2 Application package (required)</w:t>
      </w:r>
    </w:p>
    <w:p>
      <w:pPr>
        <w:pStyle w:val="ListParagraph"/>
        <w:numPr>
          <w:ilvl w:val="0"/>
          <w:numId w:val="3"/>
        </w:numPr>
        <w:spacing w:after="80" w:line="276"/>
      </w:pPr>
      <w:r>
        <w:rPr>
          <w:rFonts w:ascii="Arial" w:cs="Arial" w:eastAsia="Arial" w:hAnsi="Arial"/>
          <w:color w:val="222222"/>
          <w:sz w:val="22"/>
          <w:szCs w:val="22"/>
        </w:rPr>
        <w:t xml:space="preserve">Completed application (Exhibit A or B).</w:t>
      </w:r>
    </w:p>
    <w:p>
      <w:pPr>
        <w:pStyle w:val="ListParagraph"/>
        <w:numPr>
          <w:ilvl w:val="0"/>
          <w:numId w:val="3"/>
        </w:numPr>
        <w:spacing w:after="80" w:line="276"/>
      </w:pPr>
      <w:r>
        <w:rPr>
          <w:rFonts w:ascii="Arial" w:cs="Arial" w:eastAsia="Arial" w:hAnsi="Arial"/>
          <w:color w:val="222222"/>
          <w:sz w:val="22"/>
          <w:szCs w:val="22"/>
        </w:rPr>
        <w:t xml:space="preserve">Government-issued photo ID (individual) or determination letter and W-9 / equivalent (partner).</w:t>
      </w:r>
    </w:p>
    <w:p>
      <w:pPr>
        <w:pStyle w:val="ListParagraph"/>
        <w:numPr>
          <w:ilvl w:val="0"/>
          <w:numId w:val="3"/>
        </w:numPr>
        <w:spacing w:after="80" w:line="276"/>
      </w:pPr>
      <w:r>
        <w:rPr>
          <w:rFonts w:ascii="Arial" w:cs="Arial" w:eastAsia="Arial" w:hAnsi="Arial"/>
          <w:color w:val="222222"/>
          <w:sz w:val="22"/>
          <w:szCs w:val="22"/>
        </w:rPr>
        <w:t xml:space="preserve">Proof of relationship to an eligible partner (pay stub, volunteer letter on letterhead, or placement agreement).</w:t>
      </w:r>
    </w:p>
    <w:p>
      <w:pPr>
        <w:pStyle w:val="ListParagraph"/>
        <w:numPr>
          <w:ilvl w:val="0"/>
          <w:numId w:val="3"/>
        </w:numPr>
        <w:spacing w:after="80" w:line="276"/>
      </w:pPr>
      <w:r>
        <w:rPr>
          <w:rFonts w:ascii="Arial" w:cs="Arial" w:eastAsia="Arial" w:hAnsi="Arial"/>
          <w:color w:val="222222"/>
          <w:sz w:val="22"/>
          <w:szCs w:val="22"/>
        </w:rPr>
        <w:t xml:space="preserve">Narrative of the emergency, date it arose, and why it was unforeseeable.</w:t>
      </w:r>
    </w:p>
    <w:p>
      <w:pPr>
        <w:pStyle w:val="ListParagraph"/>
        <w:numPr>
          <w:ilvl w:val="0"/>
          <w:numId w:val="3"/>
        </w:numPr>
        <w:spacing w:after="80" w:line="276"/>
      </w:pPr>
      <w:r>
        <w:rPr>
          <w:rFonts w:ascii="Arial" w:cs="Arial" w:eastAsia="Arial" w:hAnsi="Arial"/>
          <w:color w:val="222222"/>
          <w:sz w:val="22"/>
          <w:szCs w:val="22"/>
        </w:rPr>
        <w:t xml:space="preserve">Third-party evidence of the expense: invoice, lease, shutoff notice, estimate on vendor letterhead, police/fire report, death certificate, or insurance denial. Screenshots of texts are not sufficient.</w:t>
      </w:r>
    </w:p>
    <w:p>
      <w:pPr>
        <w:pStyle w:val="ListParagraph"/>
        <w:numPr>
          <w:ilvl w:val="0"/>
          <w:numId w:val="3"/>
        </w:numPr>
        <w:spacing w:after="80" w:line="276"/>
      </w:pPr>
      <w:r>
        <w:rPr>
          <w:rFonts w:ascii="Arial" w:cs="Arial" w:eastAsia="Arial" w:hAnsi="Arial"/>
          <w:color w:val="222222"/>
          <w:sz w:val="22"/>
          <w:szCs w:val="22"/>
        </w:rPr>
        <w:t xml:space="preserve">Proof of payment or amount still owed; bank statement redacting unrelated transactions is acceptable.</w:t>
      </w:r>
    </w:p>
    <w:p>
      <w:pPr>
        <w:pStyle w:val="ListParagraph"/>
        <w:numPr>
          <w:ilvl w:val="0"/>
          <w:numId w:val="3"/>
        </w:numPr>
        <w:spacing w:after="80" w:line="276"/>
      </w:pPr>
      <w:r>
        <w:rPr>
          <w:rFonts w:ascii="Arial" w:cs="Arial" w:eastAsia="Arial" w:hAnsi="Arial"/>
          <w:color w:val="222222"/>
          <w:sz w:val="22"/>
          <w:szCs w:val="22"/>
        </w:rPr>
        <w:t xml:space="preserve">List of other aid applied for (insurance, employer, government, family) and results.</w:t>
      </w:r>
    </w:p>
    <w:p>
      <w:pPr>
        <w:pStyle w:val="ListParagraph"/>
        <w:numPr>
          <w:ilvl w:val="0"/>
          <w:numId w:val="3"/>
        </w:numPr>
        <w:spacing w:after="80" w:line="276"/>
      </w:pPr>
      <w:r>
        <w:rPr>
          <w:rFonts w:ascii="Arial" w:cs="Arial" w:eastAsia="Arial" w:hAnsi="Arial"/>
          <w:color w:val="222222"/>
          <w:sz w:val="22"/>
          <w:szCs w:val="22"/>
        </w:rPr>
        <w:t xml:space="preserve">Signed certifications, including consent to 1099 reporting if applicable and authorization to verify with the partner (without publishing medical details).</w:t>
      </w:r>
    </w:p>
    <w:p>
      <w:pPr>
        <w:pStyle w:val="Heading2"/>
        <w:spacing w:after="120" w:before="280"/>
      </w:pPr>
      <w:r>
        <w:rPr>
          <w:rFonts w:ascii="Arial" w:cs="Arial" w:eastAsia="Arial" w:hAnsi="Arial"/>
          <w:b/>
          <w:bCs/>
          <w:color w:val="1B365D"/>
          <w:sz w:val="24"/>
          <w:szCs w:val="24"/>
        </w:rPr>
        <w:t xml:space="preserve">5.3 Decision standards</w:t>
      </w:r>
    </w:p>
    <w:p>
      <w:pPr>
        <w:spacing w:after="160" w:before="0" w:line="276"/>
        <w:jc w:val="left"/>
      </w:pPr>
      <w:r>
        <w:rPr>
          <w:rFonts w:ascii="Arial" w:cs="Arial" w:eastAsia="Arial" w:hAnsi="Arial"/>
          <w:b w:val="false"/>
          <w:bCs w:val="false"/>
          <w:i w:val="false"/>
          <w:iCs w:val="false"/>
          <w:color w:val="222222"/>
          <w:sz w:val="22"/>
          <w:szCs w:val="22"/>
        </w:rPr>
        <w:t xml:space="preserve">The Committee shall apply written criteria only: (1) eligibility of person or partner; (2) existence of a qualifying emergency; (3) objective need relative to household resources and the specific bill; (4) documentation adequacy; (5) available appropriated funds; (6) absence of conflict. Decisions shall be recorded in minutes stating the amount, purpose, and findings, without unnecessary medical detail in the minute book circulated to the full Board.</w:t>
      </w:r>
    </w:p>
    <w:p>
      <w:pPr>
        <w:spacing w:after="160" w:before="0" w:line="276"/>
        <w:jc w:val="left"/>
      </w:pPr>
      <w:r>
        <w:rPr>
          <w:rFonts w:ascii="Arial" w:cs="Arial" w:eastAsia="Arial" w:hAnsi="Arial"/>
          <w:b w:val="false"/>
          <w:bCs w:val="false"/>
          <w:i w:val="false"/>
          <w:iCs w:val="false"/>
          <w:color w:val="222222"/>
          <w:sz w:val="22"/>
          <w:szCs w:val="22"/>
        </w:rPr>
        <w:t xml:space="preserve">Target turnaround: five business days for complete packages when funds exist. Incomplete packages are denied without prejudice and may be resubmitted.</w:t>
      </w:r>
    </w:p>
    <w:p>
      <w:pPr>
        <w:pStyle w:val="Heading2"/>
        <w:spacing w:after="120" w:before="280"/>
      </w:pPr>
      <w:r>
        <w:rPr>
          <w:rFonts w:ascii="Arial" w:cs="Arial" w:eastAsia="Arial" w:hAnsi="Arial"/>
          <w:b/>
          <w:bCs/>
          <w:color w:val="1B365D"/>
          <w:sz w:val="24"/>
          <w:szCs w:val="24"/>
        </w:rPr>
        <w:t xml:space="preserve">5.4 Disbursement controls</w:t>
      </w:r>
    </w:p>
    <w:p>
      <w:pPr>
        <w:pStyle w:val="ListParagraph"/>
        <w:numPr>
          <w:ilvl w:val="0"/>
          <w:numId w:val="3"/>
        </w:numPr>
        <w:spacing w:after="80" w:line="276"/>
      </w:pPr>
      <w:r>
        <w:rPr>
          <w:rFonts w:ascii="Arial" w:cs="Arial" w:eastAsia="Arial" w:hAnsi="Arial"/>
          <w:color w:val="222222"/>
          <w:sz w:val="22"/>
          <w:szCs w:val="22"/>
        </w:rPr>
        <w:t xml:space="preserve">Two-signature release: Treasurer plus one officer who did not originate the request.</w:t>
      </w:r>
    </w:p>
    <w:p>
      <w:pPr>
        <w:pStyle w:val="ListParagraph"/>
        <w:numPr>
          <w:ilvl w:val="0"/>
          <w:numId w:val="3"/>
        </w:numPr>
        <w:spacing w:after="80" w:line="276"/>
      </w:pPr>
      <w:r>
        <w:rPr>
          <w:rFonts w:ascii="Arial" w:cs="Arial" w:eastAsia="Arial" w:hAnsi="Arial"/>
          <w:color w:val="222222"/>
          <w:sz w:val="22"/>
          <w:szCs w:val="22"/>
        </w:rPr>
        <w:t xml:space="preserve">Preferred payee: landlord, utility, mechanic, clinic, funeral home, or partner organization. Payable-to-applicant checks require Committee minutes explaining why a vendor payment was impossible.</w:t>
      </w:r>
    </w:p>
    <w:p>
      <w:pPr>
        <w:pStyle w:val="ListParagraph"/>
        <w:numPr>
          <w:ilvl w:val="0"/>
          <w:numId w:val="3"/>
        </w:numPr>
        <w:spacing w:after="80" w:line="276"/>
      </w:pPr>
      <w:r>
        <w:rPr>
          <w:rFonts w:ascii="Arial" w:cs="Arial" w:eastAsia="Arial" w:hAnsi="Arial"/>
          <w:color w:val="222222"/>
          <w:sz w:val="22"/>
          <w:szCs w:val="22"/>
        </w:rPr>
        <w:t xml:space="preserve">No cash, prepaid cards, Venmo/Cash App to personal accounts, or crypto, except a documented vendor payment platform used in the ordinary course.</w:t>
      </w:r>
    </w:p>
    <w:p>
      <w:pPr>
        <w:pStyle w:val="ListParagraph"/>
        <w:numPr>
          <w:ilvl w:val="0"/>
          <w:numId w:val="3"/>
        </w:numPr>
        <w:spacing w:after="80" w:line="276"/>
      </w:pPr>
      <w:r>
        <w:rPr>
          <w:rFonts w:ascii="Arial" w:cs="Arial" w:eastAsia="Arial" w:hAnsi="Arial"/>
          <w:color w:val="222222"/>
          <w:sz w:val="22"/>
          <w:szCs w:val="22"/>
        </w:rPr>
        <w:t xml:space="preserve">The Organization shall not wire funds to an account that does not match the payee on the invoice.</w:t>
      </w:r>
    </w:p>
    <w:p>
      <w:pPr>
        <w:pStyle w:val="Heading1"/>
        <w:pBdr>
          <w:bottom w:val="single" w:color="C4A35A" w:sz="12" w:space="4"/>
        </w:pBdr>
        <w:spacing w:after="160" w:before="360"/>
      </w:pPr>
      <w:r>
        <w:rPr>
          <w:rFonts w:ascii="Arial" w:cs="Arial" w:eastAsia="Arial" w:hAnsi="Arial"/>
          <w:b/>
          <w:bCs/>
          <w:color w:val="1B365D"/>
          <w:sz w:val="28"/>
          <w:szCs w:val="28"/>
        </w:rPr>
        <w:t xml:space="preserve">6. Track A — Restricted Partner Grants</w:t>
      </w:r>
    </w:p>
    <w:p>
      <w:pPr>
        <w:spacing w:after="160" w:before="0" w:line="276"/>
        <w:jc w:val="left"/>
      </w:pPr>
      <w:r>
        <w:rPr>
          <w:rFonts w:ascii="Arial" w:cs="Arial" w:eastAsia="Arial" w:hAnsi="Arial"/>
          <w:b w:val="false"/>
          <w:bCs w:val="false"/>
          <w:i w:val="false"/>
          <w:iCs w:val="false"/>
          <w:color w:val="222222"/>
          <w:sz w:val="22"/>
          <w:szCs w:val="22"/>
        </w:rPr>
        <w:t xml:space="preserve">This is the default path when the beneficiary is partner staff. The Organization grants the partner, and the partner may (a) pay the vendor or (b) reimburse the employee under the partner’s own written hardship policy. The grant agreement shall require:</w:t>
      </w:r>
    </w:p>
    <w:p>
      <w:pPr>
        <w:pStyle w:val="ListParagraph"/>
        <w:numPr>
          <w:ilvl w:val="0"/>
          <w:numId w:val="3"/>
        </w:numPr>
        <w:spacing w:after="80" w:line="276"/>
      </w:pPr>
      <w:r>
        <w:rPr>
          <w:rFonts w:ascii="Arial" w:cs="Arial" w:eastAsia="Arial" w:hAnsi="Arial"/>
          <w:color w:val="222222"/>
          <w:sz w:val="22"/>
          <w:szCs w:val="22"/>
        </w:rPr>
        <w:t xml:space="preserve">Funds used solely for the stated emergency purpose within 60 days;</w:t>
      </w:r>
    </w:p>
    <w:p>
      <w:pPr>
        <w:pStyle w:val="ListParagraph"/>
        <w:numPr>
          <w:ilvl w:val="0"/>
          <w:numId w:val="3"/>
        </w:numPr>
        <w:spacing w:after="80" w:line="276"/>
      </w:pPr>
      <w:r>
        <w:rPr>
          <w:rFonts w:ascii="Arial" w:cs="Arial" w:eastAsia="Arial" w:hAnsi="Arial"/>
          <w:color w:val="222222"/>
          <w:sz w:val="22"/>
          <w:szCs w:val="22"/>
        </w:rPr>
        <w:t xml:space="preserve">No use for lobbying, political campaign intervention, or private inurement;</w:t>
      </w:r>
    </w:p>
    <w:p>
      <w:pPr>
        <w:pStyle w:val="ListParagraph"/>
        <w:numPr>
          <w:ilvl w:val="0"/>
          <w:numId w:val="3"/>
        </w:numPr>
        <w:spacing w:after="80" w:line="276"/>
      </w:pPr>
      <w:r>
        <w:rPr>
          <w:rFonts w:ascii="Arial" w:cs="Arial" w:eastAsia="Arial" w:hAnsi="Arial"/>
          <w:color w:val="222222"/>
          <w:sz w:val="22"/>
          <w:szCs w:val="22"/>
        </w:rPr>
        <w:t xml:space="preserve">Return of unused funds;</w:t>
      </w:r>
    </w:p>
    <w:p>
      <w:pPr>
        <w:pStyle w:val="ListParagraph"/>
        <w:numPr>
          <w:ilvl w:val="0"/>
          <w:numId w:val="3"/>
        </w:numPr>
        <w:spacing w:after="80" w:line="276"/>
      </w:pPr>
      <w:r>
        <w:rPr>
          <w:rFonts w:ascii="Arial" w:cs="Arial" w:eastAsia="Arial" w:hAnsi="Arial"/>
          <w:color w:val="222222"/>
          <w:sz w:val="22"/>
          <w:szCs w:val="22"/>
        </w:rPr>
        <w:t xml:space="preserve">A written report and copies of paid receipts within 30 days after expenditure;</w:t>
      </w:r>
    </w:p>
    <w:p>
      <w:pPr>
        <w:pStyle w:val="ListParagraph"/>
        <w:numPr>
          <w:ilvl w:val="0"/>
          <w:numId w:val="3"/>
        </w:numPr>
        <w:spacing w:after="80" w:line="276"/>
      </w:pPr>
      <w:r>
        <w:rPr>
          <w:rFonts w:ascii="Arial" w:cs="Arial" w:eastAsia="Arial" w:hAnsi="Arial"/>
          <w:color w:val="222222"/>
          <w:sz w:val="22"/>
          <w:szCs w:val="22"/>
        </w:rPr>
        <w:t xml:space="preserve">The partner’s representation that the individual was selected using objective need criteria and that any benefit to the partner as employer is incidental;</w:t>
      </w:r>
    </w:p>
    <w:p>
      <w:pPr>
        <w:pStyle w:val="ListParagraph"/>
        <w:numPr>
          <w:ilvl w:val="0"/>
          <w:numId w:val="3"/>
        </w:numPr>
        <w:spacing w:after="80" w:line="276"/>
      </w:pPr>
      <w:r>
        <w:rPr>
          <w:rFonts w:ascii="Arial" w:cs="Arial" w:eastAsia="Arial" w:hAnsi="Arial"/>
          <w:color w:val="222222"/>
          <w:sz w:val="22"/>
          <w:szCs w:val="22"/>
        </w:rPr>
        <w:t xml:space="preserve">Right of the Organization to review books relating to the grant.</w:t>
      </w:r>
    </w:p>
    <w:p>
      <w:pPr>
        <w:spacing w:after="160" w:before="0" w:line="276"/>
        <w:jc w:val="left"/>
      </w:pPr>
      <w:r>
        <w:rPr>
          <w:rFonts w:ascii="Arial" w:cs="Arial" w:eastAsia="Arial" w:hAnsi="Arial"/>
          <w:b w:val="false"/>
          <w:bCs w:val="false"/>
          <w:i w:val="false"/>
          <w:iCs w:val="false"/>
          <w:color w:val="222222"/>
          <w:sz w:val="22"/>
          <w:szCs w:val="22"/>
        </w:rPr>
        <w:t xml:space="preserve">A grant to another public charity for a charitable purpose does not convert the Organization into the employer of the partner’s staff and is the lower-risk structure under private-benefit analysis.</w:t>
      </w:r>
    </w:p>
    <w:p>
      <w:pPr>
        <w:pStyle w:val="Heading1"/>
        <w:pBdr>
          <w:bottom w:val="single" w:color="C4A35A" w:sz="12" w:space="4"/>
        </w:pBdr>
        <w:spacing w:after="160" w:before="360"/>
      </w:pPr>
      <w:r>
        <w:rPr>
          <w:rFonts w:ascii="Arial" w:cs="Arial" w:eastAsia="Arial" w:hAnsi="Arial"/>
          <w:b/>
          <w:bCs/>
          <w:color w:val="1B365D"/>
          <w:sz w:val="28"/>
          <w:szCs w:val="28"/>
        </w:rPr>
        <w:t xml:space="preserve">7. Recordkeeping, Privacy, and Reporting</w:t>
      </w:r>
    </w:p>
    <w:p>
      <w:pPr>
        <w:spacing w:after="160" w:before="0" w:line="276"/>
        <w:jc w:val="left"/>
      </w:pPr>
      <w:r>
        <w:rPr>
          <w:rFonts w:ascii="Arial" w:cs="Arial" w:eastAsia="Arial" w:hAnsi="Arial"/>
          <w:b w:val="false"/>
          <w:bCs w:val="false"/>
          <w:i w:val="false"/>
          <w:iCs w:val="false"/>
          <w:color w:val="222222"/>
          <w:sz w:val="22"/>
          <w:szCs w:val="22"/>
        </w:rPr>
        <w:t xml:space="preserve">For each award the file shall contain, at minimum, the items listed in IRS Publication 3833: a complete description of assistance; cost; purpose; objective selection criteria; how the recipient was chosen; name and address; amount; and any relationship to officers, directors, key employees, or substantial contributors.</w:t>
      </w:r>
    </w:p>
    <w:p>
      <w:pPr>
        <w:pStyle w:val="ListParagraph"/>
        <w:numPr>
          <w:ilvl w:val="0"/>
          <w:numId w:val="3"/>
        </w:numPr>
        <w:spacing w:after="80" w:line="276"/>
      </w:pPr>
      <w:r>
        <w:rPr>
          <w:rFonts w:ascii="Arial" w:cs="Arial" w:eastAsia="Arial" w:hAnsi="Arial"/>
          <w:color w:val="222222"/>
          <w:sz w:val="22"/>
          <w:szCs w:val="22"/>
        </w:rPr>
        <w:t xml:space="preserve">Retain records seven (7) years after the later of the award date or the filing of the Form 990 for that year.</w:t>
      </w:r>
    </w:p>
    <w:p>
      <w:pPr>
        <w:pStyle w:val="ListParagraph"/>
        <w:numPr>
          <w:ilvl w:val="0"/>
          <w:numId w:val="3"/>
        </w:numPr>
        <w:spacing w:after="80" w:line="276"/>
      </w:pPr>
      <w:r>
        <w:rPr>
          <w:rFonts w:ascii="Arial" w:cs="Arial" w:eastAsia="Arial" w:hAnsi="Arial"/>
          <w:color w:val="222222"/>
          <w:sz w:val="22"/>
          <w:szCs w:val="22"/>
        </w:rPr>
        <w:t xml:space="preserve">Report grants on Form 990 Schedule I (organizations) or Schedule I / applicable individual-assistance reporting as required. Do not hide hardship awards inside “program supplies.”</w:t>
      </w:r>
    </w:p>
    <w:p>
      <w:pPr>
        <w:pStyle w:val="ListParagraph"/>
        <w:numPr>
          <w:ilvl w:val="0"/>
          <w:numId w:val="3"/>
        </w:numPr>
        <w:spacing w:after="80" w:line="276"/>
      </w:pPr>
      <w:r>
        <w:rPr>
          <w:rFonts w:ascii="Arial" w:cs="Arial" w:eastAsia="Arial" w:hAnsi="Arial"/>
          <w:color w:val="222222"/>
          <w:sz w:val="22"/>
          <w:szCs w:val="22"/>
        </w:rPr>
        <w:t xml:space="preserve">Protect medical and financial data under a need-to-know rule. Do not publish recipient names on social media, machine plaques, or the public website without separate written consent.</w:t>
      </w:r>
    </w:p>
    <w:p>
      <w:pPr>
        <w:pStyle w:val="ListParagraph"/>
        <w:numPr>
          <w:ilvl w:val="0"/>
          <w:numId w:val="3"/>
        </w:numPr>
        <w:spacing w:after="80" w:line="276"/>
      </w:pPr>
      <w:r>
        <w:rPr>
          <w:rFonts w:ascii="Arial" w:cs="Arial" w:eastAsia="Arial" w:hAnsi="Arial"/>
          <w:color w:val="222222"/>
          <w:sz w:val="22"/>
          <w:szCs w:val="22"/>
        </w:rPr>
        <w:t xml:space="preserve">If a payment is taxable, issue required information returns. Consult the CPA before year-end.</w:t>
      </w:r>
    </w:p>
    <w:p>
      <w:pPr>
        <w:pStyle w:val="Heading1"/>
        <w:pBdr>
          <w:bottom w:val="single" w:color="C4A35A" w:sz="12" w:space="4"/>
        </w:pBdr>
        <w:spacing w:after="160" w:before="360"/>
      </w:pPr>
      <w:r>
        <w:rPr>
          <w:rFonts w:ascii="Arial" w:cs="Arial" w:eastAsia="Arial" w:hAnsi="Arial"/>
          <w:b/>
          <w:bCs/>
          <w:color w:val="1B365D"/>
          <w:sz w:val="28"/>
          <w:szCs w:val="28"/>
        </w:rPr>
        <w:t xml:space="preserve">8. Conflicts, Recusal, and Excess Benefit</w:t>
      </w:r>
    </w:p>
    <w:p>
      <w:pPr>
        <w:spacing w:after="160" w:before="0" w:line="276"/>
        <w:jc w:val="left"/>
      </w:pPr>
      <w:r>
        <w:rPr>
          <w:rFonts w:ascii="Arial" w:cs="Arial" w:eastAsia="Arial" w:hAnsi="Arial"/>
          <w:b w:val="false"/>
          <w:bCs w:val="false"/>
          <w:i w:val="false"/>
          <w:iCs w:val="false"/>
          <w:color w:val="222222"/>
          <w:sz w:val="22"/>
          <w:szCs w:val="22"/>
        </w:rPr>
        <w:t xml:space="preserve">A “Disqualified Person” for this Policy includes any person described in I.R.C. § 4958(f) with respect to the Organization, and any person who can exercise substantial influence over a partner whose employee is the applicant.</w:t>
      </w:r>
    </w:p>
    <w:p>
      <w:pPr>
        <w:spacing w:after="160" w:before="0" w:line="276"/>
        <w:jc w:val="left"/>
      </w:pPr>
      <w:r>
        <w:rPr>
          <w:rFonts w:ascii="Arial" w:cs="Arial" w:eastAsia="Arial" w:hAnsi="Arial"/>
          <w:b w:val="false"/>
          <w:bCs w:val="false"/>
          <w:i w:val="false"/>
          <w:iCs w:val="false"/>
          <w:color w:val="222222"/>
          <w:sz w:val="22"/>
          <w:szCs w:val="22"/>
        </w:rPr>
        <w:t xml:space="preserve">Any person with a financial or family interest in an application shall recuse from discussion and vote, and the recusal shall be minuted. An award to a Disqualified Person of the Organization is prohibited under this Policy even if the person claims need. If a close case arises, the matter goes to independent legal counsel before any payment.</w:t>
      </w:r>
    </w:p>
    <w:p>
      <w:pPr>
        <w:spacing w:after="160" w:before="0" w:line="276"/>
        <w:jc w:val="left"/>
      </w:pPr>
      <w:r>
        <w:rPr>
          <w:rFonts w:ascii="Arial" w:cs="Arial" w:eastAsia="Arial" w:hAnsi="Arial"/>
          <w:b w:val="false"/>
          <w:bCs w:val="false"/>
          <w:i w:val="false"/>
          <w:iCs w:val="false"/>
          <w:color w:val="222222"/>
          <w:sz w:val="22"/>
          <w:szCs w:val="22"/>
        </w:rPr>
        <w:t xml:space="preserve">Organization managers who approve an excess benefit transaction knowing it is improper may be personally liable for excise tax. When in doubt, do not pay.</w:t>
      </w:r>
    </w:p>
    <w:p>
      <w:pPr>
        <w:pStyle w:val="Heading1"/>
        <w:pBdr>
          <w:bottom w:val="single" w:color="C4A35A" w:sz="12" w:space="4"/>
        </w:pBdr>
        <w:spacing w:after="160" w:before="360"/>
      </w:pPr>
      <w:r>
        <w:rPr>
          <w:rFonts w:ascii="Arial" w:cs="Arial" w:eastAsia="Arial" w:hAnsi="Arial"/>
          <w:b/>
          <w:bCs/>
          <w:color w:val="1B365D"/>
          <w:sz w:val="28"/>
          <w:szCs w:val="28"/>
        </w:rPr>
        <w:t xml:space="preserve">9. Anti-Fraud and Clawback</w:t>
      </w:r>
    </w:p>
    <w:p>
      <w:pPr>
        <w:spacing w:after="160" w:before="0" w:line="276"/>
        <w:jc w:val="left"/>
      </w:pPr>
      <w:r>
        <w:rPr>
          <w:rFonts w:ascii="Arial" w:cs="Arial" w:eastAsia="Arial" w:hAnsi="Arial"/>
          <w:b w:val="false"/>
          <w:bCs w:val="false"/>
          <w:i w:val="false"/>
          <w:iCs w:val="false"/>
          <w:color w:val="222222"/>
          <w:sz w:val="22"/>
          <w:szCs w:val="22"/>
        </w:rPr>
        <w:t xml:space="preserve">False statements, altered invoices, or concealment of other reimbursement are grounds for immediate denial, clawback of amounts paid, referral to the partner employer, and, where warranted, law enforcement. The applicant authorizes the Organization to verify documents with the issuer. The Organization may deny any applicant who has previously submitted fabricated materials.</w:t>
      </w:r>
    </w:p>
    <w:p>
      <w:pPr>
        <w:pStyle w:val="Heading1"/>
        <w:pBdr>
          <w:bottom w:val="single" w:color="C4A35A" w:sz="12" w:space="4"/>
        </w:pBdr>
        <w:spacing w:after="160" w:before="360"/>
      </w:pPr>
      <w:r>
        <w:rPr>
          <w:rFonts w:ascii="Arial" w:cs="Arial" w:eastAsia="Arial" w:hAnsi="Arial"/>
          <w:b/>
          <w:bCs/>
          <w:color w:val="1B365D"/>
          <w:sz w:val="28"/>
          <w:szCs w:val="28"/>
        </w:rPr>
        <w:t xml:space="preserve">10. No Contract; At-Will Discretion</w:t>
      </w:r>
    </w:p>
    <w:p>
      <w:pPr>
        <w:spacing w:after="160" w:before="0" w:line="276"/>
        <w:jc w:val="left"/>
      </w:pPr>
      <w:r>
        <w:rPr>
          <w:rFonts w:ascii="Arial" w:cs="Arial" w:eastAsia="Arial" w:hAnsi="Arial"/>
          <w:b w:val="false"/>
          <w:bCs w:val="false"/>
          <w:i w:val="false"/>
          <w:iCs w:val="false"/>
          <w:color w:val="222222"/>
          <w:sz w:val="22"/>
          <w:szCs w:val="22"/>
        </w:rPr>
        <w:t xml:space="preserve">This Policy creates no contractual right, third-party beneficiary right, or entitlement. The Board may suspend the program at any time for lack of funds, legal risk, or mission change. Prior awards do not obligate future awards.</w:t>
      </w:r>
    </w:p>
    <w:p>
      <w:pPr>
        <w:pStyle w:val="Heading1"/>
        <w:pBdr>
          <w:bottom w:val="single" w:color="C4A35A" w:sz="12" w:space="4"/>
        </w:pBdr>
        <w:spacing w:after="160" w:before="360"/>
      </w:pPr>
      <w:r>
        <w:rPr>
          <w:rFonts w:ascii="Arial" w:cs="Arial" w:eastAsia="Arial" w:hAnsi="Arial"/>
          <w:b/>
          <w:bCs/>
          <w:color w:val="1B365D"/>
          <w:sz w:val="28"/>
          <w:szCs w:val="28"/>
        </w:rPr>
        <w:t xml:space="preserve">11. Adoption and Amendment</w:t>
      </w:r>
    </w:p>
    <w:p>
      <w:pPr>
        <w:spacing w:after="160" w:before="0" w:line="276"/>
        <w:jc w:val="left"/>
      </w:pPr>
      <w:r>
        <w:rPr>
          <w:rFonts w:ascii="Arial" w:cs="Arial" w:eastAsia="Arial" w:hAnsi="Arial"/>
          <w:b w:val="false"/>
          <w:bCs w:val="false"/>
          <w:i w:val="false"/>
          <w:iCs w:val="false"/>
          <w:color w:val="222222"/>
          <w:sz w:val="22"/>
          <w:szCs w:val="22"/>
        </w:rPr>
        <w:t xml:space="preserve">This Policy is effective when adopted by Board resolution. Amendments require Board approval. The Treasurer shall present a program report at least annually: number of applications, awards, denials, amounts, Track A vs Track B split, and any suspected fraud.</w:t>
      </w:r>
    </w:p>
    <w:p>
      <w:pPr>
        <w:spacing w:after="160" w:before="280" w:line="276"/>
        <w:jc w:val="left"/>
      </w:pPr>
      <w:r>
        <w:rPr>
          <w:rFonts w:ascii="Arial" w:cs="Arial" w:eastAsia="Arial" w:hAnsi="Arial"/>
          <w:b w:val="false"/>
          <w:bCs w:val="false"/>
          <w:i w:val="false"/>
          <w:iCs w:val="false"/>
          <w:color w:val="222222"/>
          <w:sz w:val="22"/>
          <w:szCs w:val="22"/>
        </w:rPr>
        <w:t xml:space="preserve">Adopted by the Board of Directors of Coin Op 4 Charity on _______________, 20____.</w:t>
      </w:r>
    </w:p>
    <w:p>
      <w:pPr>
        <w:spacing w:after="160" w:before="0" w:line="276"/>
        <w:jc w:val="left"/>
      </w:pPr>
      <w:r>
        <w:rPr>
          <w:rFonts w:ascii="Arial" w:cs="Arial" w:eastAsia="Arial" w:hAnsi="Arial"/>
          <w:b w:val="false"/>
          <w:bCs w:val="false"/>
          <w:i w:val="false"/>
          <w:iCs w:val="false"/>
          <w:color w:val="222222"/>
          <w:sz w:val="22"/>
          <w:szCs w:val="22"/>
        </w:rPr>
        <w:t xml:space="preserve">_________________________________     Date: ______________</w:t>
      </w:r>
    </w:p>
    <w:p>
      <w:pPr>
        <w:spacing w:after="160" w:before="0" w:line="276"/>
        <w:jc w:val="left"/>
      </w:pPr>
      <w:r>
        <w:rPr>
          <w:rFonts w:ascii="Arial" w:cs="Arial" w:eastAsia="Arial" w:hAnsi="Arial"/>
          <w:b w:val="false"/>
          <w:bCs w:val="false"/>
          <w:i w:val="false"/>
          <w:iCs w:val="false"/>
          <w:color w:val="222222"/>
          <w:sz w:val="22"/>
          <w:szCs w:val="22"/>
        </w:rPr>
        <w:t xml:space="preserve">President / Chair</w:t>
      </w:r>
    </w:p>
    <w:p>
      <w:pPr>
        <w:spacing w:after="160" w:before="0" w:line="276"/>
        <w:jc w:val="left"/>
      </w:pPr>
      <w:r>
        <w:rPr>
          <w:rFonts w:ascii="Arial" w:cs="Arial" w:eastAsia="Arial" w:hAnsi="Arial"/>
          <w:b w:val="false"/>
          <w:bCs w:val="false"/>
          <w:i w:val="false"/>
          <w:iCs w:val="false"/>
          <w:color w:val="222222"/>
          <w:sz w:val="22"/>
          <w:szCs w:val="22"/>
        </w:rPr>
        <w:t xml:space="preserve">_________________________________     Date: ______________</w:t>
      </w:r>
    </w:p>
    <w:p>
      <w:pPr>
        <w:spacing w:after="160" w:before="0" w:line="276"/>
        <w:jc w:val="left"/>
      </w:pPr>
      <w:r>
        <w:rPr>
          <w:rFonts w:ascii="Arial" w:cs="Arial" w:eastAsia="Arial" w:hAnsi="Arial"/>
          <w:b w:val="false"/>
          <w:bCs w:val="false"/>
          <w:i w:val="false"/>
          <w:iCs w:val="false"/>
          <w:color w:val="222222"/>
          <w:sz w:val="22"/>
          <w:szCs w:val="22"/>
        </w:rPr>
        <w:t xml:space="preserve">Treasurer / Secretary</w:t>
      </w:r>
    </w:p>
    <w:p>
      <w:r>
        <w:br/>
        <w:t xml:space="preserve"/>
      </w:r>
    </w:p>
    <w:p>
      <w:pPr>
        <w:pStyle w:val="Heading1"/>
        <w:pBdr>
          <w:bottom w:val="single" w:color="C4A35A" w:sz="12" w:space="4"/>
        </w:pBdr>
        <w:spacing w:after="160" w:before="360"/>
      </w:pPr>
      <w:r>
        <w:rPr>
          <w:rFonts w:ascii="Arial" w:cs="Arial" w:eastAsia="Arial" w:hAnsi="Arial"/>
          <w:b/>
          <w:bCs/>
          <w:color w:val="1B365D"/>
          <w:sz w:val="28"/>
          <w:szCs w:val="28"/>
        </w:rPr>
        <w:t xml:space="preserve">Exhibit A — Individual Application (Track B)</w:t>
      </w:r>
    </w:p>
    <w:p>
      <w:pPr>
        <w:spacing w:after="160" w:before="0" w:line="276"/>
        <w:jc w:val="left"/>
      </w:pPr>
      <w:r>
        <w:rPr>
          <w:rFonts w:ascii="Arial" w:cs="Arial" w:eastAsia="Arial" w:hAnsi="Arial"/>
          <w:b w:val="false"/>
          <w:bCs w:val="false"/>
          <w:i/>
          <w:iCs/>
          <w:color w:val="222222"/>
          <w:sz w:val="22"/>
          <w:szCs w:val="22"/>
        </w:rPr>
        <w:t xml:space="preserve">Attach this form to third-party documents. Incomplete packets will not be reviewed.</w:t>
      </w:r>
    </w:p>
    <w:p>
      <w:pPr>
        <w:spacing w:after="160" w:before="0" w:line="276"/>
        <w:jc w:val="left"/>
      </w:pPr>
      <w:r>
        <w:rPr>
          <w:rFonts w:ascii="Arial" w:cs="Arial" w:eastAsia="Arial" w:hAnsi="Arial"/>
          <w:b w:val="false"/>
          <w:bCs w:val="false"/>
          <w:i w:val="false"/>
          <w:iCs w:val="false"/>
          <w:color w:val="222222"/>
          <w:sz w:val="22"/>
          <w:szCs w:val="22"/>
        </w:rPr>
        <w:t xml:space="preserve">Applicant legal name: ________________________________    Date of birth: ________</w:t>
      </w:r>
    </w:p>
    <w:p>
      <w:pPr>
        <w:spacing w:after="160" w:before="0" w:line="276"/>
        <w:jc w:val="left"/>
      </w:pPr>
      <w:r>
        <w:rPr>
          <w:rFonts w:ascii="Arial" w:cs="Arial" w:eastAsia="Arial" w:hAnsi="Arial"/>
          <w:b w:val="false"/>
          <w:bCs w:val="false"/>
          <w:i w:val="false"/>
          <w:iCs w:val="false"/>
          <w:color w:val="222222"/>
          <w:sz w:val="22"/>
          <w:szCs w:val="22"/>
        </w:rPr>
        <w:t xml:space="preserve">Address: ________________________________________________________________</w:t>
      </w:r>
    </w:p>
    <w:p>
      <w:pPr>
        <w:spacing w:after="160" w:before="0" w:line="276"/>
        <w:jc w:val="left"/>
      </w:pPr>
      <w:r>
        <w:rPr>
          <w:rFonts w:ascii="Arial" w:cs="Arial" w:eastAsia="Arial" w:hAnsi="Arial"/>
          <w:b w:val="false"/>
          <w:bCs w:val="false"/>
          <w:i w:val="false"/>
          <w:iCs w:val="false"/>
          <w:color w:val="222222"/>
          <w:sz w:val="22"/>
          <w:szCs w:val="22"/>
        </w:rPr>
        <w:t xml:space="preserve">Phone / email: ____________________________    Last 4 of SSN (for 1099 only): ______</w:t>
      </w:r>
    </w:p>
    <w:p>
      <w:pPr>
        <w:spacing w:after="160" w:before="0" w:line="276"/>
        <w:jc w:val="left"/>
      </w:pPr>
      <w:r>
        <w:rPr>
          <w:rFonts w:ascii="Arial" w:cs="Arial" w:eastAsia="Arial" w:hAnsi="Arial"/>
          <w:b w:val="false"/>
          <w:bCs w:val="false"/>
          <w:i w:val="false"/>
          <w:iCs w:val="false"/>
          <w:color w:val="222222"/>
          <w:sz w:val="22"/>
          <w:szCs w:val="22"/>
        </w:rPr>
        <w:t xml:space="preserve">Partner organization &amp; site: ________________________________________________</w:t>
      </w:r>
    </w:p>
    <w:p>
      <w:pPr>
        <w:spacing w:after="160" w:before="0" w:line="276"/>
        <w:jc w:val="left"/>
      </w:pPr>
      <w:r>
        <w:rPr>
          <w:rFonts w:ascii="Arial" w:cs="Arial" w:eastAsia="Arial" w:hAnsi="Arial"/>
          <w:b w:val="false"/>
          <w:bCs w:val="false"/>
          <w:i w:val="false"/>
          <w:iCs w:val="false"/>
          <w:color w:val="222222"/>
          <w:sz w:val="22"/>
          <w:szCs w:val="22"/>
        </w:rPr>
        <w:t xml:space="preserve">Role (employee / contractor / volunteer) and start date: ________________________</w:t>
      </w:r>
    </w:p>
    <w:p>
      <w:pPr>
        <w:spacing w:after="160" w:before="0" w:line="276"/>
        <w:jc w:val="left"/>
      </w:pPr>
      <w:r>
        <w:rPr>
          <w:rFonts w:ascii="Arial" w:cs="Arial" w:eastAsia="Arial" w:hAnsi="Arial"/>
          <w:b w:val="false"/>
          <w:bCs w:val="false"/>
          <w:i w:val="false"/>
          <w:iCs w:val="false"/>
          <w:color w:val="222222"/>
          <w:sz w:val="22"/>
          <w:szCs w:val="22"/>
        </w:rPr>
        <w:t xml:space="preserve">Supervisor name &amp; phone: ________________________________________________</w:t>
      </w:r>
    </w:p>
    <w:p>
      <w:pPr>
        <w:spacing w:after="160" w:before="0" w:line="276"/>
        <w:jc w:val="left"/>
      </w:pPr>
      <w:r>
        <w:rPr>
          <w:rFonts w:ascii="Arial" w:cs="Arial" w:eastAsia="Arial" w:hAnsi="Arial"/>
          <w:b w:val="false"/>
          <w:bCs w:val="false"/>
          <w:i w:val="false"/>
          <w:iCs w:val="false"/>
          <w:color w:val="222222"/>
          <w:sz w:val="22"/>
          <w:szCs w:val="22"/>
        </w:rPr>
        <w:t xml:space="preserve">Nature of emergency (dates, what happened, why unforeseeable):</w:t>
      </w:r>
    </w:p>
    <w:p>
      <w:pPr>
        <w:spacing w:after="160" w:before="0" w:line="276"/>
        <w:jc w:val="left"/>
      </w:pPr>
      <w:r>
        <w:rPr>
          <w:rFonts w:ascii="Arial" w:cs="Arial" w:eastAsia="Arial" w:hAnsi="Arial"/>
          <w:b w:val="false"/>
          <w:bCs w:val="false"/>
          <w:i w:val="false"/>
          <w:iCs w:val="false"/>
          <w:color w:val="222222"/>
          <w:sz w:val="22"/>
          <w:szCs w:val="22"/>
        </w:rPr>
        <w:t xml:space="preserve">___________________________________________________________________________</w:t>
      </w:r>
    </w:p>
    <w:p>
      <w:pPr>
        <w:spacing w:after="160" w:before="0" w:line="276"/>
        <w:jc w:val="left"/>
      </w:pPr>
      <w:r>
        <w:rPr>
          <w:rFonts w:ascii="Arial" w:cs="Arial" w:eastAsia="Arial" w:hAnsi="Arial"/>
          <w:b w:val="false"/>
          <w:bCs w:val="false"/>
          <w:i w:val="false"/>
          <w:iCs w:val="false"/>
          <w:color w:val="222222"/>
          <w:sz w:val="22"/>
          <w:szCs w:val="22"/>
        </w:rPr>
        <w:t xml:space="preserve">___________________________________________________________________________</w:t>
      </w:r>
    </w:p>
    <w:p>
      <w:pPr>
        <w:spacing w:after="160" w:before="0" w:line="276"/>
        <w:jc w:val="left"/>
      </w:pPr>
      <w:r>
        <w:rPr>
          <w:rFonts w:ascii="Arial" w:cs="Arial" w:eastAsia="Arial" w:hAnsi="Arial"/>
          <w:b w:val="false"/>
          <w:bCs w:val="false"/>
          <w:i w:val="false"/>
          <w:iCs w:val="false"/>
          <w:color w:val="222222"/>
          <w:sz w:val="22"/>
          <w:szCs w:val="22"/>
        </w:rPr>
        <w:t xml:space="preserve">Expense payee (landlord / utility / vendor): ___________________________________</w:t>
      </w:r>
    </w:p>
    <w:p>
      <w:pPr>
        <w:spacing w:after="160" w:before="0" w:line="276"/>
        <w:jc w:val="left"/>
      </w:pPr>
      <w:r>
        <w:rPr>
          <w:rFonts w:ascii="Arial" w:cs="Arial" w:eastAsia="Arial" w:hAnsi="Arial"/>
          <w:b w:val="false"/>
          <w:bCs w:val="false"/>
          <w:i w:val="false"/>
          <w:iCs w:val="false"/>
          <w:color w:val="222222"/>
          <w:sz w:val="22"/>
          <w:szCs w:val="22"/>
        </w:rPr>
        <w:t xml:space="preserve">Amount requested (not to exceed documented unpaid cost or $1,500): $__________</w:t>
      </w:r>
    </w:p>
    <w:p>
      <w:pPr>
        <w:spacing w:after="160" w:before="0" w:line="276"/>
        <w:jc w:val="left"/>
      </w:pPr>
      <w:r>
        <w:rPr>
          <w:rFonts w:ascii="Arial" w:cs="Arial" w:eastAsia="Arial" w:hAnsi="Arial"/>
          <w:b w:val="false"/>
          <w:bCs w:val="false"/>
          <w:i w:val="false"/>
          <w:iCs w:val="false"/>
          <w:color w:val="222222"/>
          <w:sz w:val="22"/>
          <w:szCs w:val="22"/>
        </w:rPr>
        <w:t xml:space="preserve">Other aid applied for and result: ____________________________________________</w:t>
      </w:r>
    </w:p>
    <w:p>
      <w:pPr>
        <w:spacing w:after="160" w:before="0" w:line="276"/>
        <w:jc w:val="left"/>
      </w:pPr>
      <w:r>
        <w:rPr>
          <w:rFonts w:ascii="Arial" w:cs="Arial" w:eastAsia="Arial" w:hAnsi="Arial"/>
          <w:b w:val="false"/>
          <w:bCs w:val="false"/>
          <w:i w:val="false"/>
          <w:iCs w:val="false"/>
          <w:color w:val="222222"/>
          <w:sz w:val="22"/>
          <w:szCs w:val="22"/>
        </w:rPr>
        <w:t xml:space="preserve">Household members who share this expense: _________________________________</w:t>
      </w:r>
    </w:p>
    <w:p>
      <w:pPr>
        <w:spacing w:after="160" w:before="0" w:line="276"/>
        <w:jc w:val="left"/>
      </w:pPr>
      <w:r>
        <w:rPr>
          <w:rFonts w:ascii="Arial" w:cs="Arial" w:eastAsia="Arial" w:hAnsi="Arial"/>
          <w:b w:val="false"/>
          <w:bCs w:val="false"/>
          <w:i w:val="false"/>
          <w:iCs w:val="false"/>
          <w:color w:val="222222"/>
          <w:sz w:val="20"/>
          <w:szCs w:val="20"/>
        </w:rPr>
        <w:t xml:space="preserve">CERTIFICATIONS. I certify under penalty of NRS 199.120 and federal law that the statements and documents are true; the expense is unpaid or unreimbursed; I am not a director, officer, founder, or substantial contributor of Coin Op 4 Charity or a family member of such a person; I authorize verification; I understand awards are discretionary, may be taxable, and create no employment relationship; and I will return any amount later paid by insurance or another source.</w:t>
      </w:r>
    </w:p>
    <w:p>
      <w:pPr>
        <w:spacing w:after="160" w:before="0" w:line="276"/>
        <w:jc w:val="left"/>
      </w:pPr>
      <w:r>
        <w:rPr>
          <w:rFonts w:ascii="Arial" w:cs="Arial" w:eastAsia="Arial" w:hAnsi="Arial"/>
          <w:b w:val="false"/>
          <w:bCs w:val="false"/>
          <w:i w:val="false"/>
          <w:iCs w:val="false"/>
          <w:color w:val="222222"/>
          <w:sz w:val="22"/>
          <w:szCs w:val="22"/>
        </w:rPr>
        <w:t xml:space="preserve">Signature: ______________________________     Date: ______________</w:t>
      </w:r>
    </w:p>
    <w:p>
      <w:pPr>
        <w:spacing w:after="160" w:before="0" w:line="276"/>
        <w:jc w:val="left"/>
      </w:pPr>
      <w:r>
        <w:rPr>
          <w:rFonts w:ascii="Arial" w:cs="Arial" w:eastAsia="Arial" w:hAnsi="Arial"/>
          <w:b w:val="false"/>
          <w:bCs w:val="false"/>
          <w:i w:val="false"/>
          <w:iCs w:val="false"/>
          <w:color w:val="222222"/>
          <w:sz w:val="22"/>
          <w:szCs w:val="22"/>
        </w:rPr>
        <w:t xml:space="preserve">Partner confirmation (optional but preferred): I confirm the applicant’s role and that I have no knowledge the request is fraudulent. Name / title / signature / date: ______________</w:t>
      </w:r>
    </w:p>
    <w:p>
      <w:pPr>
        <w:pStyle w:val="Heading1"/>
        <w:pBdr>
          <w:bottom w:val="single" w:color="C4A35A" w:sz="12" w:space="4"/>
        </w:pBdr>
        <w:spacing w:after="160" w:before="360"/>
      </w:pPr>
      <w:r>
        <w:rPr>
          <w:rFonts w:ascii="Arial" w:cs="Arial" w:eastAsia="Arial" w:hAnsi="Arial"/>
          <w:b/>
          <w:bCs/>
          <w:color w:val="1B365D"/>
          <w:sz w:val="28"/>
          <w:szCs w:val="28"/>
        </w:rPr>
        <w:t xml:space="preserve">Exhibit B — Partner Grant Request (Track A)</w:t>
      </w:r>
    </w:p>
    <w:p>
      <w:pPr>
        <w:spacing w:after="160" w:before="0" w:line="276"/>
        <w:jc w:val="left"/>
      </w:pPr>
      <w:r>
        <w:rPr>
          <w:rFonts w:ascii="Arial" w:cs="Arial" w:eastAsia="Arial" w:hAnsi="Arial"/>
          <w:b w:val="false"/>
          <w:bCs w:val="false"/>
          <w:i w:val="false"/>
          <w:iCs w:val="false"/>
          <w:color w:val="222222"/>
          <w:sz w:val="22"/>
          <w:szCs w:val="22"/>
        </w:rPr>
        <w:t xml:space="preserve">Partner legal name &amp; EIN: ________________________________________________</w:t>
      </w:r>
    </w:p>
    <w:p>
      <w:pPr>
        <w:spacing w:after="160" w:before="0" w:line="276"/>
        <w:jc w:val="left"/>
      </w:pPr>
      <w:r>
        <w:rPr>
          <w:rFonts w:ascii="Arial" w:cs="Arial" w:eastAsia="Arial" w:hAnsi="Arial"/>
          <w:b w:val="false"/>
          <w:bCs w:val="false"/>
          <w:i w:val="false"/>
          <w:iCs w:val="false"/>
          <w:color w:val="222222"/>
          <w:sz w:val="22"/>
          <w:szCs w:val="22"/>
        </w:rPr>
        <w:t xml:space="preserve">501(c)(3) determination date / governmental status: ___________________________</w:t>
      </w:r>
    </w:p>
    <w:p>
      <w:pPr>
        <w:spacing w:after="160" w:before="0" w:line="276"/>
        <w:jc w:val="left"/>
      </w:pPr>
      <w:r>
        <w:rPr>
          <w:rFonts w:ascii="Arial" w:cs="Arial" w:eastAsia="Arial" w:hAnsi="Arial"/>
          <w:b w:val="false"/>
          <w:bCs w:val="false"/>
          <w:i w:val="false"/>
          <w:iCs w:val="false"/>
          <w:color w:val="222222"/>
          <w:sz w:val="22"/>
          <w:szCs w:val="22"/>
        </w:rPr>
        <w:t xml:space="preserve">Primary contact: ________________________________________________________</w:t>
      </w:r>
    </w:p>
    <w:p>
      <w:pPr>
        <w:spacing w:after="160" w:before="0" w:line="276"/>
        <w:jc w:val="left"/>
      </w:pPr>
      <w:r>
        <w:rPr>
          <w:rFonts w:ascii="Arial" w:cs="Arial" w:eastAsia="Arial" w:hAnsi="Arial"/>
          <w:b w:val="false"/>
          <w:bCs w:val="false"/>
          <w:i w:val="false"/>
          <w:iCs w:val="false"/>
          <w:color w:val="222222"/>
          <w:sz w:val="22"/>
          <w:szCs w:val="22"/>
        </w:rPr>
        <w:t xml:space="preserve">Purpose of grant (one sentence): __________________________________________</w:t>
      </w:r>
    </w:p>
    <w:p>
      <w:pPr>
        <w:spacing w:after="160" w:before="0" w:line="276"/>
        <w:jc w:val="left"/>
      </w:pPr>
      <w:r>
        <w:rPr>
          <w:rFonts w:ascii="Arial" w:cs="Arial" w:eastAsia="Arial" w:hAnsi="Arial"/>
          <w:b w:val="false"/>
          <w:bCs w:val="false"/>
          <w:i w:val="false"/>
          <w:iCs w:val="false"/>
          <w:color w:val="222222"/>
          <w:sz w:val="22"/>
          <w:szCs w:val="22"/>
        </w:rPr>
        <w:t xml:space="preserve">Amount requested (cap $2,000 unless Board exception): $____________________</w:t>
      </w:r>
    </w:p>
    <w:p>
      <w:pPr>
        <w:spacing w:after="160" w:before="0" w:line="276"/>
        <w:jc w:val="left"/>
      </w:pPr>
      <w:r>
        <w:rPr>
          <w:rFonts w:ascii="Arial" w:cs="Arial" w:eastAsia="Arial" w:hAnsi="Arial"/>
          <w:b w:val="false"/>
          <w:bCs w:val="false"/>
          <w:i w:val="false"/>
          <w:iCs w:val="false"/>
          <w:color w:val="222222"/>
          <w:sz w:val="22"/>
          <w:szCs w:val="22"/>
        </w:rPr>
        <w:t xml:space="preserve">Will funds be paid to a vendor? Identify: ___________________________________</w:t>
      </w:r>
    </w:p>
    <w:p>
      <w:pPr>
        <w:spacing w:after="160" w:before="0" w:line="276"/>
        <w:jc w:val="left"/>
      </w:pPr>
      <w:r>
        <w:rPr>
          <w:rFonts w:ascii="Arial" w:cs="Arial" w:eastAsia="Arial" w:hAnsi="Arial"/>
          <w:b w:val="false"/>
          <w:bCs w:val="false"/>
          <w:i w:val="false"/>
          <w:iCs w:val="false"/>
          <w:color w:val="222222"/>
          <w:sz w:val="22"/>
          <w:szCs w:val="22"/>
        </w:rPr>
        <w:t xml:space="preserve">If funds will assist an individual staff member, describe the objective need process the partner will use and attach redacted support. Do not send unneeded medical records.</w:t>
      </w:r>
    </w:p>
    <w:p>
      <w:pPr>
        <w:spacing w:after="160" w:before="0" w:line="276"/>
        <w:jc w:val="left"/>
      </w:pPr>
      <w:r>
        <w:rPr>
          <w:rFonts w:ascii="Arial" w:cs="Arial" w:eastAsia="Arial" w:hAnsi="Arial"/>
          <w:b w:val="false"/>
          <w:bCs w:val="false"/>
          <w:i w:val="false"/>
          <w:iCs w:val="false"/>
          <w:color w:val="222222"/>
          <w:sz w:val="22"/>
          <w:szCs w:val="22"/>
        </w:rPr>
        <w:t xml:space="preserve">Attachments: determination letter, W-9, invoices, placement agreement page.</w:t>
      </w:r>
    </w:p>
    <w:p>
      <w:pPr>
        <w:spacing w:after="160" w:before="0" w:line="276"/>
        <w:jc w:val="left"/>
      </w:pPr>
      <w:r>
        <w:rPr>
          <w:rFonts w:ascii="Arial" w:cs="Arial" w:eastAsia="Arial" w:hAnsi="Arial"/>
          <w:b w:val="false"/>
          <w:bCs w:val="false"/>
          <w:i w:val="false"/>
          <w:iCs w:val="false"/>
          <w:color w:val="222222"/>
          <w:sz w:val="20"/>
          <w:szCs w:val="20"/>
        </w:rPr>
        <w:t xml:space="preserve">The undersigned is authorized to bind the partner and agrees to the Restricted Grant terms in § 6 of Policy POL-FIN-004, including return of unused funds and a receipt report within 30 days.</w:t>
      </w:r>
    </w:p>
    <w:p>
      <w:pPr>
        <w:spacing w:after="160" w:before="0" w:line="276"/>
        <w:jc w:val="left"/>
      </w:pPr>
      <w:r>
        <w:rPr>
          <w:rFonts w:ascii="Arial" w:cs="Arial" w:eastAsia="Arial" w:hAnsi="Arial"/>
          <w:b w:val="false"/>
          <w:bCs w:val="false"/>
          <w:i w:val="false"/>
          <w:iCs w:val="false"/>
          <w:color w:val="222222"/>
          <w:sz w:val="22"/>
          <w:szCs w:val="22"/>
        </w:rPr>
        <w:t xml:space="preserve">Authorized signature / title / date: _________________________________________</w:t>
      </w:r>
    </w:p>
    <w:p>
      <w:pPr>
        <w:pStyle w:val="Heading1"/>
        <w:pBdr>
          <w:bottom w:val="single" w:color="C4A35A" w:sz="12" w:space="4"/>
        </w:pBdr>
        <w:spacing w:after="160" w:before="360"/>
      </w:pPr>
      <w:r>
        <w:rPr>
          <w:rFonts w:ascii="Arial" w:cs="Arial" w:eastAsia="Arial" w:hAnsi="Arial"/>
          <w:b/>
          <w:bCs/>
          <w:color w:val="1B365D"/>
          <w:sz w:val="28"/>
          <w:szCs w:val="28"/>
        </w:rPr>
        <w:t xml:space="preserve">Exhibit C — Review Committee Minute Template</w:t>
      </w:r>
    </w:p>
    <w:p>
      <w:pPr>
        <w:spacing w:after="160" w:before="0" w:line="276"/>
        <w:jc w:val="left"/>
      </w:pPr>
      <w:r>
        <w:rPr>
          <w:rFonts w:ascii="Arial" w:cs="Arial" w:eastAsia="Arial" w:hAnsi="Arial"/>
          <w:b w:val="false"/>
          <w:bCs w:val="false"/>
          <w:i w:val="false"/>
          <w:iCs w:val="false"/>
          <w:color w:val="222222"/>
          <w:sz w:val="22"/>
          <w:szCs w:val="22"/>
        </w:rPr>
        <w:t xml:space="preserve">Date / members present / recusals: ________________________________________</w:t>
      </w:r>
    </w:p>
    <w:p>
      <w:pPr>
        <w:spacing w:after="160" w:before="0" w:line="276"/>
        <w:jc w:val="left"/>
      </w:pPr>
      <w:r>
        <w:rPr>
          <w:rFonts w:ascii="Arial" w:cs="Arial" w:eastAsia="Arial" w:hAnsi="Arial"/>
          <w:b w:val="false"/>
          <w:bCs w:val="false"/>
          <w:i w:val="false"/>
          <w:iCs w:val="false"/>
          <w:color w:val="222222"/>
          <w:sz w:val="22"/>
          <w:szCs w:val="22"/>
        </w:rPr>
        <w:t xml:space="preserve">Applicant or partner (initials acceptable in circulated minutes): ________________</w:t>
      </w:r>
    </w:p>
    <w:p>
      <w:pPr>
        <w:spacing w:after="160" w:before="0" w:line="276"/>
        <w:jc w:val="left"/>
      </w:pPr>
      <w:r>
        <w:rPr>
          <w:rFonts w:ascii="Arial" w:cs="Arial" w:eastAsia="Arial" w:hAnsi="Arial"/>
          <w:b w:val="false"/>
          <w:bCs w:val="false"/>
          <w:i w:val="false"/>
          <w:iCs w:val="false"/>
          <w:color w:val="222222"/>
          <w:sz w:val="22"/>
          <w:szCs w:val="22"/>
        </w:rPr>
        <w:t xml:space="preserve">Track A or B / amount approved or denied: ________________________________</w:t>
      </w:r>
    </w:p>
    <w:p>
      <w:pPr>
        <w:spacing w:after="160" w:before="0" w:line="276"/>
        <w:jc w:val="left"/>
      </w:pPr>
      <w:r>
        <w:rPr>
          <w:rFonts w:ascii="Arial" w:cs="Arial" w:eastAsia="Arial" w:hAnsi="Arial"/>
          <w:b w:val="false"/>
          <w:bCs w:val="false"/>
          <w:i w:val="false"/>
          <w:iCs w:val="false"/>
          <w:color w:val="222222"/>
          <w:sz w:val="22"/>
          <w:szCs w:val="22"/>
        </w:rPr>
        <w:t xml:space="preserve">Findings: eligible class [Y/N]; documented expense [Y/N]; objective need [Y/N]; other sources exhausted or insufficient [Y/N]; funds appropriated [Y/N]; conflict [Y/N].</w:t>
      </w:r>
    </w:p>
    <w:p>
      <w:pPr>
        <w:spacing w:after="160" w:before="0" w:line="276"/>
        <w:jc w:val="left"/>
      </w:pPr>
      <w:r>
        <w:rPr>
          <w:rFonts w:ascii="Arial" w:cs="Arial" w:eastAsia="Arial" w:hAnsi="Arial"/>
          <w:b w:val="false"/>
          <w:bCs w:val="false"/>
          <w:i w:val="false"/>
          <w:iCs w:val="false"/>
          <w:color w:val="222222"/>
          <w:sz w:val="22"/>
          <w:szCs w:val="22"/>
        </w:rPr>
        <w:t xml:space="preserve">Payee (vendor preferred): _______________________________________________</w:t>
      </w:r>
    </w:p>
    <w:p>
      <w:pPr>
        <w:spacing w:after="160" w:before="0" w:line="276"/>
        <w:jc w:val="left"/>
      </w:pPr>
      <w:r>
        <w:rPr>
          <w:rFonts w:ascii="Arial" w:cs="Arial" w:eastAsia="Arial" w:hAnsi="Arial"/>
          <w:b w:val="false"/>
          <w:bCs w:val="false"/>
          <w:i w:val="false"/>
          <w:iCs w:val="false"/>
          <w:color w:val="222222"/>
          <w:sz w:val="22"/>
          <w:szCs w:val="22"/>
        </w:rPr>
        <w:t xml:space="preserve">Conditions / report due date: _____________________________________________</w:t>
      </w:r>
    </w:p>
    <w:p>
      <w:pPr>
        <w:spacing w:after="160" w:before="0" w:line="276"/>
        <w:jc w:val="left"/>
      </w:pPr>
      <w:r>
        <w:rPr>
          <w:rFonts w:ascii="Arial" w:cs="Arial" w:eastAsia="Arial" w:hAnsi="Arial"/>
          <w:b w:val="false"/>
          <w:bCs w:val="false"/>
          <w:i w:val="false"/>
          <w:iCs w:val="false"/>
          <w:color w:val="222222"/>
          <w:sz w:val="22"/>
          <w:szCs w:val="22"/>
        </w:rPr>
        <w:t xml:space="preserve">Vote: ________     Chair initials: ________</w:t>
      </w:r>
    </w:p>
    <w:p>
      <w:pPr>
        <w:pStyle w:val="Heading1"/>
        <w:pBdr>
          <w:bottom w:val="single" w:color="C4A35A" w:sz="12" w:space="4"/>
        </w:pBdr>
        <w:spacing w:after="160" w:before="360"/>
      </w:pPr>
      <w:r>
        <w:rPr>
          <w:rFonts w:ascii="Arial" w:cs="Arial" w:eastAsia="Arial" w:hAnsi="Arial"/>
          <w:b/>
          <w:bCs/>
          <w:color w:val="1B365D"/>
          <w:sz w:val="28"/>
          <w:szCs w:val="28"/>
        </w:rPr>
        <w:t xml:space="preserve">Exhibit D — Counsel &amp; Accountant Acknowledgment</w:t>
      </w:r>
    </w:p>
    <w:p>
      <w:pPr>
        <w:spacing w:after="160" w:before="0" w:line="276"/>
        <w:jc w:val="left"/>
      </w:pPr>
      <w:r>
        <w:rPr>
          <w:rFonts w:ascii="Arial" w:cs="Arial" w:eastAsia="Arial" w:hAnsi="Arial"/>
          <w:b w:val="false"/>
          <w:bCs w:val="false"/>
          <w:i w:val="false"/>
          <w:iCs w:val="false"/>
          <w:color w:val="222222"/>
          <w:sz w:val="22"/>
          <w:szCs w:val="22"/>
        </w:rPr>
        <w:t xml:space="preserve">Before the first dollar leaves the account under this Policy, the Treasurer shall send this document to the Organization’s Nevada counsel and CPA with a request to confirm: (1) consistency with the Articles and any IRS determination letter purpose clause; (2) Form 990 presentation; (3) whether the Organization is a public charity or private foundation (private foundations face tighter § 4945 / self-dealing rules and generally should not run Track B without separate counsel opinion); and (4) 1099 / § 139 treatment. File the written response with this Policy.</w:t>
      </w:r>
    </w:p>
    <w:p>
      <w:pPr>
        <w:spacing w:after="160" w:before="0" w:line="276"/>
        <w:jc w:val="left"/>
      </w:pPr>
      <w:r>
        <w:rPr>
          <w:rFonts w:ascii="Arial" w:cs="Arial" w:eastAsia="Arial" w:hAnsi="Arial"/>
          <w:b/>
          <w:bCs/>
          <w:i w:val="false"/>
          <w:iCs w:val="false"/>
          <w:color w:val="222222"/>
          <w:sz w:val="22"/>
          <w:szCs w:val="22"/>
        </w:rPr>
        <w:t xml:space="preserve">Until that confirmation is in the file, only Track A grants to documented 501(c)(3) youth partners, paid to the partner or its vendor, should be considered.</w:t>
      </w:r>
    </w:p>
    <w:p>
      <w:pPr>
        <w:spacing w:after="160" w:before="400" w:line="276"/>
        <w:jc w:val="center"/>
      </w:pPr>
      <w:r>
        <w:rPr>
          <w:rFonts w:ascii="Arial" w:cs="Arial" w:eastAsia="Arial" w:hAnsi="Arial"/>
          <w:b w:val="false"/>
          <w:bCs w:val="false"/>
          <w:i/>
          <w:iCs/>
          <w:color w:val="666666"/>
          <w:sz w:val="22"/>
          <w:szCs w:val="22"/>
        </w:rPr>
        <w:t xml:space="preserve">End of POL-FIN-004.</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35A" w:sz="8" w:space="8"/>
      </w:pBdr>
      <w:spacing w:before="80"/>
      <w:jc w:val="center"/>
    </w:pPr>
    <w:r>
      <w:rPr>
        <w:rFonts w:ascii="Arial" w:cs="Arial" w:eastAsia="Arial" w:hAnsi="Arial"/>
        <w:color w:val="666666"/>
        <w:sz w:val="16"/>
        <w:szCs w:val="16"/>
      </w:rPr>
      <w:t xml:space="preserve">Document No. POL-FIN-004  ·  Effective September 12, 2026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35A" w:sz="12" w:space="6"/>
      </w:pBdr>
      <w:spacing w:after="120"/>
    </w:pPr>
    <w:r>
      <w:rPr>
        <w:rFonts w:ascii="Arial" w:cs="Arial" w:eastAsia="Arial" w:hAnsi="Arial"/>
        <w:b/>
        <w:bCs/>
        <w:color w:val="1B365D"/>
        <w:sz w:val="16"/>
        <w:szCs w:val="16"/>
      </w:rPr>
      <w:t xml:space="preserve">COIN OP 4 CHARITY  </w:t>
    </w:r>
    <w:r>
      <w:rPr>
        <w:rFonts w:ascii="Arial" w:cs="Arial" w:eastAsia="Arial" w:hAnsi="Arial"/>
        <w:color w:val="666666"/>
        <w:sz w:val="16"/>
        <w:szCs w:val="16"/>
      </w:rPr>
      <w:t xml:space="preserve">  |  Staff Policy  |  Confidential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65D"/>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2026-09-13T06:14:44.755Z</dcterms:created>
  <dcterms:modified xsi:type="dcterms:W3CDTF">2026-09-13T06:14:44.755Z</dcterms:modified>
</cp:coreProperties>
</file>

<file path=docProps/custom.xml><?xml version="1.0" encoding="utf-8"?>
<Properties xmlns="http://schemas.openxmlformats.org/officeDocument/2006/custom-properties" xmlns:vt="http://schemas.openxmlformats.org/officeDocument/2006/docPropsVTypes"/>
</file>