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8.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An</w:t>
      </w:r>
      <w:r>
        <w:t xml:space="preserve"> </w:t>
      </w:r>
      <w:r>
        <w:t xml:space="preserve">Observational</w:t>
      </w:r>
      <w:r>
        <w:t xml:space="preserve"> </w:t>
      </w:r>
      <w:r>
        <w:t xml:space="preserve">Study</w:t>
      </w:r>
      <w:r>
        <w:t xml:space="preserve"> </w:t>
      </w:r>
      <w:r>
        <w:t xml:space="preserve">of</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2021-08-09</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Therefore,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(~60%)</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(~80%)</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However,</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We</w:t>
      </w:r>
      <w:r>
        <w:t xml:space="preserve"> </w:t>
      </w:r>
      <w:r>
        <w:t xml:space="preserve">also</w:t>
      </w:r>
      <w:r>
        <w:t xml:space="preserve"> </w:t>
      </w:r>
      <w:r>
        <w:t xml:space="preserve">observed</w:t>
      </w:r>
      <w:r>
        <w:t xml:space="preserve"> </w:t>
      </w:r>
      <w:r>
        <w:t xml:space="preserve">that</w:t>
      </w:r>
      <w:r>
        <w:t xml:space="preserve"> </w:t>
      </w:r>
      <w:r>
        <w:t xml:space="preserve">92%</w:t>
      </w:r>
      <w:r>
        <w:t xml:space="preserve"> </w:t>
      </w:r>
      <w:r>
        <w:t xml:space="preserve">of</w:t>
      </w:r>
      <w:r>
        <w:t xml:space="preserve"> </w:t>
      </w:r>
      <w:r>
        <w:t xml:space="preserve">studies</w:t>
      </w:r>
      <w:r>
        <w:t xml:space="preserve"> </w:t>
      </w:r>
      <w:r>
        <w:t xml:space="preserve">without</w:t>
      </w:r>
      <w:r>
        <w:t xml:space="preserve"> </w:t>
      </w:r>
      <w:r>
        <w:t xml:space="preserve">a</w:t>
      </w:r>
      <w:r>
        <w:t xml:space="preserve"> </w:t>
      </w:r>
      <w:r>
        <w:t xml:space="preserve">hypothesis,</w:t>
      </w:r>
      <w:r>
        <w:t xml:space="preserve"> </w:t>
      </w:r>
      <w:r>
        <w:t xml:space="preserve">and</w:t>
      </w:r>
      <w:r>
        <w:t xml:space="preserve"> </w:t>
      </w:r>
      <w:r>
        <w:t xml:space="preserve">96%</w:t>
      </w:r>
      <w:r>
        <w:t xml:space="preserve"> </w:t>
      </w:r>
      <w:r>
        <w:t xml:space="preserve">with</w:t>
      </w:r>
      <w:r>
        <w:t xml:space="preserve"> </w:t>
      </w:r>
      <w:r>
        <w:t xml:space="preserve">a</w:t>
      </w:r>
      <w:r>
        <w:t xml:space="preserve"> </w:t>
      </w:r>
      <w:r>
        <w:t xml:space="preserve">hypothesis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we</w:t>
      </w:r>
      <w:r>
        <w:t xml:space="preserve"> </w:t>
      </w:r>
      <w:r>
        <w:t xml:space="preserve">conclude</w:t>
      </w:r>
      <w:r>
        <w:t xml:space="preserve"> </w:t>
      </w:r>
      <w:r>
        <w:t xml:space="preserve">that</w:t>
      </w:r>
      <w:r>
        <w:t xml:space="preserve"> </w:t>
      </w:r>
      <w:r>
        <w:t xml:space="preserve">while</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was</w:t>
      </w:r>
      <w:r>
        <w:t xml:space="preserve"> </w:t>
      </w:r>
      <w:r>
        <w:t xml:space="preserve">lower</w:t>
      </w:r>
      <w:r>
        <w:t xml:space="preserve"> </w:t>
      </w:r>
      <w:r>
        <w:t xml:space="preserve">than</w:t>
      </w:r>
      <w:r>
        <w:t xml:space="preserve"> </w:t>
      </w:r>
      <w:r>
        <w:t xml:space="preserve">expected,</w:t>
      </w:r>
      <w:r>
        <w:t xml:space="preserve"> </w:t>
      </w:r>
      <w:r>
        <w:t xml:space="preserve">other</w:t>
      </w:r>
      <w:r>
        <w:t xml:space="preserve"> </w:t>
      </w:r>
      <w:r>
        <w:t xml:space="preserve">reporting</w:t>
      </w:r>
      <w:r>
        <w:t xml:space="preserve"> </w:t>
      </w:r>
      <w:r>
        <w:t xml:space="preserve">practives</w:t>
      </w:r>
      <w:r>
        <w:t xml:space="preserve"> </w:t>
      </w:r>
      <w:r>
        <w:t xml:space="preserve">must</w:t>
      </w:r>
      <w:r>
        <w:t xml:space="preserve"> </w:t>
      </w:r>
      <w:r>
        <w:t xml:space="preserve">improve</w:t>
      </w:r>
      <w:r>
        <w:t xml:space="preserve"> </w:t>
      </w:r>
      <w:r>
        <w:t xml:space="preserve">within</w:t>
      </w:r>
      <w:r>
        <w:t xml:space="preserve"> </w:t>
      </w:r>
      <w:r>
        <w:t xml:space="preserve">the</w:t>
      </w:r>
      <w:r>
        <w:t xml:space="preserve"> </w:t>
      </w:r>
      <w:r>
        <w:t xml:space="preserve">Kinesiology</w:t>
      </w:r>
      <w:r>
        <w:t xml:space="preserve"> </w:t>
      </w:r>
      <w:r>
        <w:t xml:space="preserve">literature.</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 2019)</w:t>
      </w:r>
      <w:r>
        <w:t xml:space="preserve">.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Whilst this is a complex issue, questionable research practices (QRPs) and publication bias explain at least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(Nosek &amp; Errington, 2017)</w:t>
      </w:r>
      <w:r>
        <w:t xml:space="preserve">, human genetics</w:t>
      </w:r>
      <w:r>
        <w:t xml:space="preserve"> </w:t>
      </w:r>
      <w:r>
        <w:t xml:space="preserve">(“Replicating Genotype–Phenotype Associations,” 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(Sainani et al., 2020)</w:t>
      </w:r>
      <w:r>
        <w:t xml:space="preserve">, minimal or arbitrary use of effect sizes</w:t>
      </w:r>
      <w:r>
        <w:t xml:space="preserve"> </w:t>
      </w:r>
      <w:r>
        <w:t xml:space="preserve">(Caldwell &amp; Vigotsky, 2020)</w:t>
      </w:r>
      <w:r>
        <w:t xml:space="preserve">, and other reporting issues</w:t>
      </w:r>
      <w:r>
        <w:t xml:space="preserve"> </w:t>
      </w:r>
      <w:r>
        <w:t xml:space="preserve">(D. N. 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(D. N. Borg, Bon, et al., 2020; D. N. Borg, Lohse, et al., 2020; A. R. Caldwell et al., 2020; Caldwell &amp; Vigotsky, 2020; Sainani et al., 2020; Vigotsky et al., 2020)</w:t>
      </w:r>
      <w:r>
        <w:t xml:space="preserve">. Some journals in the field have started to adopt the Registered Report format for manuscripts which is commendable (see \url{www.cos.io/rr for a list of participating journals). However, such practices include openly sharing data and code, pre-registration, and using the registered reports format (for a primer, see</w:t>
      </w:r>
      <w:r>
        <w:t xml:space="preserve"> </w:t>
      </w:r>
      <w:r>
        <w:t xml:space="preserve">A. R. Caldwell et al. (2020)</w:t>
      </w:r>
      <w:r>
        <w:t xml:space="preserve"> </w:t>
      </w:r>
      <w:r>
        <w:t xml:space="preserve">for details). Some of the issues that motivated the open science movement in psychology and other fields</w:t>
      </w:r>
      <w:r>
        <w:t xml:space="preserve"> </w:t>
      </w:r>
      <w:r>
        <w:t xml:space="preserve">Munafò et al. (2017)</w:t>
      </w:r>
      <w:r>
        <w:t xml:space="preserve"> </w:t>
      </w:r>
      <w:r>
        <w:t xml:space="preserve">are comparatively unexplored in kinesiology, and in addition currently, the number of kinesiology researchers adopting open research practices is largely unknown. There is some indication that both pre-registration and sharing of data is uncommon</w:t>
      </w:r>
      <w:r>
        <w:t xml:space="preserve"> </w:t>
      </w:r>
      <w:r>
        <w:t xml:space="preserve">(D. N. 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Schijen,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Schijen,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Schijen,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Schijen, et al. (2020)</w:t>
      </w:r>
      <w:r>
        <w:t xml:space="preserve">, and to our knowledge, kinesiology has not accumulated more than 70 RRs to evaluate against traditional publication formats. Nevertheless,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that a problem exists. Therefore, 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 $&gt;$80%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 insufficient information to reach coding decisions. To sample a recent selection of the literature, research articles were sampled consecutively backwards from December 31, 2019, by the data analyst (ARC).</w:t>
      </w:r>
    </w:p>
    <w:p>
      <w:pPr>
        <w:pStyle w:val="Heading2"/>
      </w:pPr>
      <w:bookmarkStart w:id="23" w:name="data-extraction"/>
      <w:r>
        <w:t xml:space="preserve">Data Extraction</w:t>
      </w:r>
      <w:bookmarkEnd w:id="23"/>
    </w:p>
    <w:p>
      <w:pPr>
        <w:pStyle w:val="FirstParagraph"/>
      </w:pPr>
      <w:r>
        <w:t xml:space="preserve">We dentified nine coders who were responsible for data extraction. Coders underwent standardized training that has been designed based on the queries raised and clarification required during pilot testing (see later section). These nine coders will form three teams of three, and each team will be randomly allocated the research articles from one journal (MSSE, EJSS, or JSAMS). All coders extracted data independently and entered this directly into a Qualtrics survey. The Qualtrics survey was refined after pilot testing and a copy is available at</w:t>
      </w:r>
      <w:r>
        <w:t xml:space="preserve"> </w:t>
      </w:r>
      <w:r>
        <w:t xml:space="preserve"> </w:t>
      </w:r>
      <w:r>
        <w:t xml:space="preserve">.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learning/control/behaviour, epidemiology, sport/exercise psychology, sport performance, or other (the category that best describes the article). Research articles thtat did include explicit statements that a hypothesis was tested were not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Schijen,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Schijen,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Schijen, et al., 2020)</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t>=</m:t>
        </m:r>
        <m:r>
          <m:t>0.049</m:t>
        </m:r>
      </m:oMath>
      <w:r>
        <w:t xml:space="preserve"> </w:t>
      </w:r>
      <w:r>
        <w:t xml:space="preserve">vs. </w:t>
      </w:r>
      <m:oMath>
        <m:r>
          <m:t>p</m:t>
        </m:r>
        <m:r>
          <m:t>&lt;</m:t>
        </m:r>
        <m:r>
          <m:t>0.05</m:t>
        </m:r>
      </m:oMath>
      <w:r>
        <w:t xml:space="preserve">). If a relative p-value was reported, the level of the reported p-value (e.g.,</w:t>
      </w:r>
      <w:r>
        <w:t xml:space="preserve"> </w:t>
      </w:r>
      <m:oMath>
        <m:r>
          <m:t>p</m:t>
        </m:r>
        <m:r>
          <m:t>&lt;</m:t>
        </m:r>
        <m:r>
          <m:t>0.05</m:t>
        </m:r>
      </m:oMath>
      <w:r>
        <w:t xml:space="preserve">,</w:t>
      </w:r>
      <w:r>
        <w:t xml:space="preserve"> </w:t>
      </w:r>
      <m:oMath>
        <m:r>
          <m:t>p</m:t>
        </m:r>
        <m:r>
          <m:t>&lt;</m:t>
        </m:r>
        <m:r>
          <m:t>0.01</m:t>
        </m:r>
      </m:oMath>
      <w:r>
        <w:t xml:space="preserve">) were coded. Coders also extracted whether an effect size was reported,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ICJME definition (</w:t>
      </w:r>
      <w:r>
        <w:t xml:space="preserve">). If yes, coders assessed if a clinical trial registration was reported in the manuscript. For all other types of studies, coders assessed whether studies were pre-registered (as reported within the manuscript). Coders assessed if a manuscript provides a statement on data availability, and if yes, whether there was open access to the original data and/or code via a link or supplementary file.</w:t>
      </w:r>
    </w:p>
    <w:p>
      <w:pPr>
        <w:pStyle w:val="Heading2"/>
      </w:pPr>
      <w:bookmarkStart w:id="29" w:name="pilot-testing"/>
      <w:r>
        <w:t xml:space="preserve">Pilot Testing</w:t>
      </w:r>
      <w:bookmarkEnd w:id="29"/>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at</w:t>
      </w:r>
      <w:r>
        <w:t xml:space="preserve"> </w:t>
      </w:r>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0" w:name="statistical-analysis"/>
      <w:r>
        <w:t xml:space="preserve">Statistical Analysis</w:t>
      </w:r>
      <w:bookmarkEnd w:id="30"/>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a good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 All other data is summarized descriptively and as frequencies and proportions with chi-squared and binomial proportions tests where appropriate. A detailed summary of the planned hypothesis test and</w:t>
      </w:r>
      <w:r>
        <w:t xml:space="preserve"> </w:t>
      </w:r>
      <w:r>
        <w:t xml:space="preserve">“</w:t>
      </w:r>
      <w:r>
        <w:t xml:space="preserve">power</w:t>
      </w:r>
      <w:r>
        <w:t xml:space="preserve">”</w:t>
      </w:r>
      <w:r>
        <w:t xml:space="preserve"> </w:t>
      </w:r>
      <w:r>
        <w:t xml:space="preserve">analysis can be found at our OSF repository. Brackets indicate a 95% compatibility interval (confidence or posterior for frequentist and Bayesian approaches respectively).</w:t>
      </w:r>
    </w:p>
    <w:p>
      <w:pPr>
        <w:pStyle w:val="Heading1"/>
      </w:pPr>
      <w:bookmarkStart w:id="31" w:name="results"/>
      <w:r>
        <w:t xml:space="preserve">Results</w:t>
      </w:r>
      <w:bookmarkEnd w:id="31"/>
    </w:p>
    <w:p>
      <w:pPr>
        <w:pStyle w:val="Heading2"/>
      </w:pPr>
      <w:bookmarkStart w:id="32" w:name="confirmatory-results"/>
      <w:r>
        <w:t xml:space="preserve">Confirmatory Results</w:t>
      </w:r>
      <w:bookmarkEnd w:id="32"/>
    </w:p>
    <w:p>
      <w:pPr>
        <w:pStyle w:val="FirstParagraph"/>
      </w:pPr>
      <w:r>
        <w:t xml:space="preserve">There was only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title="" id="1" name="Picture"/>
            <a:graphic>
              <a:graphicData uri="http://schemas.openxmlformats.org/drawingml/2006/picture">
                <pic:pic>
                  <pic:nvPicPr>
                    <pic:cNvPr descr="figure1.jpg" id="0" name="Picture"/>
                    <pic:cNvPicPr>
                      <a:picLocks noChangeArrowheads="1" noChangeAspect="1"/>
                    </pic:cNvPicPr>
                  </pic:nvPicPr>
                  <pic:blipFill>
                    <a:blip r:embed="rId3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w:t>
      </w:r>
    </w:p>
    <w:p>
      <w:r>
        <w:br w:type="page"/>
      </w:r>
    </w:p>
    <w:p>
      <w:pPr>
        <w:pStyle w:val="Heading2"/>
      </w:pPr>
      <w:bookmarkStart w:id="34" w:name="exploratory-results"/>
      <w:r>
        <w:t xml:space="preserve">Exploratory Results</w:t>
      </w:r>
      <w:bookmarkEnd w:id="34"/>
    </w:p>
    <w:p>
      <w:pPr>
        <w:pStyle w:val="Heading3"/>
      </w:pPr>
      <w:bookmarkStart w:id="35" w:name="statistics-reporting"/>
      <w:r>
        <w:t xml:space="preserve">Statistics Reporting</w:t>
      </w:r>
      <w:bookmarkEnd w:id="35"/>
    </w:p>
    <w:p>
      <w:pPr>
        <w:pStyle w:val="FirstParagraph"/>
      </w:pPr>
      <w:r>
        <w:t xml:space="preserve">Nearly all manuscripts, 90% [86.03, 93.15], reported some form of significance testing. Even when a hypothesis was not stated or tested, significance testing was utilized in 81.65% [73.09, 88.42] of manuscripts (N = 89). Most manuscripts, 79.33% [74.3, 83.77], also reported some form of effect size to accompany the results. In addition, 33.7% [28.09, 39.68] of manuscripts reported exact p-values (p = .045) versus relative p-values (p &lt; .05). Though, 89.63% [85.36, 93] of manuscripts reported at least</w:t>
      </w:r>
      <w:r>
        <w:t xml:space="preserve"> </w:t>
      </w:r>
      <w:r>
        <w:rPr>
          <w:i/>
        </w:rPr>
        <w:t xml:space="preserve">some</w:t>
      </w:r>
      <w:r>
        <w:t xml:space="preserve"> </w:t>
      </w:r>
      <w:r>
        <w:t xml:space="preserve">exact p-values (e.g., p = .045) versus relative p-values (e.g., p &lt; .05).</w:t>
      </w:r>
    </w:p>
    <w:p>
      <w:pPr>
        <w:pStyle w:val="Heading3"/>
      </w:pPr>
      <w:bookmarkStart w:id="36" w:name="other-important-reporting-practices"/>
      <w:r>
        <w:t xml:space="preserve">Other Important Reporting Practices</w:t>
      </w:r>
      <w:bookmarkEnd w:id="36"/>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a meager 0.67% [0.08, 2.39] of manuscripts reported some form of data sharing or open data.</w:t>
      </w:r>
    </w:p>
    <w:p>
      <w:pPr>
        <w:pStyle w:val="Heading3"/>
      </w:pPr>
      <w:bookmarkStart w:id="37" w:name="analysis-by-journal"/>
      <w:r>
        <w:t xml:space="preserve">Analysis by Journal</w:t>
      </w:r>
      <w:bookmarkEnd w:id="37"/>
    </w:p>
    <w:p>
      <w:pPr>
        <w:pStyle w:val="FirstParagraph"/>
      </w:pPr>
      <w:r>
        <w:t xml:space="preserve">The degree of support for the main hypothesis,</w:t>
      </w:r>
      <w:r>
        <w:t xml:space="preserve"> </w:t>
      </w:r>
      <m:oMath>
        <m:sSup>
          <m:e>
            <m:r>
              <m:t>χ</m:t>
            </m:r>
          </m:e>
          <m:sup>
            <m:r>
              <m:t>2</m:t>
            </m:r>
          </m:sup>
        </m:sSup>
      </m:oMath>
      <w:r>
        <w:t xml:space="preserve">(6) = 2.4; p=0.879, was consistent between journals (Figure 2A) with</w:t>
      </w:r>
      <w:r>
        <w:t xml:space="preserve"> </w:t>
      </w:r>
      <w:r>
        <w:t xml:space="preserve">“</w:t>
      </w:r>
      <w:r>
        <w:t xml:space="preserve">Full support</w:t>
      </w:r>
      <w:r>
        <w:t xml:space="preserve">”</w:t>
      </w:r>
      <w:r>
        <w:t xml:space="preserve"> </w:t>
      </w:r>
      <w:r>
        <w:t xml:space="preserve">occurring in all manuscripts &gt;45% for all journals. However, there were significant differences,</w:t>
      </w:r>
      <w:r>
        <w:t xml:space="preserve"> </w:t>
      </w:r>
      <m:oMath>
        <m:sSup>
          <m:e>
            <m:r>
              <m:t>χ</m:t>
            </m:r>
          </m:e>
          <m:sup>
            <m:r>
              <m:t>2</m:t>
            </m:r>
          </m:sup>
        </m:sSup>
      </m:oMath>
      <w:r>
        <w:t xml:space="preserve">(2) = 20.43; p&lt;0.001, in the rate of hypotheses being tested (Figure 2B). The majority of MSSE and EJSS had hypothesis tests (74% and 71% respectively), but JSAMS had a much lower rate of hypothesis tests (46%). Effect sizes were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sample size justification,</w:t>
      </w:r>
      <w:r>
        <w:t xml:space="preserve"> </w:t>
      </w:r>
      <m:oMath>
        <m:sSup>
          <m:e>
            <m:r>
              <m:t>χ</m:t>
            </m:r>
          </m:e>
          <m:sup>
            <m:r>
              <m:t>2</m:t>
            </m:r>
          </m:sup>
        </m:sSup>
      </m:oMath>
      <w:r>
        <w:t xml:space="preserve">(2) = 13.73; p=0.001, compared to EJSS (19%) or JSAMS (14%). The rate of reporting significance tests in all journals was high, but slightly lower,</w:t>
      </w:r>
      <w:r>
        <w:t xml:space="preserve"> </w:t>
      </w:r>
      <m:oMath>
        <m:sSup>
          <m:e>
            <m:r>
              <m:t>χ</m:t>
            </m:r>
          </m:e>
          <m:sup>
            <m:r>
              <m:t>2</m:t>
            </m:r>
          </m:sup>
        </m:sSup>
      </m:oMath>
      <w:r>
        <w:t xml:space="preserve">(2) = 6.22; p=0.045, in JSAMS (84%)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 title="" id="1" name="Picture"/>
            <a:graphic>
              <a:graphicData uri="http://schemas.openxmlformats.org/drawingml/2006/picture">
                <pic:pic>
                  <pic:nvPicPr>
                    <pic:cNvPr descr="figure2.jpg" id="0" name="Picture"/>
                    <pic:cNvPicPr>
                      <a:picLocks noChangeArrowheads="1" noChangeAspect="1"/>
                    </pic:cNvPicPr>
                  </pic:nvPicPr>
                  <pic:blipFill>
                    <a:blip r:embed="rId38"/>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Journal of Science and Medicine in Sport (JSAMS), Medicine and Science in Sport and Exercise (MSSE), and the European Journal of Sport Science (EJSS).</w:t>
      </w:r>
    </w:p>
    <w:p>
      <w:r>
        <w:br w:type="page"/>
      </w:r>
    </w:p>
    <w:p>
      <w:pPr>
        <w:pStyle w:val="Heading3"/>
      </w:pPr>
      <w:bookmarkStart w:id="39" w:name="analysis-by-discipline"/>
      <w:r>
        <w:t xml:space="preserve">Analysis by Discipline</w:t>
      </w:r>
      <w:bookmarkEnd w:id="39"/>
    </w:p>
    <w:p>
      <w:pPr>
        <w:pStyle w:val="FirstParagraph"/>
      </w:pPr>
      <w:r>
        <w:t xml:space="preserve">Disciplines varied greatly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3A). Basic physiology was the worst at not reporting whether or not a hypothesis was reported with 37.5% of the studies never making a clear statement of support (Figure 3A). The rate of hypothesis testing differed greatly between disciplines,</w:t>
      </w:r>
      <w:r>
        <w:t xml:space="preserve"> </w:t>
      </w:r>
      <m:oMath>
        <m:sSup>
          <m:e>
            <m:r>
              <m:t>χ</m:t>
            </m:r>
          </m:e>
          <m:sup>
            <m:r>
              <m:t>2</m:t>
            </m:r>
          </m:sup>
        </m:sSup>
      </m:oMath>
      <w:r>
        <w:t xml:space="preserve">(9) = 28.44; p&lt;0.001 (Figure 3B).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level of reported support for hypotheses, B) indication of whether a hypothesis was tested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0"/>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level of reported support for hypotheses, B) indication of whether a hypothesis was tested and C) the estimated total sample size (grey bands indicate 95% confidence intervals).</w:t>
      </w:r>
    </w:p>
    <w:p>
      <w:r>
        <w:br w:type="page"/>
      </w:r>
    </w:p>
    <w:p>
      <w:pPr>
        <w:pStyle w:val="Heading3"/>
      </w:pPr>
      <w:bookmarkStart w:id="41" w:name="analysis-of-rct-and-clinical-trials"/>
      <w:r>
        <w:t xml:space="preserve">Analysis of RCT and Clinical Trials</w:t>
      </w:r>
      <w:bookmarkEnd w:id="41"/>
    </w:p>
    <w:p>
      <w:pPr>
        <w:pStyle w:val="FirstParagraph"/>
      </w:pPr>
      <w:r>
        <w:t xml:space="preserve">Clinical trials (N = 40) had lower rates of reported support for the hypothesis, 64% [42.5, 82], but similar hypothesis testing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despite a high rate, 73.4% [60.9, 83.7], of testing hypotheses. Like clinical trials, RCTs often lacked sample size justifications, 50% [37.2, 62.8], and lacked pre-registrations, 28.1% [17.6, 40.8].</w:t>
      </w:r>
    </w:p>
    <w:p>
      <w:pPr>
        <w:pStyle w:val="Heading1"/>
      </w:pPr>
      <w:bookmarkStart w:id="42" w:name="discussion"/>
      <w:r>
        <w:t xml:space="preserve">Discussion</w:t>
      </w:r>
      <w:bookmarkEnd w:id="42"/>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only weakly corroborated. However, we estimate that the positive result in the kinesiology literature is approximately 81%, and this is still excessive. Our secondary hypothesis that more than 60% of articles would explicitly report a hypothesis was strongly corroborated, though our estimate of approximately 64% is relatively low when considering that ~90% of articles used null hypothesis significance testing. The low proportion of null results, lack of sample size justifications (based on a calculation or resources), low numbers of pre-registrations (even in the case of clinical trials), the near absence of open data, and the complete absence of replication studies cast doubt on the credibility of the scientific record of sport and exercise science.</w:t>
      </w:r>
    </w:p>
    <w:p>
      <w:pPr>
        <w:pStyle w:val="BodyText"/>
      </w:pPr>
      <w:r>
        <w:t xml:space="preserve">Assuming no bias in the scientific record, the positive result rate would depend on the statistical power of the articles and the proportion of true hypotheses being tested</w:t>
      </w:r>
      <w:r>
        <w:t xml:space="preserve"> </w:t>
      </w:r>
      <w:r>
        <w:t xml:space="preserve">(Scheel, Schijen, et al., 2020)</w:t>
      </w:r>
      <w:r>
        <w:t xml:space="preserve">. The proportion of true hypotheses being tested may be higher in sport and exercise science because studies can be resource-intensive due to the use of specialist equipment and techniques or the time and personnel required for specific study designs (for example, training studies with multiple laboratory visits). Studies can also be demanding or invasive for participants. Therefore, to ensure a favourable result given the resource investment, kinesiology researchers may test trivial hypotheses where a positive result is largely foreseeable (and potentially unimportant) ~80% of the time. Arguably, the most resource-intensive discipline is environmental physiology,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explain the positive result rate, and is especially implausible given the 100% positive result rate in environmental physiology articles where the average sample size was lowest (n=16). Therefore, rather than a consistently high proportion of true hypotheses being tested and consistently high statistical power, it is more reasonable to suggest QRPs and publication bias explain the excessive positive result rate in the kinesiology literature.</w:t>
      </w:r>
    </w:p>
    <w:p>
      <w:pPr>
        <w:pStyle w:val="BodyText"/>
      </w:pPr>
      <w:r>
        <w:t xml:space="preserve">QRPs can be intentional or unintentional; some researchers may consider QRPs to be a normal part of the research process rather than harmful practices that inflate the Type 1 error rate and bias the literature. Similarly, researchers are not immune to bias and may be influenced by the perception or reality that a compelling</w:t>
      </w:r>
      <w:r>
        <w:t xml:space="preserve"> </w:t>
      </w:r>
      <w:r>
        <w:t xml:space="preserve">“</w:t>
      </w:r>
      <w:r>
        <w:t xml:space="preserve">story</w:t>
      </w:r>
      <w:r>
        <w:t xml:space="preserve">”</w:t>
      </w:r>
      <w:r>
        <w:t xml:space="preserve"> </w:t>
      </w:r>
      <w:r>
        <w:t xml:space="preserve">will be more publishable. However,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RRs offer one solution because articles are peer-reviewed before data collection, so poorly designed research does not progress to an in-principal acceptance, and the format is designed to prevent several QRPs and a bias (whether from the researchers, reviewer, or editor) towards findings that support the hypothesis. The effect of RRs is clear in psychology, where the format moves the positive result rate closer to 50% and introduces adequately powered studies with null results into the scientific record</w:t>
      </w:r>
      <w:r>
        <w:t xml:space="preserve"> </w:t>
      </w:r>
      <w:r>
        <w:t xml:space="preserve">(Allen &amp; Mehler, 2019)</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the same hypothesis.</w:t>
      </w:r>
    </w:p>
    <w:p>
      <w:pPr>
        <w:pStyle w:val="BodyText"/>
      </w:pPr>
      <w:r>
        <w:t xml:space="preserve">Because only 9% of the studies were pre-registered and none of our selected journals offer the RR format, it is not possible to know if hypotheses presented as a priori were generated a priori or resulted from undisclosed post hoc hypothesizing (or HARKing; hypothesizing after the results are known). Similarly, it is not possible to know if undisclosed analytic flexibility was used to obtain the most favourable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Tiokhin,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langauge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contained completed checklists for the relevant EQUATOR reporting guidelines, and very few (if any) statements were included about the use of reporting guidelines in the articles. No RCTs reporting using CONSORT guidelines, despite JSAMS explicitly including this in author instructions. JSAMS also included X unregistered clinical trials despite explicitly including this in author instructions, and MSSE included X unregistered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This was driven by the two sets of authors because our selected journals do not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behind in creating a culture that embraces open research practices. The more encouraging findings are that the majority of studies included an effect size measure, though we used a broad definition of effect sizes, and reporting was not always considered best practice by coders (e.g., only reporting percent changes). Still, ~20% of studies did not provide any indication of the magnitude of the effect and relied only on p-values, without consideration of the practical or clinical significance of an intervention or experimental manipulation.</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and all papers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 (CITE Wasserstein). While the authors do not have a problem with using p-values or significance testing per se, it is troubling that these have become a</w:t>
      </w:r>
      <w:r>
        <w:t xml:space="preserve"> </w:t>
      </w:r>
      <w:r>
        <w:rPr>
          <w:i/>
        </w:rPr>
        <w:t xml:space="preserve">sine qua non</w:t>
      </w:r>
      <w:r>
        <w:t xml:space="preserve"> </w:t>
      </w:r>
      <w:r>
        <w:t xml:space="preserve">of publishing in the peer reviewed literature for sport and exercise science. As Gigerenzer (CITE) eloquently pointed out, when these practices become ingrained, to the point of becoming a requirement for publication, statistical thinking is discarded in favor of statistical rituals. This does necessarily mean the often maligned p-value is to blame, as McShane et al. (CITE) noted other statistical hypothesis tests can be misused. Instead, many manuscripts, especially those without hypothesis tests, can adopt a continuous and unconditional interpretation of statistics (CITE Greenland and Rafi). Studies that are exploratory, or at least are not focuesed on hypothesis tests, should spend more time describing the statistical results within the manuscript and avoid placing emphasis on statistical significance. Generally, we would recommend that sport and exercise scientists adopt a more diverse set of statistical tools and for journals to encourage manuscripts submissions that do not rely upon significance testing.</w:t>
      </w:r>
    </w:p>
    <w:p>
      <w:pPr>
        <w:pStyle w:val="Compact"/>
        <w:numPr>
          <w:numId w:val="1001"/>
          <w:ilvl w:val="0"/>
        </w:numPr>
      </w:pPr>
      <w:r>
        <w:t xml:space="preserve">Comment on partial vs. full support?</w:t>
      </w:r>
    </w:p>
    <w:p>
      <w:pPr>
        <w:pStyle w:val="Compact"/>
        <w:numPr>
          <w:numId w:val="1001"/>
          <w:ilvl w:val="0"/>
        </w:numPr>
      </w:pPr>
      <w:r>
        <w:t xml:space="preserve">Come back to Fanelli</w:t>
      </w:r>
    </w:p>
    <w:p>
      <w:pPr>
        <w:pStyle w:val="Heading2"/>
      </w:pPr>
      <w:bookmarkStart w:id="43" w:name="limitations"/>
      <w:r>
        <w:t xml:space="preserve">Limitations</w:t>
      </w:r>
      <w:bookmarkEnd w:id="43"/>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Nevertheless, these journals may not provide a representative sample of the highest quality research in our field and may not have the most progressive editorial policies and reporting standards.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rigour.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labelled as such due to the perception or reality that a lack of novelty would preclude publication.</w:t>
      </w:r>
    </w:p>
    <w:p>
      <w:pPr>
        <w:pStyle w:val="Heading2"/>
      </w:pPr>
      <w:bookmarkStart w:id="44" w:name="conclusion"/>
      <w:r>
        <w:t xml:space="preserve">Conclusion</w:t>
      </w:r>
      <w:bookmarkEnd w:id="44"/>
    </w:p>
    <w:p>
      <w:pPr>
        <w:pStyle w:val="Compact"/>
        <w:numPr>
          <w:numId w:val="1002"/>
          <w:ilvl w:val="0"/>
        </w:numPr>
      </w:pPr>
      <w:r>
        <w:t xml:space="preserve">What is the essential conclusions here?</w:t>
      </w:r>
    </w:p>
    <w:p>
      <w:pPr>
        <w:pStyle w:val="Compact"/>
        <w:numPr>
          <w:numId w:val="1002"/>
          <w:ilvl w:val="0"/>
        </w:numPr>
      </w:pPr>
      <w:r>
        <w:t xml:space="preserve">High, but lower than most other fields, positive result rate.</w:t>
      </w:r>
    </w:p>
    <w:p>
      <w:pPr>
        <w:pStyle w:val="Compact"/>
        <w:numPr>
          <w:numId w:val="1002"/>
          <w:ilvl w:val="0"/>
        </w:numPr>
      </w:pPr>
      <w:r>
        <w:t xml:space="preserve">Moderate rate of hypothesis tests</w:t>
      </w:r>
    </w:p>
    <w:p>
      <w:pPr>
        <w:pStyle w:val="Compact"/>
        <w:numPr>
          <w:numId w:val="1002"/>
          <w:ilvl w:val="0"/>
        </w:numPr>
      </w:pPr>
      <w:r>
        <w:t xml:space="preserve">Too much reliance on significance testing in non-hypothesis driven research</w:t>
      </w:r>
    </w:p>
    <w:p>
      <w:pPr>
        <w:pStyle w:val="Compact"/>
        <w:numPr>
          <w:numId w:val="1002"/>
          <w:ilvl w:val="0"/>
        </w:numPr>
      </w:pPr>
      <w:r>
        <w:t xml:space="preserve">Poor reporting practices overall</w:t>
      </w:r>
    </w:p>
    <w:p>
      <w:r>
        <w:br w:type="page"/>
      </w:r>
    </w:p>
    <w:p>
      <w:pPr>
        <w:pStyle w:val="Heading1"/>
      </w:pPr>
      <w:bookmarkStart w:id="45" w:name="additional-information"/>
      <w:r>
        <w:t xml:space="preserve">Additional Information</w:t>
      </w:r>
      <w:bookmarkEnd w:id="45"/>
    </w:p>
    <w:p>
      <w:pPr>
        <w:pStyle w:val="Heading2"/>
      </w:pPr>
      <w:bookmarkStart w:id="46" w:name="data-accessibility"/>
      <w:r>
        <w:t xml:space="preserve">Data Accessibility</w:t>
      </w:r>
      <w:bookmarkEnd w:id="46"/>
    </w:p>
    <w:p>
      <w:pPr>
        <w:pStyle w:val="FirstParagraph"/>
      </w:pPr>
      <w:r>
        <w:t xml:space="preserve">The authors agree to share the raw data, digital study materials and analysis code. All study materials can be found on our OSF repository</w:t>
      </w:r>
      <w:r>
        <w:t xml:space="preserve"> </w:t>
      </w:r>
      <w:r>
        <w:t xml:space="preserve">.</w:t>
      </w:r>
    </w:p>
    <w:p>
      <w:pPr>
        <w:pStyle w:val="Heading2"/>
      </w:pPr>
      <w:bookmarkStart w:id="47" w:name="author-contributions"/>
      <w:r>
        <w:t xml:space="preserve">Author Contributions</w:t>
      </w:r>
      <w:bookmarkEnd w:id="47"/>
    </w:p>
    <w:p>
      <w:pPr>
        <w:pStyle w:val="Compact"/>
        <w:numPr>
          <w:numId w:val="1003"/>
          <w:ilvl w:val="0"/>
        </w:numPr>
      </w:pPr>
      <w:r>
        <w:t xml:space="preserve">Contributed to conception and design: TBA</w:t>
      </w:r>
    </w:p>
    <w:p>
      <w:pPr>
        <w:pStyle w:val="Compact"/>
        <w:numPr>
          <w:numId w:val="1003"/>
          <w:ilvl w:val="0"/>
        </w:numPr>
      </w:pPr>
      <w:r>
        <w:t xml:space="preserve">Contributed to acquisition of data: TBA</w:t>
      </w:r>
    </w:p>
    <w:p>
      <w:pPr>
        <w:pStyle w:val="Compact"/>
        <w:numPr>
          <w:numId w:val="1003"/>
          <w:ilvl w:val="0"/>
        </w:numPr>
      </w:pPr>
      <w:r>
        <w:t xml:space="preserve">Contributed to analysis and interpretation of data: TBA</w:t>
      </w:r>
    </w:p>
    <w:p>
      <w:pPr>
        <w:pStyle w:val="Compact"/>
        <w:numPr>
          <w:numId w:val="1003"/>
          <w:ilvl w:val="0"/>
        </w:numPr>
      </w:pPr>
      <w:r>
        <w:t xml:space="preserve">Drafted and/or revised the article: TBA</w:t>
      </w:r>
    </w:p>
    <w:p>
      <w:pPr>
        <w:pStyle w:val="Compact"/>
        <w:numPr>
          <w:numId w:val="1003"/>
          <w:ilvl w:val="0"/>
        </w:numPr>
      </w:pPr>
      <w:r>
        <w:t xml:space="preserve">Approved the submitted version for publication: TBA</w:t>
      </w:r>
    </w:p>
    <w:p>
      <w:pPr>
        <w:pStyle w:val="Heading2"/>
      </w:pPr>
      <w:bookmarkStart w:id="48" w:name="conflict-of-interest"/>
      <w:r>
        <w:t xml:space="preserve">Conflict of Interest</w:t>
      </w:r>
      <w:bookmarkEnd w:id="48"/>
    </w:p>
    <w:p>
      <w:pPr>
        <w:pStyle w:val="FirstParagraph"/>
      </w:pPr>
      <w:r>
        <w:t xml:space="preserve">Authors have no conflicts of interest to declare.</w:t>
      </w:r>
    </w:p>
    <w:p>
      <w:pPr>
        <w:pStyle w:val="Heading2"/>
      </w:pPr>
      <w:bookmarkStart w:id="49" w:name="funding"/>
      <w:r>
        <w:t xml:space="preserve">Funding</w:t>
      </w:r>
      <w:bookmarkEnd w:id="49"/>
    </w:p>
    <w:p>
      <w:pPr>
        <w:pStyle w:val="FirstParagraph"/>
      </w:pPr>
      <w:r>
        <w:t xml:space="preserve">This research was not funded activity. All necessary support was provided by the authors institutions. This study is an analysis of published research and does not require ethical approval.</w:t>
      </w:r>
    </w:p>
    <w:p>
      <w:pPr>
        <w:pStyle w:val="Heading2"/>
      </w:pPr>
      <w:bookmarkStart w:id="50" w:name="acknowledgments"/>
      <w:r>
        <w:t xml:space="preserve">Acknowledgments</w:t>
      </w:r>
      <w:bookmarkEnd w:id="50"/>
    </w:p>
    <w:p>
      <w:pPr>
        <w:pStyle w:val="FirstParagraph"/>
      </w:pPr>
      <w:r>
        <w:t xml:space="preserve">We would like to thank John Mills for his assistance in setting up our Qualtrics survey for coding process. We would also like to thank Anne Scheel and Fionn Buttner for their early feedback on this project’s design.</w:t>
      </w:r>
    </w:p>
    <w:p>
      <w:pPr>
        <w:pStyle w:val="Heading2"/>
      </w:pPr>
      <w:bookmarkStart w:id="51" w:name="preregistration"/>
      <w:r>
        <w:t xml:space="preserve">Preregistration</w:t>
      </w:r>
      <w:bookmarkEnd w:id="51"/>
    </w:p>
    <w:p>
      <w:pPr>
        <w:pStyle w:val="FirstParagraph"/>
      </w:pPr>
      <w:r>
        <w:t xml:space="preserve">Following Stage 1 in-principle acceptance, the authors agreed to pre-registration of the approved protocol on the Open Science Framework. The IPA registration can be found here:</w:t>
      </w:r>
      <w:r>
        <w:t xml:space="preserve"> </w:t>
      </w:r>
      <w:r>
        <w:t xml:space="preserve">.</w:t>
      </w:r>
    </w:p>
    <w:p>
      <w:pPr>
        <w:pStyle w:val="Heading2"/>
      </w:pPr>
      <w:bookmarkStart w:id="52" w:name="conflicts-of-interest"/>
      <w:r>
        <w:t xml:space="preserve">Conflicts of Interest</w:t>
      </w:r>
      <w:bookmarkEnd w:id="52"/>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p>
      <w:pPr>
        <w:pStyle w:val="Heading1"/>
      </w:pPr>
      <w:bookmarkStart w:id="53" w:name="references"/>
      <w:r>
        <w:t xml:space="preserve">References</w:t>
      </w:r>
      <w:bookmarkEnd w:id="53"/>
    </w:p>
    <w:p>
      <w:pPr>
        <w:pStyle w:val="FirstParagraph"/>
      </w:pPr>
      <w:r>
        <w:t xml:space="preserve">List of Names</w:t>
      </w:r>
    </w:p>
    <w:bookmarkStart w:id="125" w:name="refs"/>
    <w:bookmarkStart w:id="55"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4">
        <w:r>
          <w:rPr>
            <w:rStyle w:val="Hyperlink"/>
          </w:rPr>
          <w:t xml:space="preserve">https://doi.org/10.1080/02640414.2020.1776002</w:t>
        </w:r>
      </w:hyperlink>
    </w:p>
    <w:bookmarkEnd w:id="55"/>
    <w:bookmarkStart w:id="57" w:name="ref-Allen2019"/>
    <w:p>
      <w:pPr>
        <w:pStyle w:val="Bibliography"/>
      </w:pPr>
      <w:r>
        <w:t xml:space="preserve">Allen, C., &amp; Mehler, D. M. A. (2019). Open science challenges, benefits and tips in early career and beyond.</w:t>
      </w:r>
      <w:r>
        <w:t xml:space="preserve"> </w:t>
      </w:r>
      <w:r>
        <w:rPr>
          <w:i/>
        </w:rPr>
        <w:t xml:space="preserve">PLOS Biology</w:t>
      </w:r>
      <w:r>
        <w:t xml:space="preserve">,</w:t>
      </w:r>
      <w:r>
        <w:t xml:space="preserve"> </w:t>
      </w:r>
      <w:r>
        <w:rPr>
          <w:i/>
        </w:rPr>
        <w:t xml:space="preserve">17</w:t>
      </w:r>
      <w:r>
        <w:t xml:space="preserve">(5), e3000246.</w:t>
      </w:r>
      <w:r>
        <w:t xml:space="preserve"> </w:t>
      </w:r>
      <w:hyperlink r:id="rId56">
        <w:r>
          <w:rPr>
            <w:rStyle w:val="Hyperlink"/>
          </w:rPr>
          <w:t xml:space="preserve">https://doi.org/10.1371/journal.pbio.3000246</w:t>
        </w:r>
      </w:hyperlink>
    </w:p>
    <w:bookmarkEnd w:id="57"/>
    <w:bookmarkStart w:id="59"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58">
        <w:r>
          <w:rPr>
            <w:rStyle w:val="Hyperlink"/>
          </w:rPr>
          <w:t xml:space="preserve">https://doi.org/10.1016/j.cortex.2014.11.019</w:t>
        </w:r>
      </w:hyperlink>
    </w:p>
    <w:bookmarkEnd w:id="59"/>
    <w:bookmarkStart w:id="61"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0">
        <w:r>
          <w:rPr>
            <w:rStyle w:val="Hyperlink"/>
          </w:rPr>
          <w:t xml:space="preserve">https://doi.org/10.1007/s40279-020-01298-5</w:t>
        </w:r>
      </w:hyperlink>
    </w:p>
    <w:bookmarkEnd w:id="61"/>
    <w:bookmarkStart w:id="63"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2">
        <w:r>
          <w:rPr>
            <w:rStyle w:val="Hyperlink"/>
          </w:rPr>
          <w:t xml:space="preserve">https://doi.org/10.1002/pmrj.12395</w:t>
        </w:r>
      </w:hyperlink>
    </w:p>
    <w:bookmarkEnd w:id="63"/>
    <w:bookmarkStart w:id="65"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4">
        <w:r>
          <w:rPr>
            <w:rStyle w:val="Hyperlink"/>
          </w:rPr>
          <w:t xml:space="preserve">https://doi.org/10.18637/jss.v080.i01</w:t>
        </w:r>
      </w:hyperlink>
    </w:p>
    <w:bookmarkEnd w:id="65"/>
    <w:bookmarkStart w:id="67"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6">
        <w:r>
          <w:rPr>
            <w:rStyle w:val="Hyperlink"/>
          </w:rPr>
          <w:t xml:space="preserve">https://doi.org/10.1136/bjsports-2019-101863</w:t>
        </w:r>
      </w:hyperlink>
    </w:p>
    <w:bookmarkEnd w:id="67"/>
    <w:bookmarkStart w:id="68" w:name="ref-DORA2013"/>
    <w:p>
      <w:pPr>
        <w:pStyle w:val="Bibliography"/>
      </w:pPr>
      <w:r>
        <w:t xml:space="preserve">Cagan, R. (2013).</w:t>
      </w:r>
      <w:r>
        <w:t xml:space="preserve"> </w:t>
      </w:r>
      <w:r>
        <w:rPr>
          <w:i/>
        </w:rPr>
        <w:t xml:space="preserve">San francisco declaration on research assessment</w:t>
      </w:r>
      <w:r>
        <w:t xml:space="preserve">. The Company of Biologists Ltd.</w:t>
      </w:r>
    </w:p>
    <w:bookmarkEnd w:id="68"/>
    <w:bookmarkStart w:id="70" w:name="ref-Caldwell_Vigotsky_2020"/>
    <w:p>
      <w:pPr>
        <w:pStyle w:val="Bibliography"/>
      </w:pPr>
      <w:r>
        <w:t xml:space="preserve">Caldwell, A. R., &amp; Vigotsky, A. D. (2020).</w:t>
      </w:r>
      <w:r>
        <w:t xml:space="preserve"> </w:t>
      </w:r>
      <w:r>
        <w:rPr>
          <w:i/>
        </w:rPr>
        <w:t xml:space="preserve">Does one effect size fit all? The case against default effect sizes for sport and exercise science</w:t>
      </w:r>
      <w:r>
        <w:t xml:space="preserve">. SportRxiv.</w:t>
      </w:r>
      <w:r>
        <w:t xml:space="preserve"> </w:t>
      </w:r>
      <w:hyperlink r:id="rId69">
        <w:r>
          <w:rPr>
            <w:rStyle w:val="Hyperlink"/>
          </w:rPr>
          <w:t xml:space="preserve">https://doi.org/10.31236/osf.io/tfx95</w:t>
        </w:r>
      </w:hyperlink>
    </w:p>
    <w:bookmarkEnd w:id="70"/>
    <w:bookmarkStart w:id="72"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1">
        <w:r>
          <w:rPr>
            <w:rStyle w:val="Hyperlink"/>
          </w:rPr>
          <w:t xml:space="preserve">https://doi.org/10.1007/s40279-019-01227-1</w:t>
        </w:r>
      </w:hyperlink>
    </w:p>
    <w:bookmarkEnd w:id="72"/>
    <w:bookmarkStart w:id="74"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3">
        <w:r>
          <w:rPr>
            <w:rStyle w:val="Hyperlink"/>
          </w:rPr>
          <w:t xml:space="preserve">https://doi.org/10.1016/j.cortex.2015.03.022</w:t>
        </w:r>
      </w:hyperlink>
    </w:p>
    <w:bookmarkEnd w:id="74"/>
    <w:bookmarkStart w:id="76"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75">
        <w:r>
          <w:rPr>
            <w:rStyle w:val="Hyperlink"/>
          </w:rPr>
          <w:t xml:space="preserve">https://doi.org/10.1126/science.aac4716</w:t>
        </w:r>
      </w:hyperlink>
    </w:p>
    <w:bookmarkEnd w:id="76"/>
    <w:bookmarkStart w:id="78"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77">
        <w:r>
          <w:rPr>
            <w:rStyle w:val="Hyperlink"/>
          </w:rPr>
          <w:t xml:space="preserve">https://doi.org/10.1080/17461391.2019.1584249</w:t>
        </w:r>
      </w:hyperlink>
    </w:p>
    <w:bookmarkEnd w:id="78"/>
    <w:bookmarkStart w:id="80"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79">
        <w:r>
          <w:rPr>
            <w:rStyle w:val="Hyperlink"/>
          </w:rPr>
          <w:t xml:space="preserve">https://doi.org/10.1371/journal.pone.0005738</w:t>
        </w:r>
      </w:hyperlink>
    </w:p>
    <w:bookmarkEnd w:id="80"/>
    <w:bookmarkStart w:id="82"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1">
        <w:r>
          <w:rPr>
            <w:rStyle w:val="Hyperlink"/>
          </w:rPr>
          <w:t xml:space="preserve">https://doi.org/10.1371/journal.pone.0010068</w:t>
        </w:r>
      </w:hyperlink>
    </w:p>
    <w:bookmarkEnd w:id="82"/>
    <w:bookmarkStart w:id="84"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83">
        <w:r>
          <w:rPr>
            <w:rStyle w:val="Hyperlink"/>
          </w:rPr>
          <w:t xml:space="preserve">https://doi.org/10.1080/17461391.2018.1560508</w:t>
        </w:r>
      </w:hyperlink>
    </w:p>
    <w:bookmarkEnd w:id="84"/>
    <w:bookmarkStart w:id="86"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85">
        <w:r>
          <w:rPr>
            <w:rStyle w:val="Hyperlink"/>
          </w:rPr>
          <w:t xml:space="preserve">https://doi.org/10.1371/journal.pbio.1002106</w:t>
        </w:r>
      </w:hyperlink>
    </w:p>
    <w:bookmarkEnd w:id="86"/>
    <w:bookmarkStart w:id="88"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87">
        <w:r>
          <w:rPr>
            <w:rStyle w:val="Hyperlink"/>
          </w:rPr>
          <w:t xml:space="preserve">https://doi.org/10.14745/ccdr.v45i10a01</w:t>
        </w:r>
      </w:hyperlink>
    </w:p>
    <w:bookmarkEnd w:id="88"/>
    <w:bookmarkStart w:id="90"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89">
        <w:r>
          <w:rPr>
            <w:rStyle w:val="Hyperlink"/>
          </w:rPr>
          <w:t xml:space="preserve">https://doi.org/10.1177/0956797611430953</w:t>
        </w:r>
      </w:hyperlink>
    </w:p>
    <w:bookmarkEnd w:id="90"/>
    <w:bookmarkStart w:id="92"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91">
        <w:r>
          <w:rPr>
            <w:rStyle w:val="Hyperlink"/>
          </w:rPr>
          <w:t xml:space="preserve">https://doi.org/10.7554/elife.43464</w:t>
        </w:r>
      </w:hyperlink>
    </w:p>
    <w:bookmarkEnd w:id="92"/>
    <w:bookmarkStart w:id="94"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93">
        <w:r>
          <w:rPr>
            <w:rStyle w:val="Hyperlink"/>
          </w:rPr>
          <w:t xml:space="preserve">https://doi.org/10.3325/cmj.2009.50.105</w:t>
        </w:r>
      </w:hyperlink>
    </w:p>
    <w:bookmarkEnd w:id="94"/>
    <w:bookmarkStart w:id="96"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95">
        <w:r>
          <w:rPr>
            <w:rStyle w:val="Hyperlink"/>
          </w:rPr>
          <w:t xml:space="preserve">https://doi.org/10.1038/s41562-016-0021</w:t>
        </w:r>
      </w:hyperlink>
    </w:p>
    <w:bookmarkEnd w:id="96"/>
    <w:bookmarkStart w:id="98"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97">
        <w:r>
          <w:rPr>
            <w:rStyle w:val="Hyperlink"/>
          </w:rPr>
          <w:t xml:space="preserve">https://doi.org/10.7554/elife.23383</w:t>
        </w:r>
      </w:hyperlink>
    </w:p>
    <w:bookmarkEnd w:id="98"/>
    <w:bookmarkStart w:id="100"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99">
        <w:r>
          <w:rPr>
            <w:rStyle w:val="Hyperlink"/>
          </w:rPr>
          <w:t xml:space="preserve">https://doi.org/10.31222/osf.io/u4g6t</w:t>
        </w:r>
      </w:hyperlink>
    </w:p>
    <w:bookmarkEnd w:id="100"/>
    <w:bookmarkStart w:id="102"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01">
        <w:r>
          <w:rPr>
            <w:rStyle w:val="Hyperlink"/>
          </w:rPr>
          <w:t xml:space="preserve">https://doi.org/10.1038/nrd3439-c1</w:t>
        </w:r>
      </w:hyperlink>
    </w:p>
    <w:bookmarkEnd w:id="102"/>
    <w:bookmarkStart w:id="104"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03">
        <w:r>
          <w:rPr>
            <w:rStyle w:val="Hyperlink"/>
          </w:rPr>
          <w:t xml:space="preserve">https://doi.org/10.1038/447655a</w:t>
        </w:r>
      </w:hyperlink>
    </w:p>
    <w:bookmarkEnd w:id="104"/>
    <w:bookmarkStart w:id="106" w:name="ref-Sainani_2020"/>
    <w:p>
      <w:pPr>
        <w:pStyle w:val="Bibliography"/>
      </w:pPr>
      <w:r>
        <w:t xml:space="preserve">Sainani, K. L., Borg, D. N., Caldwell, A. R., Butson, M. L., Tenan, M. S., Vickers, A. J., Vigotsky, A. D., Warmenhoven, J., Nguyen, R., Lohse, K. R., &amp; al. (2020). Call to increase statistical collaboration in sports science, sport and exercise medicine and sports physiotherapy.</w:t>
      </w:r>
      <w:r>
        <w:t xml:space="preserve"> </w:t>
      </w:r>
      <w:r>
        <w:rPr>
          <w:i/>
        </w:rPr>
        <w:t xml:space="preserve">British Journal of Sports Medicine</w:t>
      </w:r>
      <w:r>
        <w:t xml:space="preserve">, bjsports–2020–102607.</w:t>
      </w:r>
      <w:r>
        <w:t xml:space="preserve"> </w:t>
      </w:r>
      <w:hyperlink r:id="rId105">
        <w:r>
          <w:rPr>
            <w:rStyle w:val="Hyperlink"/>
          </w:rPr>
          <w:t xml:space="preserve">https://doi.org/10.1136/bjsports-2020-102607</w:t>
        </w:r>
      </w:hyperlink>
    </w:p>
    <w:bookmarkEnd w:id="106"/>
    <w:bookmarkStart w:id="108"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07">
        <w:r>
          <w:rPr>
            <w:rStyle w:val="Hyperlink"/>
          </w:rPr>
          <w:t xml:space="preserve">https://doi.org/10.1111/sms.13491</w:t>
        </w:r>
      </w:hyperlink>
    </w:p>
    <w:bookmarkEnd w:id="108"/>
    <w:bookmarkStart w:id="110" w:name="ref-scheel_excess_2020"/>
    <w:p>
      <w:pPr>
        <w:pStyle w:val="Bibliography"/>
      </w:pPr>
      <w:r>
        <w:t xml:space="preserve">Scheel, A. M., Schijen, M., &amp; Lakens, D. (2020). An excess of positive results: Comparing the standard psychology literature with registered reports.</w:t>
      </w:r>
      <w:r>
        <w:t xml:space="preserve"> </w:t>
      </w:r>
      <w:r>
        <w:rPr>
          <w:i/>
        </w:rPr>
        <w:t xml:space="preserve">PsyArXiv</w:t>
      </w:r>
      <w:r>
        <w:t xml:space="preserve">.</w:t>
      </w:r>
      <w:r>
        <w:t xml:space="preserve"> </w:t>
      </w:r>
      <w:hyperlink r:id="rId109">
        <w:r>
          <w:rPr>
            <w:rStyle w:val="Hyperlink"/>
          </w:rPr>
          <w:t xml:space="preserve">https://doi.org/10.31234/osf.io/p6e9c</w:t>
        </w:r>
      </w:hyperlink>
    </w:p>
    <w:bookmarkEnd w:id="110"/>
    <w:bookmarkStart w:id="112"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11">
        <w:r>
          <w:rPr>
            <w:rStyle w:val="Hyperlink"/>
          </w:rPr>
          <w:t xml:space="preserve">https://doi.org/10.1177/1745691620966795</w:t>
        </w:r>
      </w:hyperlink>
    </w:p>
    <w:bookmarkEnd w:id="112"/>
    <w:bookmarkStart w:id="114" w:name="ref-ManyAnalysts2018"/>
    <w:p>
      <w:pPr>
        <w:pStyle w:val="Bibliography"/>
      </w:pPr>
      <w:r>
        <w:t xml:space="preserve">Silberzahn, R., Uhlmann, E. L., Martin, D. P., Anselmi, P., Aust, F., Awtrey, E., Bahnı́k,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13">
        <w:r>
          <w:rPr>
            <w:rStyle w:val="Hyperlink"/>
          </w:rPr>
          <w:t xml:space="preserve">https://doi.org/10.1177/2515245917747646</w:t>
        </w:r>
      </w:hyperlink>
    </w:p>
    <w:bookmarkEnd w:id="114"/>
    <w:bookmarkStart w:id="116"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15">
        <w:r>
          <w:rPr>
            <w:rStyle w:val="Hyperlink"/>
          </w:rPr>
          <w:t xml:space="preserve">https://doi.org/10.1177/0956797611417632</w:t>
        </w:r>
      </w:hyperlink>
    </w:p>
    <w:bookmarkEnd w:id="116"/>
    <w:bookmarkStart w:id="118"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17">
        <w:r>
          <w:rPr>
            <w:rStyle w:val="Hyperlink"/>
          </w:rPr>
          <w:t xml:space="preserve">https://doi.org/10.1101/2021.03.12.21253378</w:t>
        </w:r>
      </w:hyperlink>
    </w:p>
    <w:bookmarkEnd w:id="118"/>
    <w:bookmarkStart w:id="120"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19">
        <w:r>
          <w:rPr>
            <w:rStyle w:val="Hyperlink"/>
          </w:rPr>
          <w:t xml:space="preserve">https://doi.org/10.1016/j.psychsport.2017.12.010</w:t>
        </w:r>
      </w:hyperlink>
    </w:p>
    <w:bookmarkEnd w:id="120"/>
    <w:bookmarkStart w:id="122"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21">
        <w:r>
          <w:rPr>
            <w:rStyle w:val="Hyperlink"/>
          </w:rPr>
          <w:t xml:space="preserve">https://doi.org/10.1038/s42003-018-0073-z</w:t>
        </w:r>
      </w:hyperlink>
    </w:p>
    <w:bookmarkEnd w:id="122"/>
    <w:bookmarkStart w:id="124"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23">
        <w:r>
          <w:rPr>
            <w:rStyle w:val="Hyperlink"/>
          </w:rPr>
          <w:t xml:space="preserve">https://doi.org/10.31236/osf.io/sg3wm</w:t>
        </w:r>
      </w:hyperlink>
    </w:p>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hyperlink" Id="rId62" Target="https://doi.org/10.1002/pmrj.12395" TargetMode="External" /><Relationship Type="http://schemas.openxmlformats.org/officeDocument/2006/relationships/hyperlink" Id="rId71" Target="https://doi.org/10.1007/s40279-019-01227-1" TargetMode="External" /><Relationship Type="http://schemas.openxmlformats.org/officeDocument/2006/relationships/hyperlink" Id="rId60" Target="https://doi.org/10.1007/s40279-020-01298-5" TargetMode="External" /><Relationship Type="http://schemas.openxmlformats.org/officeDocument/2006/relationships/hyperlink" Id="rId58" Target="https://doi.org/10.1016/j.cortex.2014.11.019" TargetMode="External" /><Relationship Type="http://schemas.openxmlformats.org/officeDocument/2006/relationships/hyperlink" Id="rId73" Target="https://doi.org/10.1016/j.cortex.2015.03.022" TargetMode="External" /><Relationship Type="http://schemas.openxmlformats.org/officeDocument/2006/relationships/hyperlink" Id="rId119" Target="https://doi.org/10.1016/j.psychsport.2017.12.010" TargetMode="External" /><Relationship Type="http://schemas.openxmlformats.org/officeDocument/2006/relationships/hyperlink" Id="rId103" Target="https://doi.org/10.1038/447655a" TargetMode="External" /><Relationship Type="http://schemas.openxmlformats.org/officeDocument/2006/relationships/hyperlink" Id="rId101" Target="https://doi.org/10.1038/nrd3439-c1" TargetMode="External" /><Relationship Type="http://schemas.openxmlformats.org/officeDocument/2006/relationships/hyperlink" Id="rId95" Target="https://doi.org/10.1038/s41562-016-0021" TargetMode="External" /><Relationship Type="http://schemas.openxmlformats.org/officeDocument/2006/relationships/hyperlink" Id="rId121" Target="https://doi.org/10.1038/s42003-018-0073-z" TargetMode="External" /><Relationship Type="http://schemas.openxmlformats.org/officeDocument/2006/relationships/hyperlink" Id="rId54" Target="https://doi.org/10.1080/02640414.2020.1776002" TargetMode="External" /><Relationship Type="http://schemas.openxmlformats.org/officeDocument/2006/relationships/hyperlink" Id="rId83" Target="https://doi.org/10.1080/17461391.2018.1560508" TargetMode="External" /><Relationship Type="http://schemas.openxmlformats.org/officeDocument/2006/relationships/hyperlink" Id="rId77" Target="https://doi.org/10.1080/17461391.2019.1584249" TargetMode="External" /><Relationship Type="http://schemas.openxmlformats.org/officeDocument/2006/relationships/hyperlink" Id="rId117" Target="https://doi.org/10.1101/2021.03.12.21253378" TargetMode="External" /><Relationship Type="http://schemas.openxmlformats.org/officeDocument/2006/relationships/hyperlink" Id="rId107" Target="https://doi.org/10.1111/sms.13491" TargetMode="External" /><Relationship Type="http://schemas.openxmlformats.org/officeDocument/2006/relationships/hyperlink" Id="rId75" Target="https://doi.org/10.1126/science.aac4716" TargetMode="External" /><Relationship Type="http://schemas.openxmlformats.org/officeDocument/2006/relationships/hyperlink" Id="rId66" Target="https://doi.org/10.1136/bjsports-2019-101863" TargetMode="External" /><Relationship Type="http://schemas.openxmlformats.org/officeDocument/2006/relationships/hyperlink" Id="rId105" Target="https://doi.org/10.1136/bjsports-2020-102607" TargetMode="External" /><Relationship Type="http://schemas.openxmlformats.org/officeDocument/2006/relationships/hyperlink" Id="rId115" Target="https://doi.org/10.1177/0956797611417632" TargetMode="External" /><Relationship Type="http://schemas.openxmlformats.org/officeDocument/2006/relationships/hyperlink" Id="rId89" Target="https://doi.org/10.1177/0956797611430953" TargetMode="External" /><Relationship Type="http://schemas.openxmlformats.org/officeDocument/2006/relationships/hyperlink" Id="rId111" Target="https://doi.org/10.1177/1745691620966795" TargetMode="External" /><Relationship Type="http://schemas.openxmlformats.org/officeDocument/2006/relationships/hyperlink" Id="rId113" Target="https://doi.org/10.1177/2515245917747646" TargetMode="External" /><Relationship Type="http://schemas.openxmlformats.org/officeDocument/2006/relationships/hyperlink" Id="rId85" Target="https://doi.org/10.1371/journal.pbio.1002106" TargetMode="External" /><Relationship Type="http://schemas.openxmlformats.org/officeDocument/2006/relationships/hyperlink" Id="rId56" Target="https://doi.org/10.1371/journal.pbio.3000246" TargetMode="External" /><Relationship Type="http://schemas.openxmlformats.org/officeDocument/2006/relationships/hyperlink" Id="rId79" Target="https://doi.org/10.1371/journal.pone.0005738" TargetMode="External" /><Relationship Type="http://schemas.openxmlformats.org/officeDocument/2006/relationships/hyperlink" Id="rId81" Target="https://doi.org/10.1371/journal.pone.0010068" TargetMode="External" /><Relationship Type="http://schemas.openxmlformats.org/officeDocument/2006/relationships/hyperlink" Id="rId87" Target="https://doi.org/10.14745/ccdr.v45i10a01" TargetMode="External" /><Relationship Type="http://schemas.openxmlformats.org/officeDocument/2006/relationships/hyperlink" Id="rId64" Target="https://doi.org/10.18637/jss.v080.i01" TargetMode="External" /><Relationship Type="http://schemas.openxmlformats.org/officeDocument/2006/relationships/hyperlink" Id="rId99" Target="https://doi.org/10.31222/osf.io/u4g6t" TargetMode="External" /><Relationship Type="http://schemas.openxmlformats.org/officeDocument/2006/relationships/hyperlink" Id="rId109" Target="https://doi.org/10.31234/osf.io/p6e9c" TargetMode="External" /><Relationship Type="http://schemas.openxmlformats.org/officeDocument/2006/relationships/hyperlink" Id="rId123" Target="https://doi.org/10.31236/osf.io/sg3wm" TargetMode="External" /><Relationship Type="http://schemas.openxmlformats.org/officeDocument/2006/relationships/hyperlink" Id="rId69" Target="https://doi.org/10.31236/osf.io/tfx95" TargetMode="External" /><Relationship Type="http://schemas.openxmlformats.org/officeDocument/2006/relationships/hyperlink" Id="rId93" Target="https://doi.org/10.3325/cmj.2009.50.105" TargetMode="External" /><Relationship Type="http://schemas.openxmlformats.org/officeDocument/2006/relationships/hyperlink" Id="rId97" Target="https://doi.org/10.7554/elife.23383" TargetMode="External" /><Relationship Type="http://schemas.openxmlformats.org/officeDocument/2006/relationships/hyperlink" Id="rId91" Target="https://doi.org/10.7554/elife.43464"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002/pmrj.12395" TargetMode="External" /><Relationship Type="http://schemas.openxmlformats.org/officeDocument/2006/relationships/hyperlink" Id="rId71" Target="https://doi.org/10.1007/s40279-019-01227-1" TargetMode="External" /><Relationship Type="http://schemas.openxmlformats.org/officeDocument/2006/relationships/hyperlink" Id="rId60" Target="https://doi.org/10.1007/s40279-020-01298-5" TargetMode="External" /><Relationship Type="http://schemas.openxmlformats.org/officeDocument/2006/relationships/hyperlink" Id="rId58" Target="https://doi.org/10.1016/j.cortex.2014.11.019" TargetMode="External" /><Relationship Type="http://schemas.openxmlformats.org/officeDocument/2006/relationships/hyperlink" Id="rId73" Target="https://doi.org/10.1016/j.cortex.2015.03.022" TargetMode="External" /><Relationship Type="http://schemas.openxmlformats.org/officeDocument/2006/relationships/hyperlink" Id="rId119" Target="https://doi.org/10.1016/j.psychsport.2017.12.010" TargetMode="External" /><Relationship Type="http://schemas.openxmlformats.org/officeDocument/2006/relationships/hyperlink" Id="rId103" Target="https://doi.org/10.1038/447655a" TargetMode="External" /><Relationship Type="http://schemas.openxmlformats.org/officeDocument/2006/relationships/hyperlink" Id="rId101" Target="https://doi.org/10.1038/nrd3439-c1" TargetMode="External" /><Relationship Type="http://schemas.openxmlformats.org/officeDocument/2006/relationships/hyperlink" Id="rId95" Target="https://doi.org/10.1038/s41562-016-0021" TargetMode="External" /><Relationship Type="http://schemas.openxmlformats.org/officeDocument/2006/relationships/hyperlink" Id="rId121" Target="https://doi.org/10.1038/s42003-018-0073-z" TargetMode="External" /><Relationship Type="http://schemas.openxmlformats.org/officeDocument/2006/relationships/hyperlink" Id="rId54" Target="https://doi.org/10.1080/02640414.2020.1776002" TargetMode="External" /><Relationship Type="http://schemas.openxmlformats.org/officeDocument/2006/relationships/hyperlink" Id="rId83" Target="https://doi.org/10.1080/17461391.2018.1560508" TargetMode="External" /><Relationship Type="http://schemas.openxmlformats.org/officeDocument/2006/relationships/hyperlink" Id="rId77" Target="https://doi.org/10.1080/17461391.2019.1584249" TargetMode="External" /><Relationship Type="http://schemas.openxmlformats.org/officeDocument/2006/relationships/hyperlink" Id="rId117" Target="https://doi.org/10.1101/2021.03.12.21253378" TargetMode="External" /><Relationship Type="http://schemas.openxmlformats.org/officeDocument/2006/relationships/hyperlink" Id="rId107" Target="https://doi.org/10.1111/sms.13491" TargetMode="External" /><Relationship Type="http://schemas.openxmlformats.org/officeDocument/2006/relationships/hyperlink" Id="rId75" Target="https://doi.org/10.1126/science.aac4716" TargetMode="External" /><Relationship Type="http://schemas.openxmlformats.org/officeDocument/2006/relationships/hyperlink" Id="rId66" Target="https://doi.org/10.1136/bjsports-2019-101863" TargetMode="External" /><Relationship Type="http://schemas.openxmlformats.org/officeDocument/2006/relationships/hyperlink" Id="rId105" Target="https://doi.org/10.1136/bjsports-2020-102607" TargetMode="External" /><Relationship Type="http://schemas.openxmlformats.org/officeDocument/2006/relationships/hyperlink" Id="rId115" Target="https://doi.org/10.1177/0956797611417632" TargetMode="External" /><Relationship Type="http://schemas.openxmlformats.org/officeDocument/2006/relationships/hyperlink" Id="rId89" Target="https://doi.org/10.1177/0956797611430953" TargetMode="External" /><Relationship Type="http://schemas.openxmlformats.org/officeDocument/2006/relationships/hyperlink" Id="rId111" Target="https://doi.org/10.1177/1745691620966795" TargetMode="External" /><Relationship Type="http://schemas.openxmlformats.org/officeDocument/2006/relationships/hyperlink" Id="rId113" Target="https://doi.org/10.1177/2515245917747646" TargetMode="External" /><Relationship Type="http://schemas.openxmlformats.org/officeDocument/2006/relationships/hyperlink" Id="rId85" Target="https://doi.org/10.1371/journal.pbio.1002106" TargetMode="External" /><Relationship Type="http://schemas.openxmlformats.org/officeDocument/2006/relationships/hyperlink" Id="rId56" Target="https://doi.org/10.1371/journal.pbio.3000246" TargetMode="External" /><Relationship Type="http://schemas.openxmlformats.org/officeDocument/2006/relationships/hyperlink" Id="rId79" Target="https://doi.org/10.1371/journal.pone.0005738" TargetMode="External" /><Relationship Type="http://schemas.openxmlformats.org/officeDocument/2006/relationships/hyperlink" Id="rId81" Target="https://doi.org/10.1371/journal.pone.0010068" TargetMode="External" /><Relationship Type="http://schemas.openxmlformats.org/officeDocument/2006/relationships/hyperlink" Id="rId87" Target="https://doi.org/10.14745/ccdr.v45i10a01" TargetMode="External" /><Relationship Type="http://schemas.openxmlformats.org/officeDocument/2006/relationships/hyperlink" Id="rId64" Target="https://doi.org/10.18637/jss.v080.i01" TargetMode="External" /><Relationship Type="http://schemas.openxmlformats.org/officeDocument/2006/relationships/hyperlink" Id="rId99" Target="https://doi.org/10.31222/osf.io/u4g6t" TargetMode="External" /><Relationship Type="http://schemas.openxmlformats.org/officeDocument/2006/relationships/hyperlink" Id="rId109" Target="https://doi.org/10.31234/osf.io/p6e9c" TargetMode="External" /><Relationship Type="http://schemas.openxmlformats.org/officeDocument/2006/relationships/hyperlink" Id="rId123" Target="https://doi.org/10.31236/osf.io/sg3wm" TargetMode="External" /><Relationship Type="http://schemas.openxmlformats.org/officeDocument/2006/relationships/hyperlink" Id="rId69" Target="https://doi.org/10.31236/osf.io/tfx95" TargetMode="External" /><Relationship Type="http://schemas.openxmlformats.org/officeDocument/2006/relationships/hyperlink" Id="rId93" Target="https://doi.org/10.3325/cmj.2009.50.105" TargetMode="External" /><Relationship Type="http://schemas.openxmlformats.org/officeDocument/2006/relationships/hyperlink" Id="rId97" Target="https://doi.org/10.7554/elife.23383" TargetMode="External" /><Relationship Type="http://schemas.openxmlformats.org/officeDocument/2006/relationships/hyperlink" Id="rId91" Target="https://doi.org/10.7554/elife.434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An Observational Study of the Positive Result Rate and Reporting Practices in Kinesiology</dc:title>
  <dc:creator/>
  <dc:subject>metascience</dc:subject>
  <cp:keywords>key1, key2, key3</cp:keywords>
  <dcterms:created xsi:type="dcterms:W3CDTF">2021-08-09T19:35:06Z</dcterms:created>
  <dcterms:modified xsi:type="dcterms:W3CDTF">2021-08-09T19:35:06Z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Therefore, in this study we retrospectively evaluated 300 original research articles from the flagship journals of America (Medicine and Science in Sport and Exercise), Europe (European Journal of Sport Science), and Australia (Journal of Science and Medicine in Sport). The hypothesis testing rate (~60%) and positive result rate (~80%) were much lower than what has been reported in other fields (e.g., psychology). However, most studies did not report trial registration, and rarely included accessible data indicating rather poor reporting practices. We also observed that 92% of studies without a hypothesis, and 96% with a hypothesis relied upon significance testing. Overall, we conclude that while the positive result rate was lower than expected, other reporting practives must improve within the Kinesiology literature.</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An Observational Study of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2021-08-09</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