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2021-09-09</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(Sainani et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Sainani et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is available at:</w:t>
      </w:r>
      <w:r>
        <w:t xml:space="preserve"> </w:t>
      </w:r>
      <w:hyperlink r:id="rId24">
        <w:r>
          <w:rPr>
            <w:rStyle w:val="Hyperlink"/>
          </w:rPr>
          <w:t xml:space="preserve">https://osf.io/nwcx6/?view_only=a41116388e9244b7821bfb9fe5496bd2</w:t>
        </w:r>
      </w:hyperlink>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5" w:name="measures-and-coding-procedure"/>
      <w:r>
        <w:t xml:space="preserve">Measures and Coding Procedure</w:t>
      </w:r>
      <w:bookmarkEnd w:id="25"/>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Research articles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6" w:name="X7ae563934efd1658fe3db75ba85233d3c7ff550"/>
      <w:r>
        <w:t xml:space="preserve">Support for a Hypothesis in the Kinesiology Literature</w:t>
      </w:r>
      <w:bookmarkEnd w:id="26"/>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7" w:name="replication-status"/>
      <w:r>
        <w:t xml:space="preserve">Replication Status</w:t>
      </w:r>
      <w:bookmarkEnd w:id="27"/>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p>
      <w:pPr>
        <w:pStyle w:val="Heading2"/>
      </w:pPr>
      <w:bookmarkStart w:id="28" w:name="statistical-reporting"/>
      <w:r>
        <w:t xml:space="preserve">Statistical Reporting</w:t>
      </w:r>
      <w:bookmarkEnd w:id="28"/>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t>=</m:t>
        </m:r>
        <m:r>
          <m:t>0.049</m:t>
        </m:r>
      </m:oMath>
      <w:r>
        <w:t xml:space="preserve"> </w:t>
      </w:r>
      <w:r>
        <w:t xml:space="preserve">vs. </w:t>
      </w:r>
      <m:oMath>
        <m:r>
          <m:t>p</m:t>
        </m:r>
        <m:r>
          <m:t>&lt;</m:t>
        </m:r>
        <m:r>
          <m:t>0.05</m:t>
        </m:r>
      </m:oMath>
      <w:r>
        <w:t xml:space="preserve">). If a relative p-value was reported, the level of the reported p-value (e.g.,</w:t>
      </w:r>
      <w:r>
        <w:t xml:space="preserve"> </w:t>
      </w:r>
      <m:oMath>
        <m:r>
          <m:t>p</m:t>
        </m:r>
        <m:r>
          <m:t>&lt;</m:t>
        </m:r>
        <m:r>
          <m:t>0.05</m:t>
        </m:r>
      </m:oMath>
      <w:r>
        <w:t xml:space="preserve">,</w:t>
      </w:r>
      <w:r>
        <w:t xml:space="preserve"> </w:t>
      </w:r>
      <m:oMath>
        <m:r>
          <m:t>p</m:t>
        </m:r>
        <m:r>
          <m:t>&lt;</m:t>
        </m:r>
        <m:r>
          <m:t>0.01</m:t>
        </m:r>
      </m:oMath>
      <w:r>
        <w:t xml:space="preserve">)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p>
      <w:pPr>
        <w:pStyle w:val="Heading2"/>
      </w:pPr>
      <w:bookmarkStart w:id="29" w:name="other-reporting-practices"/>
      <w:r>
        <w:t xml:space="preserve">Other Reporting Practices</w:t>
      </w:r>
      <w:bookmarkEnd w:id="29"/>
    </w:p>
    <w:p>
      <w:pPr>
        <w:pStyle w:val="FirstParagraph"/>
      </w:pPr>
      <w:r>
        <w:t xml:space="preserve">Coders assessed whether the study was a clinical trial, according to the ICJME definition (</w:t>
      </w:r>
      <w:hyperlink r:id="rId30">
        <w:r>
          <w:rPr>
            <w:rStyle w:val="Hyperlink"/>
          </w:rPr>
          <w:t xml:space="preserve">https://hub.ucsf.edu/clinicaltrialsgov-definition-clinical-trial</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 additional supplementary data), and, if yes, whether there was open access to the original data and/or code via a link or supplementary file.</w:t>
      </w:r>
    </w:p>
    <w:p>
      <w:pPr>
        <w:pStyle w:val="Heading2"/>
      </w:pPr>
      <w:bookmarkStart w:id="31" w:name="pilot-testing"/>
      <w:r>
        <w:t xml:space="preserve">Pilot Testing</w:t>
      </w:r>
      <w:bookmarkEnd w:id="31"/>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2" w:name="statistical-analysis"/>
      <w:r>
        <w:t xml:space="preserve">Statistical Analysis</w:t>
      </w:r>
      <w:bookmarkEnd w:id="32"/>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OSF repository. Additional, data related to the inter-rater reliability can be found within the supplemental material.</w:t>
      </w:r>
    </w:p>
    <w:p>
      <w:pPr>
        <w:pStyle w:val="Heading3"/>
      </w:pPr>
      <w:bookmarkStart w:id="33" w:name="confirmatory-analyses"/>
      <w:r>
        <w:t xml:space="preserve">Confirmatory Analyses</w:t>
      </w:r>
      <w:bookmarkEnd w:id="33"/>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4" w:name="exploratory-analyses"/>
      <w:r>
        <w:t xml:space="preserve">Exploratory Analyses</w:t>
      </w:r>
      <w:bookmarkEnd w:id="34"/>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p>
      <w:pPr>
        <w:pStyle w:val="Heading1"/>
      </w:pPr>
      <w:bookmarkStart w:id="35" w:name="results"/>
      <w:r>
        <w:t xml:space="preserve">Results</w:t>
      </w:r>
      <w:bookmarkEnd w:id="35"/>
    </w:p>
    <w:p>
      <w:pPr>
        <w:pStyle w:val="Heading2"/>
      </w:pPr>
      <w:bookmarkStart w:id="36" w:name="confirmatory-results"/>
      <w:r>
        <w:t xml:space="preserve">Confirmatory Results</w:t>
      </w:r>
      <w:bookmarkEnd w:id="36"/>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p>
      <w:pPr>
        <w:pStyle w:val="Heading2"/>
      </w:pPr>
      <w:bookmarkStart w:id="38" w:name="exploratory-results"/>
      <w:r>
        <w:t xml:space="preserve">Exploratory Results</w:t>
      </w:r>
      <w:bookmarkEnd w:id="38"/>
    </w:p>
    <w:p>
      <w:pPr>
        <w:pStyle w:val="Heading3"/>
      </w:pPr>
      <w:bookmarkStart w:id="39" w:name="statistics-reporting"/>
      <w:r>
        <w:t xml:space="preserve">Statistics Reporting</w:t>
      </w:r>
      <w:bookmarkEnd w:id="39"/>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only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w:t>
      </w:r>
    </w:p>
    <w:p>
      <w:pPr>
        <w:pStyle w:val="Heading3"/>
      </w:pPr>
      <w:bookmarkStart w:id="40" w:name="other-important-reporting-practices"/>
      <w:r>
        <w:t xml:space="preserve">Other Important Reporting Practices</w:t>
      </w:r>
      <w:bookmarkEnd w:id="40"/>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p>
      <w:pPr>
        <w:pStyle w:val="Heading3"/>
      </w:pPr>
      <w:bookmarkStart w:id="41" w:name="analysis-by-journal"/>
      <w:r>
        <w:t xml:space="preserve">Analysis by Journal</w:t>
      </w:r>
      <w:bookmarkEnd w:id="41"/>
    </w:p>
    <w:p>
      <w:pPr>
        <w:pStyle w:val="FirstParagraph"/>
      </w:pPr>
      <w:r>
        <w:t xml:space="preserve">We tested for differences in the degree of support for the main hypothesis between the three journals, but no differences were noted,</w:t>
      </w:r>
      <w:r>
        <w:t xml:space="preserve"> </w:t>
      </w:r>
      <m:oMath>
        <m:sSup>
          <m:e>
            <m:r>
              <m:t>χ</m:t>
            </m:r>
          </m:e>
          <m:sup>
            <m:r>
              <m:t>2</m:t>
            </m:r>
          </m:sup>
        </m:sSup>
      </m:oMath>
      <w:r>
        <w:t xml:space="preserve">(6) = 2.4; p=0.879, (Figure 2A). All three journals had</w:t>
      </w:r>
      <w:r>
        <w:t xml:space="preserve"> </w:t>
      </w:r>
      <w:r>
        <w:t xml:space="preserve">“</w:t>
      </w:r>
      <w:r>
        <w:t xml:space="preserve">Full support</w:t>
      </w:r>
      <w:r>
        <w:t xml:space="preserve">”</w:t>
      </w:r>
      <w:r>
        <w:t xml:space="preserve"> </w:t>
      </w:r>
      <w:r>
        <w:t xml:space="preserve">for the stated hypothesis in &gt;45% of manuscripts.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2"/>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3" w:name="analysis-by-discipline"/>
      <w:r>
        <w:t xml:space="preserve">Analysis by Discipline</w:t>
      </w:r>
      <w:bookmarkEnd w:id="43"/>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andd environmental physiology studies all found full or partial support within the sample of manuscripts (Figure 3A). Basic physiology was the worst at not reporting whether or not a hypothesis was supported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indication of whether a hypothesis was tested B) level of reported support for hypothese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4"/>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indication of whether a hypothesis was tested B) level of reported support for hypotheses, and C) the estimated total sample size (grey bands indicate 95% confidence intervals).</w:t>
      </w:r>
    </w:p>
    <w:p>
      <w:r>
        <w:br w:type="page"/>
      </w:r>
    </w:p>
    <w:p>
      <w:pPr>
        <w:pStyle w:val="Heading3"/>
      </w:pPr>
      <w:bookmarkStart w:id="45" w:name="analysis-of-rct-and-clinical-trials"/>
      <w:r>
        <w:t xml:space="preserve">Analysis of RCT and Clinical Trials</w:t>
      </w:r>
      <w:bookmarkEnd w:id="45"/>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high rate, 73.4% [60.9, 83.7], of testing hypotheses. Like clinical trials, RCTs often lacked sample size justifications, 50% [37.2, 62.8], and lacked pre-registrations, 28.1% [17.6, 40.8].</w:t>
      </w:r>
    </w:p>
    <w:p>
      <w:pPr>
        <w:pStyle w:val="Heading1"/>
      </w:pPr>
      <w:bookmarkStart w:id="46" w:name="discussion"/>
      <w:r>
        <w:t xml:space="preserve">Discussion</w:t>
      </w:r>
      <w:bookmarkEnd w:id="46"/>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However, we estimate that the positive result in the kinesiology literature is approximately 81% (Figure 1A). This rate is lower than previous studies of adjacent fields like sports medicine at ~97.2%</w:t>
      </w:r>
      <w:r>
        <w:t xml:space="preserve"> </w:t>
      </w:r>
      <w:r>
        <w:t xml:space="preserve">(Büttner et al., 2020)</w:t>
      </w:r>
      <w:r>
        <w:t xml:space="preserve">, psychology at ~96%</w:t>
      </w:r>
      <w:r>
        <w:t xml:space="preserve"> </w:t>
      </w:r>
      <w:r>
        <w:t xml:space="preserve">(Scheel, Schijen, et al., 2020)</w:t>
      </w:r>
      <w:r>
        <w:t xml:space="preserve">, or even the average of all scientific disciplines at ~84%</w:t>
      </w:r>
      <w:r>
        <w:t xml:space="preserve"> </w:t>
      </w:r>
      <w:r>
        <w:t xml:space="preserve">(Fanelli, 2010)</w:t>
      </w:r>
      <w:r>
        <w:t xml:space="preserve">. This positive result rate is still excessively high at 81%, and would likely be much lower if there more stringent criteria for hypothesis tests. For example, when researchers use a registered report model for testing hypotheses the positive result rate drops to 46%</w:t>
      </w:r>
      <w:r>
        <w:t xml:space="preserve"> </w:t>
      </w:r>
      <w:r>
        <w:t xml:space="preserve">(Scheel, Schijen, et al., 2020)</w:t>
      </w:r>
      <w:r>
        <w:t xml:space="preserve">. Our secondary hypothesis that more than 60% of articles would explicitly report a hypothesis was corroborated, though our estimate of approximately 64% is relatively low when considering that &gt;90% of articles used null hypothesis significance testing. The low proportion of null results, lack of sample size justifications, low numbers of pre-registrations (even in the case of clinical trials), the near absence of open data, and the complete absence of replication studies cast doubt on the credibility of the scientific reporting practices of sport and exercise science.</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Schijen, et al., 2020)</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Kinesiology researchers may design studies and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It is implausible given the 100% positive result rate in environmental physiology articles where the average sample size was lowest (N = 16). In addition, there have previously been similar concerns with the Journal of Sports Science reporting a median sample size of 19</w:t>
      </w:r>
      <w:r>
        <w:t xml:space="preserve"> </w:t>
      </w:r>
      <w:r>
        <w:t xml:space="preserve">(Abt et al., 2020)</w:t>
      </w:r>
      <w:r>
        <w:t xml:space="preserve">.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QRPs can be intentional or unintentional; some researchers may simply lack awareness, and consider QRPs to be a normal part of the research process rather than detrimental practices that inflate the Type 1 error rate and lead to a biased literature. Unconscious biases may cause a tendency for researchers to confirm tested hypotheses (confirmation bias) and can influence participants to meet researcher expectations. Similarly, researchers are not immune to publication bias and may be influenced by the perception or reality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an in-principal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Data and code sharing adds value to the research process by providing verifiable results, and facilitating meta-analysis. Our survey of the literature shows that kinesiology is behind in creating a culture that embraces open research practices. The more encouraging findings are that the majority of studies included an effect size measure, though we used a broad definition of effect sizes, and reporting was not always considered best practice by coders (e.g., only reporting percent changes). Still, ~20% of studies did not provide any indication of the magnitude of the effect and relied only on p-values, without consideration of the practical or clinical significance of an intervention or experimental manipulation.</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for sport and exercise science.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 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are not focused on hypothesis tests, should spend more time describing the statistical results within the manuscript and avoid placing emphasis on statistical significance. Generally, we would recommend that sport and exercise scientists adopt a more diverse set of statistical tools and for journals to encourage manuscripts submissions that do not rely upon significance testing.</w:t>
      </w:r>
    </w:p>
    <w:p>
      <w:pPr>
        <w:pStyle w:val="Heading2"/>
      </w:pPr>
      <w:bookmarkStart w:id="47" w:name="limitations"/>
      <w:r>
        <w:t xml:space="preserve">Limitations</w:t>
      </w:r>
      <w:bookmarkEnd w:id="47"/>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p>
      <w:pPr>
        <w:pStyle w:val="Heading2"/>
      </w:pPr>
      <w:bookmarkStart w:id="48" w:name="conclusion"/>
      <w:r>
        <w:t xml:space="preserve">Conclusion</w:t>
      </w:r>
      <w:bookmarkEnd w:id="48"/>
    </w:p>
    <w:p>
      <w:pPr>
        <w:pStyle w:val="FirstParagraph"/>
      </w:pPr>
      <w:r>
        <w:t xml:space="preserve">A moderate proportion (~64%) of scientific articles published by society-led kinesiology journals are confirmatory (hypothesis testing), and the vast majority of these (~81%) report partial or full support for their first hypothesis. Although clearly lower than reported for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while the positive result rate was lower than expected, other reporting standards must improve within the kinesiology literature. Adoption of improved reporting practices should help increase the credibility of the sport and exercise literature.</w:t>
      </w:r>
    </w:p>
    <w:p>
      <w:r>
        <w:br w:type="page"/>
      </w:r>
    </w:p>
    <w:p>
      <w:pPr>
        <w:pStyle w:val="Heading1"/>
      </w:pPr>
      <w:bookmarkStart w:id="49" w:name="additional-information"/>
      <w:r>
        <w:t xml:space="preserve">Additional Information</w:t>
      </w:r>
      <w:bookmarkEnd w:id="49"/>
    </w:p>
    <w:p>
      <w:pPr>
        <w:pStyle w:val="Heading2"/>
      </w:pPr>
      <w:bookmarkStart w:id="50" w:name="data"/>
      <w:r>
        <w:t xml:space="preserve">Data Accessibility</w:t>
      </w:r>
      <w:bookmarkEnd w:id="50"/>
    </w:p>
    <w:p>
      <w:pPr>
        <w:pStyle w:val="FirstParagraph"/>
      </w:pPr>
      <w:r>
        <w:t xml:space="preserve">The authors agree to share the raw data, digital study materials and analysis code. All study materials can be found on our OSF repository:</w:t>
      </w:r>
    </w:p>
    <w:p>
      <w:pPr>
        <w:pStyle w:val="BodyText"/>
      </w:pPr>
      <w:hyperlink r:id="rId24">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funded activity. All necessary support was provided by the authors institutions. This study is an analysis of published research and does not require ethical approval.</w:t>
      </w:r>
    </w:p>
    <w:p>
      <w:pPr>
        <w:pStyle w:val="Heading2"/>
      </w:pPr>
      <w:bookmarkStart w:id="53" w:name="acknowledgments"/>
      <w:r>
        <w:t xml:space="preserve">Acknowledgments</w:t>
      </w:r>
      <w:bookmarkEnd w:id="53"/>
    </w:p>
    <w:p>
      <w:pPr>
        <w:pStyle w:val="FirstParagraph"/>
      </w:pPr>
      <w:r>
        <w:t xml:space="preserve">We would like to thank John Mills for his assistance in setting up our Qualtrics survey for coding process. We also thank Megan Rosa-Caldwell for her assistance in obtaining and organizing the manuscripts from EJSS. We would also like to thank Anne Scheel and Fionn Buttner for their early feedback on this project’s design.</w:t>
      </w:r>
    </w:p>
    <w:p>
      <w:pPr>
        <w:pStyle w:val="Heading2"/>
      </w:pPr>
      <w:bookmarkStart w:id="54" w:name="preregistration"/>
      <w:r>
        <w:t xml:space="preserve">Preregistration</w:t>
      </w:r>
      <w:bookmarkEnd w:id="54"/>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5">
        <w:r>
          <w:rPr>
            <w:rStyle w:val="Hyperlink"/>
          </w:rPr>
          <w:t xml:space="preserve">https://osf.io/3pqr7</w:t>
        </w:r>
      </w:hyperlink>
      <w:r>
        <w:t xml:space="preserve">.</w:t>
      </w:r>
    </w:p>
    <w:p>
      <w:pPr>
        <w:pStyle w:val="Heading2"/>
      </w:pPr>
      <w:bookmarkStart w:id="56" w:name="conflicts-of-interest"/>
      <w:r>
        <w:t xml:space="preserve">Conflicts of Interest</w:t>
      </w:r>
      <w:bookmarkEnd w:id="56"/>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p>
      <w:pPr>
        <w:pStyle w:val="Heading1"/>
      </w:pPr>
      <w:bookmarkStart w:id="57" w:name="references"/>
      <w:r>
        <w:t xml:space="preserve">References</w:t>
      </w:r>
      <w:bookmarkEnd w:id="57"/>
    </w:p>
    <w:bookmarkStart w:id="135" w:name="refs"/>
    <w:bookmarkStart w:id="59"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8">
        <w:r>
          <w:rPr>
            <w:rStyle w:val="Hyperlink"/>
          </w:rPr>
          <w:t xml:space="preserve">https://doi.org/10.1080/02640414.2020.1776002</w:t>
        </w:r>
      </w:hyperlink>
    </w:p>
    <w:bookmarkEnd w:id="59"/>
    <w:bookmarkStart w:id="61" w:name="ref-Allen2019"/>
    <w:p>
      <w:pPr>
        <w:pStyle w:val="Bibliography"/>
      </w:pPr>
      <w:r>
        <w:t xml:space="preserve">Allen, C., &amp; Mehler, D. M. A. (2019). Open science challenges, benefits and tips in early career and beyond.</w:t>
      </w:r>
      <w:r>
        <w:t xml:space="preserve"> </w:t>
      </w:r>
      <w:r>
        <w:rPr>
          <w:i/>
        </w:rPr>
        <w:t xml:space="preserve">PLOS Biology</w:t>
      </w:r>
      <w:r>
        <w:t xml:space="preserve">,</w:t>
      </w:r>
      <w:r>
        <w:t xml:space="preserve"> </w:t>
      </w:r>
      <w:r>
        <w:rPr>
          <w:i/>
        </w:rPr>
        <w:t xml:space="preserve">17</w:t>
      </w:r>
      <w:r>
        <w:t xml:space="preserve">(5), e3000246.</w:t>
      </w:r>
      <w:r>
        <w:t xml:space="preserve"> </w:t>
      </w:r>
      <w:hyperlink r:id="rId60">
        <w:r>
          <w:rPr>
            <w:rStyle w:val="Hyperlink"/>
          </w:rPr>
          <w:t xml:space="preserve">https://doi.org/10.1371/journal.pbio.3000246</w:t>
        </w:r>
      </w:hyperlink>
    </w:p>
    <w:bookmarkEnd w:id="61"/>
    <w:bookmarkStart w:id="63"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2">
        <w:r>
          <w:rPr>
            <w:rStyle w:val="Hyperlink"/>
          </w:rPr>
          <w:t xml:space="preserve">https://doi.org/10.1016/j.cortex.2014.11.019</w:t>
        </w:r>
      </w:hyperlink>
    </w:p>
    <w:bookmarkEnd w:id="63"/>
    <w:bookmarkStart w:id="65"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4">
        <w:r>
          <w:rPr>
            <w:rStyle w:val="Hyperlink"/>
          </w:rPr>
          <w:t xml:space="preserve">https://doi.org/10.1007/s40279-020-01298-5</w:t>
        </w:r>
      </w:hyperlink>
    </w:p>
    <w:bookmarkEnd w:id="65"/>
    <w:bookmarkStart w:id="67"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6">
        <w:r>
          <w:rPr>
            <w:rStyle w:val="Hyperlink"/>
          </w:rPr>
          <w:t xml:space="preserve">https://doi.org/10.1002/pmrj.12395</w:t>
        </w:r>
      </w:hyperlink>
    </w:p>
    <w:bookmarkEnd w:id="67"/>
    <w:bookmarkStart w:id="69"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8">
        <w:r>
          <w:rPr>
            <w:rStyle w:val="Hyperlink"/>
          </w:rPr>
          <w:t xml:space="preserve">https://doi.org/10.18637/jss.v080.i01</w:t>
        </w:r>
      </w:hyperlink>
    </w:p>
    <w:bookmarkEnd w:id="69"/>
    <w:bookmarkStart w:id="71"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70">
        <w:r>
          <w:rPr>
            <w:rStyle w:val="Hyperlink"/>
          </w:rPr>
          <w:t xml:space="preserve">https://doi.org/10.1136/bjsports-2019-101863</w:t>
        </w:r>
      </w:hyperlink>
    </w:p>
    <w:bookmarkEnd w:id="71"/>
    <w:bookmarkStart w:id="72" w:name="ref-DORA2013"/>
    <w:p>
      <w:pPr>
        <w:pStyle w:val="Bibliography"/>
      </w:pPr>
      <w:r>
        <w:t xml:space="preserve">Cagan, R. (2013).</w:t>
      </w:r>
      <w:r>
        <w:t xml:space="preserve"> </w:t>
      </w:r>
      <w:r>
        <w:rPr>
          <w:i/>
        </w:rPr>
        <w:t xml:space="preserve">San francisco declaration on research assessment</w:t>
      </w:r>
      <w:r>
        <w:t xml:space="preserve">. The Company of Biologists Ltd.</w:t>
      </w:r>
    </w:p>
    <w:bookmarkEnd w:id="72"/>
    <w:bookmarkStart w:id="74"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3">
        <w:r>
          <w:rPr>
            <w:rStyle w:val="Hyperlink"/>
          </w:rPr>
          <w:t xml:space="preserve">https://doi.org/10.31236/osf.io/tfx95</w:t>
        </w:r>
      </w:hyperlink>
    </w:p>
    <w:bookmarkEnd w:id="74"/>
    <w:bookmarkStart w:id="76"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5">
        <w:r>
          <w:rPr>
            <w:rStyle w:val="Hyperlink"/>
          </w:rPr>
          <w:t xml:space="preserve">https://doi.org/10.1007/s40279-019-01227-1</w:t>
        </w:r>
      </w:hyperlink>
    </w:p>
    <w:bookmarkEnd w:id="76"/>
    <w:bookmarkStart w:id="78"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7">
        <w:r>
          <w:rPr>
            <w:rStyle w:val="Hyperlink"/>
          </w:rPr>
          <w:t xml:space="preserve">https://doi.org/10.1016/j.cortex.2015.03.022</w:t>
        </w:r>
      </w:hyperlink>
    </w:p>
    <w:bookmarkEnd w:id="78"/>
    <w:bookmarkStart w:id="80"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9">
        <w:r>
          <w:rPr>
            <w:rStyle w:val="Hyperlink"/>
          </w:rPr>
          <w:t xml:space="preserve">https://doi.org/10.1126/science.aac4716</w:t>
        </w:r>
      </w:hyperlink>
    </w:p>
    <w:bookmarkEnd w:id="80"/>
    <w:bookmarkStart w:id="82"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1">
        <w:r>
          <w:rPr>
            <w:rStyle w:val="Hyperlink"/>
          </w:rPr>
          <w:t xml:space="preserve">https://doi.org/10.1080/17461391.2019.1584249</w:t>
        </w:r>
      </w:hyperlink>
    </w:p>
    <w:bookmarkEnd w:id="82"/>
    <w:bookmarkStart w:id="84"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3">
        <w:r>
          <w:rPr>
            <w:rStyle w:val="Hyperlink"/>
          </w:rPr>
          <w:t xml:space="preserve">https://doi.org/10.1371/journal.pone.0005738</w:t>
        </w:r>
      </w:hyperlink>
    </w:p>
    <w:bookmarkEnd w:id="84"/>
    <w:bookmarkStart w:id="86"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5">
        <w:r>
          <w:rPr>
            <w:rStyle w:val="Hyperlink"/>
          </w:rPr>
          <w:t xml:space="preserve">https://doi.org/10.1371/journal.pone.0010068</w:t>
        </w:r>
      </w:hyperlink>
    </w:p>
    <w:bookmarkEnd w:id="86"/>
    <w:bookmarkStart w:id="87"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p>
    <w:bookmarkEnd w:id="87"/>
    <w:bookmarkStart w:id="89"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88">
        <w:r>
          <w:rPr>
            <w:rStyle w:val="Hyperlink"/>
          </w:rPr>
          <w:t xml:space="preserve">https://doi.org/10.1080/17461391.2018.1560508</w:t>
        </w:r>
      </w:hyperlink>
    </w:p>
    <w:bookmarkEnd w:id="89"/>
    <w:bookmarkStart w:id="91"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0">
        <w:r>
          <w:rPr>
            <w:rStyle w:val="Hyperlink"/>
          </w:rPr>
          <w:t xml:space="preserve">https://doi.org/10.1371/journal.pbio.1002106</w:t>
        </w:r>
      </w:hyperlink>
    </w:p>
    <w:bookmarkEnd w:id="91"/>
    <w:bookmarkStart w:id="93"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2">
        <w:r>
          <w:rPr>
            <w:rStyle w:val="Hyperlink"/>
          </w:rPr>
          <w:t xml:space="preserve">https://doi.org/10.14745/ccdr.v45i10a01</w:t>
        </w:r>
      </w:hyperlink>
    </w:p>
    <w:bookmarkEnd w:id="93"/>
    <w:bookmarkStart w:id="95"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4">
        <w:r>
          <w:rPr>
            <w:rStyle w:val="Hyperlink"/>
          </w:rPr>
          <w:t xml:space="preserve">https://doi.org/10.1371/journal.pmed.0020124</w:t>
        </w:r>
      </w:hyperlink>
    </w:p>
    <w:bookmarkEnd w:id="95"/>
    <w:bookmarkStart w:id="97"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96">
        <w:r>
          <w:rPr>
            <w:rStyle w:val="Hyperlink"/>
          </w:rPr>
          <w:t xml:space="preserve">https://doi.org/10.1177/0956797611430953</w:t>
        </w:r>
      </w:hyperlink>
    </w:p>
    <w:bookmarkEnd w:id="97"/>
    <w:bookmarkStart w:id="99"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98">
        <w:r>
          <w:rPr>
            <w:rStyle w:val="Hyperlink"/>
          </w:rPr>
          <w:t xml:space="preserve">https://doi.org/10.7554/elife.43464</w:t>
        </w:r>
      </w:hyperlink>
    </w:p>
    <w:bookmarkEnd w:id="99"/>
    <w:bookmarkStart w:id="101"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0">
        <w:r>
          <w:rPr>
            <w:rStyle w:val="Hyperlink"/>
          </w:rPr>
          <w:t xml:space="preserve">https://doi.org/10.3325/cmj.2009.50.105</w:t>
        </w:r>
      </w:hyperlink>
    </w:p>
    <w:bookmarkEnd w:id="101"/>
    <w:bookmarkStart w:id="102"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p>
    <w:bookmarkEnd w:id="102"/>
    <w:bookmarkStart w:id="104"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03">
        <w:r>
          <w:rPr>
            <w:rStyle w:val="Hyperlink"/>
          </w:rPr>
          <w:t xml:space="preserve">https://doi.org/10.1038/s41562-016-0021</w:t>
        </w:r>
      </w:hyperlink>
    </w:p>
    <w:bookmarkEnd w:id="104"/>
    <w:bookmarkStart w:id="106"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05">
        <w:r>
          <w:rPr>
            <w:rStyle w:val="Hyperlink"/>
          </w:rPr>
          <w:t xml:space="preserve">https://doi.org/10.7554/elife.23383</w:t>
        </w:r>
      </w:hyperlink>
    </w:p>
    <w:bookmarkEnd w:id="106"/>
    <w:bookmarkStart w:id="108"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07">
        <w:r>
          <w:rPr>
            <w:rStyle w:val="Hyperlink"/>
          </w:rPr>
          <w:t xml:space="preserve">https://doi.org/10.31222/osf.io/u4g6t</w:t>
        </w:r>
      </w:hyperlink>
    </w:p>
    <w:bookmarkEnd w:id="108"/>
    <w:bookmarkStart w:id="110"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09">
        <w:r>
          <w:rPr>
            <w:rStyle w:val="Hyperlink"/>
          </w:rPr>
          <w:t xml:space="preserve">https://doi.org/10.1038/nrd3439-c1</w:t>
        </w:r>
      </w:hyperlink>
    </w:p>
    <w:bookmarkEnd w:id="110"/>
    <w:bookmarkStart w:id="111"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p>
    <w:bookmarkEnd w:id="111"/>
    <w:bookmarkStart w:id="113"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12">
        <w:r>
          <w:rPr>
            <w:rStyle w:val="Hyperlink"/>
          </w:rPr>
          <w:t xml:space="preserve">https://doi.org/10.1038/447655a</w:t>
        </w:r>
      </w:hyperlink>
    </w:p>
    <w:bookmarkEnd w:id="113"/>
    <w:bookmarkStart w:id="115"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14">
        <w:r>
          <w:rPr>
            <w:rStyle w:val="Hyperlink"/>
          </w:rPr>
          <w:t xml:space="preserve">https://doi.org/10.1136/bjsports-2020-102607</w:t>
        </w:r>
      </w:hyperlink>
    </w:p>
    <w:bookmarkEnd w:id="115"/>
    <w:bookmarkStart w:id="117"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16">
        <w:r>
          <w:rPr>
            <w:rStyle w:val="Hyperlink"/>
          </w:rPr>
          <w:t xml:space="preserve">https://doi.org/10.1111/sms.13491</w:t>
        </w:r>
      </w:hyperlink>
    </w:p>
    <w:bookmarkEnd w:id="117"/>
    <w:bookmarkStart w:id="119" w:name="ref-scheel_excess_2020"/>
    <w:p>
      <w:pPr>
        <w:pStyle w:val="Bibliography"/>
      </w:pPr>
      <w:r>
        <w:t xml:space="preserve">Scheel, A. M., Schijen, M., &amp; Lakens, D. (2020). An excess of positive results: Comparing the standard psychology literature with registered reports.</w:t>
      </w:r>
      <w:r>
        <w:t xml:space="preserve"> </w:t>
      </w:r>
      <w:r>
        <w:rPr>
          <w:i/>
        </w:rPr>
        <w:t xml:space="preserve">PsyArXiv</w:t>
      </w:r>
      <w:r>
        <w:t xml:space="preserve">.</w:t>
      </w:r>
      <w:r>
        <w:t xml:space="preserve"> </w:t>
      </w:r>
      <w:hyperlink r:id="rId118">
        <w:r>
          <w:rPr>
            <w:rStyle w:val="Hyperlink"/>
          </w:rPr>
          <w:t xml:space="preserve">https://doi.org/10.31234/osf.io/p6e9c</w:t>
        </w:r>
      </w:hyperlink>
    </w:p>
    <w:bookmarkEnd w:id="119"/>
    <w:bookmarkStart w:id="121"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20">
        <w:r>
          <w:rPr>
            <w:rStyle w:val="Hyperlink"/>
          </w:rPr>
          <w:t xml:space="preserve">https://doi.org/10.1177/1745691620966795</w:t>
        </w:r>
      </w:hyperlink>
    </w:p>
    <w:bookmarkEnd w:id="121"/>
    <w:bookmarkStart w:id="123"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22">
        <w:r>
          <w:rPr>
            <w:rStyle w:val="Hyperlink"/>
          </w:rPr>
          <w:t xml:space="preserve">https://doi.org/10.1177/2515245917747646</w:t>
        </w:r>
      </w:hyperlink>
    </w:p>
    <w:bookmarkEnd w:id="123"/>
    <w:bookmarkStart w:id="125"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24">
        <w:r>
          <w:rPr>
            <w:rStyle w:val="Hyperlink"/>
          </w:rPr>
          <w:t xml:space="preserve">https://doi.org/10.1177/0956797611417632</w:t>
        </w:r>
      </w:hyperlink>
    </w:p>
    <w:bookmarkEnd w:id="125"/>
    <w:bookmarkStart w:id="127"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26">
        <w:r>
          <w:rPr>
            <w:rStyle w:val="Hyperlink"/>
          </w:rPr>
          <w:t xml:space="preserve">https://doi.org/10.1101/2021.03.12.21253378</w:t>
        </w:r>
      </w:hyperlink>
    </w:p>
    <w:bookmarkEnd w:id="127"/>
    <w:bookmarkStart w:id="129"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28">
        <w:r>
          <w:rPr>
            <w:rStyle w:val="Hyperlink"/>
          </w:rPr>
          <w:t xml:space="preserve">https://doi.org/10.1016/j.psychsport.2017.12.010</w:t>
        </w:r>
      </w:hyperlink>
    </w:p>
    <w:bookmarkEnd w:id="129"/>
    <w:bookmarkStart w:id="131"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30">
        <w:r>
          <w:rPr>
            <w:rStyle w:val="Hyperlink"/>
          </w:rPr>
          <w:t xml:space="preserve">https://doi.org/10.1038/s42003-018-0073-z</w:t>
        </w:r>
      </w:hyperlink>
    </w:p>
    <w:bookmarkEnd w:id="131"/>
    <w:bookmarkStart w:id="133"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32">
        <w:r>
          <w:rPr>
            <w:rStyle w:val="Hyperlink"/>
          </w:rPr>
          <w:t xml:space="preserve">https://doi.org/10.31236/osf.io/sg3wm</w:t>
        </w:r>
      </w:hyperlink>
    </w:p>
    <w:bookmarkEnd w:id="133"/>
    <w:bookmarkStart w:id="134" w:name="ref-wasserstein2016asa"/>
    <w:p>
      <w:pPr>
        <w:pStyle w:val="Bibliography"/>
      </w:pPr>
      <w:r>
        <w:t xml:space="preserve">Wasserstein, R. L., &amp; Lazar, N. A. (2016).</w:t>
      </w:r>
      <w:r>
        <w:t xml:space="preserve"> </w:t>
      </w:r>
      <w:r>
        <w:rPr>
          <w:i/>
        </w:rPr>
        <w:t xml:space="preserve">The asa statement on p-values: Context, process, and purpose</w:t>
      </w:r>
      <w:r>
        <w:t xml:space="preserve">. Taylor &amp; Francis.</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hyperlink" Id="rId66"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4" Target="https://doi.org/10.1007/s40279-020-01298-5" TargetMode="External" /><Relationship Type="http://schemas.openxmlformats.org/officeDocument/2006/relationships/hyperlink" Id="rId62"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28" Target="https://doi.org/10.1016/j.psychsport.2017.12.010" TargetMode="External" /><Relationship Type="http://schemas.openxmlformats.org/officeDocument/2006/relationships/hyperlink" Id="rId112" Target="https://doi.org/10.1038/447655a" TargetMode="External" /><Relationship Type="http://schemas.openxmlformats.org/officeDocument/2006/relationships/hyperlink" Id="rId109" Target="https://doi.org/10.1038/nrd3439-c1" TargetMode="External" /><Relationship Type="http://schemas.openxmlformats.org/officeDocument/2006/relationships/hyperlink" Id="rId103" Target="https://doi.org/10.1038/s41562-016-0021" TargetMode="External" /><Relationship Type="http://schemas.openxmlformats.org/officeDocument/2006/relationships/hyperlink" Id="rId130" Target="https://doi.org/10.1038/s42003-018-0073-z"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1" Target="https://doi.org/10.1080/17461391.2019.1584249" TargetMode="External" /><Relationship Type="http://schemas.openxmlformats.org/officeDocument/2006/relationships/hyperlink" Id="rId126" Target="https://doi.org/10.1101/2021.03.12.21253378" TargetMode="External" /><Relationship Type="http://schemas.openxmlformats.org/officeDocument/2006/relationships/hyperlink" Id="rId116" Target="https://doi.org/10.1111/sms.13491" TargetMode="External" /><Relationship Type="http://schemas.openxmlformats.org/officeDocument/2006/relationships/hyperlink" Id="rId79" Target="https://doi.org/10.1126/science.aac4716" TargetMode="External" /><Relationship Type="http://schemas.openxmlformats.org/officeDocument/2006/relationships/hyperlink" Id="rId70" Target="https://doi.org/10.1136/bjsports-2019-101863" TargetMode="External" /><Relationship Type="http://schemas.openxmlformats.org/officeDocument/2006/relationships/hyperlink" Id="rId114" Target="https://doi.org/10.1136/bjsports-2020-102607" TargetMode="External" /><Relationship Type="http://schemas.openxmlformats.org/officeDocument/2006/relationships/hyperlink" Id="rId124"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20" Target="https://doi.org/10.1177/1745691620966795" TargetMode="External" /><Relationship Type="http://schemas.openxmlformats.org/officeDocument/2006/relationships/hyperlink" Id="rId122" Target="https://doi.org/10.1177/2515245917747646" TargetMode="External" /><Relationship Type="http://schemas.openxmlformats.org/officeDocument/2006/relationships/hyperlink" Id="rId90" Target="https://doi.org/10.1371/journal.pbio.1002106" TargetMode="External" /><Relationship Type="http://schemas.openxmlformats.org/officeDocument/2006/relationships/hyperlink" Id="rId60" Target="https://doi.org/10.1371/journal.pbio.3000246" TargetMode="External" /><Relationship Type="http://schemas.openxmlformats.org/officeDocument/2006/relationships/hyperlink" Id="rId94" Target="https://doi.org/10.1371/journal.pmed.0020124" TargetMode="External" /><Relationship Type="http://schemas.openxmlformats.org/officeDocument/2006/relationships/hyperlink" Id="rId83" Target="https://doi.org/10.1371/journal.pone.0005738" TargetMode="External" /><Relationship Type="http://schemas.openxmlformats.org/officeDocument/2006/relationships/hyperlink" Id="rId85"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8" Target="https://doi.org/10.18637/jss.v080.i01" TargetMode="External" /><Relationship Type="http://schemas.openxmlformats.org/officeDocument/2006/relationships/hyperlink" Id="rId107" Target="https://doi.org/10.31222/osf.io/u4g6t" TargetMode="External" /><Relationship Type="http://schemas.openxmlformats.org/officeDocument/2006/relationships/hyperlink" Id="rId118" Target="https://doi.org/10.31234/osf.io/p6e9c" TargetMode="External" /><Relationship Type="http://schemas.openxmlformats.org/officeDocument/2006/relationships/hyperlink" Id="rId132" Target="https://doi.org/10.31236/osf.io/sg3wm" TargetMode="External" /><Relationship Type="http://schemas.openxmlformats.org/officeDocument/2006/relationships/hyperlink" Id="rId73"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5"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30"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24"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4" Target="https://doi.org/10.1007/s40279-020-01298-5" TargetMode="External" /><Relationship Type="http://schemas.openxmlformats.org/officeDocument/2006/relationships/hyperlink" Id="rId62"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28" Target="https://doi.org/10.1016/j.psychsport.2017.12.010" TargetMode="External" /><Relationship Type="http://schemas.openxmlformats.org/officeDocument/2006/relationships/hyperlink" Id="rId112" Target="https://doi.org/10.1038/447655a" TargetMode="External" /><Relationship Type="http://schemas.openxmlformats.org/officeDocument/2006/relationships/hyperlink" Id="rId109" Target="https://doi.org/10.1038/nrd3439-c1" TargetMode="External" /><Relationship Type="http://schemas.openxmlformats.org/officeDocument/2006/relationships/hyperlink" Id="rId103" Target="https://doi.org/10.1038/s41562-016-0021" TargetMode="External" /><Relationship Type="http://schemas.openxmlformats.org/officeDocument/2006/relationships/hyperlink" Id="rId130" Target="https://doi.org/10.1038/s42003-018-0073-z" TargetMode="External" /><Relationship Type="http://schemas.openxmlformats.org/officeDocument/2006/relationships/hyperlink" Id="rId58" Target="https://doi.org/10.1080/02640414.2020.1776002" TargetMode="External" /><Relationship Type="http://schemas.openxmlformats.org/officeDocument/2006/relationships/hyperlink" Id="rId88" Target="https://doi.org/10.1080/17461391.2018.1560508" TargetMode="External" /><Relationship Type="http://schemas.openxmlformats.org/officeDocument/2006/relationships/hyperlink" Id="rId81" Target="https://doi.org/10.1080/17461391.2019.1584249" TargetMode="External" /><Relationship Type="http://schemas.openxmlformats.org/officeDocument/2006/relationships/hyperlink" Id="rId126" Target="https://doi.org/10.1101/2021.03.12.21253378" TargetMode="External" /><Relationship Type="http://schemas.openxmlformats.org/officeDocument/2006/relationships/hyperlink" Id="rId116" Target="https://doi.org/10.1111/sms.13491" TargetMode="External" /><Relationship Type="http://schemas.openxmlformats.org/officeDocument/2006/relationships/hyperlink" Id="rId79" Target="https://doi.org/10.1126/science.aac4716" TargetMode="External" /><Relationship Type="http://schemas.openxmlformats.org/officeDocument/2006/relationships/hyperlink" Id="rId70" Target="https://doi.org/10.1136/bjsports-2019-101863" TargetMode="External" /><Relationship Type="http://schemas.openxmlformats.org/officeDocument/2006/relationships/hyperlink" Id="rId114" Target="https://doi.org/10.1136/bjsports-2020-102607" TargetMode="External" /><Relationship Type="http://schemas.openxmlformats.org/officeDocument/2006/relationships/hyperlink" Id="rId124" Target="https://doi.org/10.1177/0956797611417632" TargetMode="External" /><Relationship Type="http://schemas.openxmlformats.org/officeDocument/2006/relationships/hyperlink" Id="rId96" Target="https://doi.org/10.1177/0956797611430953" TargetMode="External" /><Relationship Type="http://schemas.openxmlformats.org/officeDocument/2006/relationships/hyperlink" Id="rId120" Target="https://doi.org/10.1177/1745691620966795" TargetMode="External" /><Relationship Type="http://schemas.openxmlformats.org/officeDocument/2006/relationships/hyperlink" Id="rId122" Target="https://doi.org/10.1177/2515245917747646" TargetMode="External" /><Relationship Type="http://schemas.openxmlformats.org/officeDocument/2006/relationships/hyperlink" Id="rId90" Target="https://doi.org/10.1371/journal.pbio.1002106" TargetMode="External" /><Relationship Type="http://schemas.openxmlformats.org/officeDocument/2006/relationships/hyperlink" Id="rId60" Target="https://doi.org/10.1371/journal.pbio.3000246" TargetMode="External" /><Relationship Type="http://schemas.openxmlformats.org/officeDocument/2006/relationships/hyperlink" Id="rId94" Target="https://doi.org/10.1371/journal.pmed.0020124" TargetMode="External" /><Relationship Type="http://schemas.openxmlformats.org/officeDocument/2006/relationships/hyperlink" Id="rId83" Target="https://doi.org/10.1371/journal.pone.0005738" TargetMode="External" /><Relationship Type="http://schemas.openxmlformats.org/officeDocument/2006/relationships/hyperlink" Id="rId85" Target="https://doi.org/10.1371/journal.pone.0010068" TargetMode="External" /><Relationship Type="http://schemas.openxmlformats.org/officeDocument/2006/relationships/hyperlink" Id="rId92" Target="https://doi.org/10.14745/ccdr.v45i10a01" TargetMode="External" /><Relationship Type="http://schemas.openxmlformats.org/officeDocument/2006/relationships/hyperlink" Id="rId68" Target="https://doi.org/10.18637/jss.v080.i01" TargetMode="External" /><Relationship Type="http://schemas.openxmlformats.org/officeDocument/2006/relationships/hyperlink" Id="rId107" Target="https://doi.org/10.31222/osf.io/u4g6t" TargetMode="External" /><Relationship Type="http://schemas.openxmlformats.org/officeDocument/2006/relationships/hyperlink" Id="rId118" Target="https://doi.org/10.31234/osf.io/p6e9c" TargetMode="External" /><Relationship Type="http://schemas.openxmlformats.org/officeDocument/2006/relationships/hyperlink" Id="rId132" Target="https://doi.org/10.31236/osf.io/sg3wm" TargetMode="External" /><Relationship Type="http://schemas.openxmlformats.org/officeDocument/2006/relationships/hyperlink" Id="rId73" Target="https://doi.org/10.31236/osf.io/tfx95" TargetMode="External" /><Relationship Type="http://schemas.openxmlformats.org/officeDocument/2006/relationships/hyperlink" Id="rId100" Target="https://doi.org/10.3325/cmj.2009.50.105" TargetMode="External" /><Relationship Type="http://schemas.openxmlformats.org/officeDocument/2006/relationships/hyperlink" Id="rId105" Target="https://doi.org/10.7554/elife.23383" TargetMode="External" /><Relationship Type="http://schemas.openxmlformats.org/officeDocument/2006/relationships/hyperlink" Id="rId98" Target="https://doi.org/10.7554/elife.43464" TargetMode="External" /><Relationship Type="http://schemas.openxmlformats.org/officeDocument/2006/relationships/hyperlink" Id="rId30"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24"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2021-09-09T21:59:05Z</dcterms:created>
  <dcterms:modified xsi:type="dcterms:W3CDTF">2021-09-09T21:59:05Z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2021-09-09</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