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and Gilad Feldman</w:t>
      </w:r>
      <w:r>
        <w:rPr>
          <w:vertAlign w:val="superscript"/>
        </w:rPr>
        <w:t xml:space="preserve">8</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University of Hong Kong, Department of Psychology</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w:t>
      </w:r>
    </w:p>
    <w:p>
      <w:pPr>
        <w:pStyle w:val="AuthorNote"/>
      </w:pPr>
      <w:r>
        <w:t xml:space="preserve">Correspondence concerning this article should be addressed to Gilad Feldman, University of Hong Kong, Department of Psychology,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98"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left"/>
            </w:pPr>
            <w:r>
              <w:t xml:space="preserve">Small</w:t>
            </w:r>
          </w:p>
        </w:tc>
        <w:tc>
          <w:tcPr/>
          <w:p>
            <w:pPr>
              <w:pStyle w:val="Compact"/>
              <w:jc w:val="left"/>
            </w:pPr>
            <w:r>
              <w:t xml:space="preserve">Medium</w:t>
            </w:r>
          </w:p>
        </w:tc>
        <w:tc>
          <w:tcPr/>
          <w:p>
            <w:pPr>
              <w:pStyle w:val="Compact"/>
              <w:jc w:val="left"/>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left"/>
            </w:pPr>
            <w:r>
              <w:t xml:space="preserve">0.20</w:t>
            </w:r>
          </w:p>
        </w:tc>
        <w:tc>
          <w:tcPr/>
          <w:p>
            <w:pPr>
              <w:pStyle w:val="Compact"/>
              <w:jc w:val="left"/>
            </w:pPr>
            <w:r>
              <w:t xml:space="preserve">0.50</w:t>
            </w:r>
          </w:p>
        </w:tc>
        <w:tc>
          <w:tcPr/>
          <w:p>
            <w:pPr>
              <w:pStyle w:val="Compact"/>
              <w:jc w:val="left"/>
            </w:pPr>
            <w:r>
              <w:t xml:space="preserve">0.80</w:t>
            </w:r>
          </w:p>
        </w:tc>
      </w:tr>
      <w:tr>
        <w:tc>
          <w:tcPr/>
          <w:p>
            <w:pPr>
              <w:pStyle w:val="Compact"/>
            </w:pPr>
          </w:p>
        </w:tc>
        <w:tc>
          <w:tcPr/>
          <w:p>
            <w:pPr>
              <w:pStyle w:val="Compact"/>
            </w:pPr>
          </w:p>
        </w:tc>
        <w:tc>
          <w:tcPr/>
          <w:p>
            <w:pPr>
              <w:pStyle w:val="Compact"/>
              <w:jc w:val="left"/>
            </w:pPr>
            <w:r>
              <w:t xml:space="preserve">0.18</w:t>
            </w:r>
          </w:p>
        </w:tc>
        <w:tc>
          <w:tcPr/>
          <w:p>
            <w:pPr>
              <w:pStyle w:val="Compact"/>
              <w:jc w:val="left"/>
            </w:pPr>
            <w:r>
              <w:t xml:space="preserve">0.37</w:t>
            </w:r>
          </w:p>
        </w:tc>
        <w:tc>
          <w:tcPr/>
          <w:p>
            <w:pPr>
              <w:pStyle w:val="Compact"/>
              <w:jc w:val="left"/>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left"/>
            </w:pPr>
            <w:r>
              <w:t xml:space="preserve">0.15</w:t>
            </w:r>
          </w:p>
        </w:tc>
        <w:tc>
          <w:tcPr/>
          <w:p>
            <w:pPr>
              <w:pStyle w:val="Compact"/>
              <w:jc w:val="left"/>
            </w:pPr>
            <w:r>
              <w:t xml:space="preserve">0.36</w:t>
            </w:r>
          </w:p>
        </w:tc>
        <w:tc>
          <w:tcPr/>
          <w:p>
            <w:pPr>
              <w:pStyle w:val="Compact"/>
              <w:jc w:val="left"/>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left"/>
            </w:pPr>
            <w:r>
              <w:t xml:space="preserve">.10</w:t>
            </w:r>
          </w:p>
        </w:tc>
        <w:tc>
          <w:tcPr/>
          <w:p>
            <w:pPr>
              <w:pStyle w:val="Compact"/>
              <w:jc w:val="left"/>
            </w:pPr>
            <w:r>
              <w:t xml:space="preserve">.30</w:t>
            </w:r>
          </w:p>
        </w:tc>
        <w:tc>
          <w:tcPr/>
          <w:p>
            <w:pPr>
              <w:pStyle w:val="Compact"/>
              <w:jc w:val="left"/>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pPr>
          </w:p>
        </w:tc>
        <w:tc>
          <w:tcPr/>
          <w:p>
            <w:pPr>
              <w:pStyle w:val="Compact"/>
              <w:jc w:val="left"/>
            </w:pPr>
            <w:r>
              <w:t xml:space="preserve">Lovakov and Agadullina (2021)</w:t>
            </w:r>
          </w:p>
        </w:tc>
        <w:tc>
          <w:tcPr/>
          <w:p>
            <w:pPr>
              <w:pStyle w:val="Compact"/>
              <w:jc w:val="left"/>
            </w:pPr>
            <w:r>
              <w:t xml:space="preserve">.12</w:t>
            </w:r>
          </w:p>
        </w:tc>
        <w:tc>
          <w:tcPr/>
          <w:p>
            <w:pPr>
              <w:pStyle w:val="Compact"/>
              <w:jc w:val="left"/>
            </w:pPr>
            <w:r>
              <w:t xml:space="preserve">.24</w:t>
            </w:r>
          </w:p>
        </w:tc>
        <w:tc>
          <w:tcPr/>
          <w:p>
            <w:pPr>
              <w:pStyle w:val="Compact"/>
              <w:jc w:val="left"/>
            </w:pPr>
            <w:r>
              <w:t xml:space="preserve">.41</w:t>
            </w:r>
          </w:p>
        </w:tc>
      </w:tr>
      <w:tr>
        <w:tc>
          <w:tcPr/>
          <w:p>
            <w:pPr>
              <w:pStyle w:val="Compact"/>
            </w:pPr>
          </w:p>
        </w:tc>
        <w:tc>
          <w:tcPr/>
          <w:p>
            <w:pPr>
              <w:pStyle w:val="Compact"/>
              <w:jc w:val="left"/>
            </w:pPr>
            <w:r>
              <w:t xml:space="preserve">Paterson et al. (2016)</w:t>
            </w:r>
          </w:p>
        </w:tc>
        <w:tc>
          <w:tcPr/>
          <w:p>
            <w:pPr>
              <w:pStyle w:val="Compact"/>
              <w:jc w:val="left"/>
            </w:pPr>
            <w:r>
              <w:t xml:space="preserve">.12</w:t>
            </w:r>
          </w:p>
        </w:tc>
        <w:tc>
          <w:tcPr/>
          <w:p>
            <w:pPr>
              <w:pStyle w:val="Compact"/>
              <w:jc w:val="left"/>
            </w:pPr>
            <w:r>
              <w:t xml:space="preserve">.20</w:t>
            </w:r>
          </w:p>
        </w:tc>
        <w:tc>
          <w:tcPr/>
          <w:p>
            <w:pPr>
              <w:pStyle w:val="Compact"/>
              <w:jc w:val="left"/>
            </w:pPr>
            <w:r>
              <w:t xml:space="preserve">.31</w:t>
            </w:r>
          </w:p>
        </w:tc>
      </w:tr>
      <w:tr>
        <w:tc>
          <w:tcPr/>
          <w:p>
            <w:pPr>
              <w:pStyle w:val="Compact"/>
            </w:pPr>
          </w:p>
        </w:tc>
        <w:tc>
          <w:tcPr/>
          <w:p>
            <w:pPr>
              <w:pStyle w:val="Compact"/>
              <w:jc w:val="left"/>
            </w:pPr>
            <w:r>
              <w:t xml:space="preserve">Bosco et al. (2015)</w:t>
            </w:r>
          </w:p>
        </w:tc>
        <w:tc>
          <w:tcPr/>
          <w:p>
            <w:pPr>
              <w:pStyle w:val="Compact"/>
              <w:jc w:val="left"/>
            </w:pPr>
            <w:r>
              <w:t xml:space="preserve">.09</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left"/>
            </w:pPr>
            <w:r>
              <w:t xml:space="preserve">.02</w:t>
            </w:r>
          </w:p>
        </w:tc>
        <w:tc>
          <w:tcPr/>
          <w:p>
            <w:pPr>
              <w:pStyle w:val="Compact"/>
              <w:jc w:val="left"/>
            </w:pPr>
            <w:r>
              <w:t xml:space="preserve">.25</w:t>
            </w:r>
          </w:p>
        </w:tc>
        <w:tc>
          <w:tcPr/>
          <w:p>
            <w:pPr>
              <w:pStyle w:val="Compact"/>
              <w:jc w:val="left"/>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left"/>
            </w:pPr>
            <w:r>
              <w:t xml:space="preserve">.01</w:t>
            </w:r>
          </w:p>
        </w:tc>
        <w:tc>
          <w:tcPr/>
          <w:p>
            <w:pPr>
              <w:pStyle w:val="Compact"/>
              <w:jc w:val="left"/>
            </w:pPr>
            <w:r>
              <w:t xml:space="preserve">.06</w:t>
            </w:r>
          </w:p>
        </w:tc>
        <w:tc>
          <w:tcPr/>
          <w:p>
            <w:pPr>
              <w:pStyle w:val="Compact"/>
              <w:jc w:val="left"/>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left"/>
            </w:pPr>
            <w:r>
              <w:t xml:space="preserve">.10</w:t>
            </w:r>
          </w:p>
        </w:tc>
        <w:tc>
          <w:tcPr/>
          <w:p>
            <w:pPr>
              <w:pStyle w:val="Compact"/>
              <w:jc w:val="left"/>
            </w:pPr>
            <w:r>
              <w:t xml:space="preserve">.25</w:t>
            </w:r>
          </w:p>
        </w:tc>
        <w:tc>
          <w:tcPr/>
          <w:p>
            <w:pPr>
              <w:pStyle w:val="Compact"/>
              <w:jc w:val="left"/>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left"/>
            </w:pPr>
            <w:r>
              <w:t xml:space="preserve">0.10</w:t>
            </w:r>
          </w:p>
        </w:tc>
        <w:tc>
          <w:tcPr/>
          <w:p>
            <w:pPr>
              <w:pStyle w:val="Compact"/>
              <w:jc w:val="left"/>
            </w:pPr>
            <w:r>
              <w:t xml:space="preserve">0.30</w:t>
            </w:r>
          </w:p>
        </w:tc>
        <w:tc>
          <w:tcPr/>
          <w:p>
            <w:pPr>
              <w:pStyle w:val="Compact"/>
              <w:jc w:val="left"/>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left"/>
            </w:pPr>
            <w:r>
              <w:t xml:space="preserve">.10</w:t>
            </w:r>
          </w:p>
        </w:tc>
        <w:tc>
          <w:tcPr/>
          <w:p>
            <w:pPr>
              <w:pStyle w:val="Compact"/>
              <w:jc w:val="left"/>
            </w:pPr>
            <w:r>
              <w:t xml:space="preserve">.30</w:t>
            </w:r>
          </w:p>
        </w:tc>
        <w:tc>
          <w:tcPr/>
          <w:p>
            <w:pPr>
              <w:pStyle w:val="Compact"/>
              <w:jc w:val="left"/>
            </w:pPr>
            <w:r>
              <w:t xml:space="preserve">.50</w:t>
            </w:r>
          </w:p>
        </w:tc>
      </w:tr>
      <w:tr>
        <w:tc>
          <w:tcPr/>
          <w:p>
            <w:pPr>
              <w:pStyle w:val="Compact"/>
              <w:jc w:val="left"/>
            </w:pPr>
            <w:r>
              <w:t xml:space="preserve">Cramer’s V</w:t>
            </w:r>
          </w:p>
        </w:tc>
        <w:tc>
          <w:tcPr/>
          <w:p>
            <w:pPr>
              <w:pStyle w:val="Compact"/>
            </w:pPr>
          </w:p>
        </w:tc>
        <w:tc>
          <w:tcPr/>
          <w:p>
            <w:pPr>
              <w:pStyle w:val="Compact"/>
              <w:jc w:val="left"/>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left"/>
            </w:pPr>
            <w:r>
              <w:t xml:space="preserve">0.2</w:t>
            </w:r>
          </w:p>
        </w:tc>
        <w:tc>
          <w:tcPr/>
          <w:p>
            <w:pPr>
              <w:pStyle w:val="Compact"/>
              <w:jc w:val="left"/>
            </w:pPr>
            <w:r>
              <w:t xml:space="preserve">0.5</w:t>
            </w:r>
          </w:p>
        </w:tc>
        <w:tc>
          <w:tcPr/>
          <w:p>
            <w:pPr>
              <w:pStyle w:val="Compact"/>
              <w:jc w:val="left"/>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 "we failed to find evidence for rejecting the null hypothesis," or "we found evidence for only a small/little/weak-to-no effect" or "we did not find a meaningful effect".</w:t>
      </w:r>
      <w:r>
        <w:t xml:space="preserve"> </w:t>
      </w:r>
      <w:r>
        <w:rPr>
          <w:bCs/>
          <w:b/>
        </w:rPr>
        <w:t xml:space="preserve">It does not make sense to say, "we found no effect."</w:t>
      </w:r>
      <w:r>
        <w:t xml:space="preserve"> </w:t>
      </w:r>
      <w:r>
        <w:t xml:space="preserve">Purely by the random nature of our universe, it is hard to imagine that we can obtain a sharp zero-effect result. This is also related to the crud factor, which refers to the idea that "everything correlates with everything else"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w:t>
      </w:r>
      <w:r>
        <w:t xml:space="preserve"> </w:t>
      </w:r>
      <w:r>
        <w:rPr>
          <w:bCs/>
          <w:b/>
        </w:rPr>
        <w:t xml:space="preserve">what is compared to what (i.e., the direction of comparison)</w:t>
      </w:r>
      <w:r>
        <w:t xml:space="preserve">.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 t statistic to be positive, and your</w:t>
      </w:r>
      <w:r>
        <w:t xml:space="preserve"> </w:t>
      </w:r>
      <m:oMath>
        <m:r>
          <m:t>d</m:t>
        </m:r>
      </m:oMath>
      <w:r>
        <w:t xml:space="preserve"> </w:t>
      </w:r>
      <w:r>
        <w:t xml:space="preserve">value as well. In other words,</w:t>
      </w:r>
      <w:r>
        <w:t xml:space="preserve"> </w:t>
      </w:r>
      <w:r>
        <w:rPr>
          <w:bCs/>
          <w:b/>
        </w:rPr>
        <w:t xml:space="preserve">avoid reporting anything like</w:t>
      </w:r>
      <w:r>
        <w:t xml:space="preserve"> </w:t>
      </w:r>
      <m:oMath>
        <m:r>
          <m:t>t</m:t>
        </m:r>
      </m:oMath>
      <w:r>
        <w:t xml:space="preserve"> </w:t>
      </w:r>
      <w:r>
        <w:rPr>
          <w:bCs/>
          <w:b/>
        </w:rPr>
        <w:t xml:space="preserve">= -5.14,</w:t>
      </w:r>
      <w:r>
        <w:t xml:space="preserve"> </w:t>
      </w:r>
      <m:oMath>
        <m:r>
          <m:t>d</m:t>
        </m:r>
      </m:oMath>
      <w:r>
        <w:t xml:space="preserve"> </w:t>
      </w:r>
      <w:r>
        <w:rPr>
          <w:bCs/>
          <w:b/>
        </w:rPr>
        <w:t xml:space="preserve">= 0.36</w:t>
      </w:r>
      <w:r>
        <w:t xml:space="preserve">,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97" w:name="interpreting-confidence-intervals"/>
    <w:p>
      <w:pPr>
        <w:pStyle w:val="Heading2"/>
      </w:pPr>
      <w:r>
        <w:t xml:space="preserve">Interpreting Confidence Intervals</w:t>
      </w:r>
    </w:p>
    <w:bookmarkStart w:id="96" w:name="refs"/>
    <w:bookmarkStart w:id="64"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63">
        <w:r>
          <w:rPr>
            <w:rStyle w:val="Hyperlink"/>
          </w:rPr>
          <w:t xml:space="preserve">https://thuvienso.hoasen.edu.vn/handle/123456789/8327</w:t>
        </w:r>
      </w:hyperlink>
    </w:p>
    <w:bookmarkEnd w:id="64"/>
    <w:bookmarkStart w:id="66"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65">
        <w:r>
          <w:rPr>
            <w:rStyle w:val="Hyperlink"/>
          </w:rPr>
          <w:t xml:space="preserve">https://doi.org/10.1037/a0038047</w:t>
        </w:r>
      </w:hyperlink>
    </w:p>
    <w:bookmarkEnd w:id="66"/>
    <w:bookmarkStart w:id="68"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67">
        <w:r>
          <w:rPr>
            <w:rStyle w:val="Hyperlink"/>
          </w:rPr>
          <w:t xml:space="preserve">https://www.semanticscholar.org/paper/It%27s-the-Effect-Size%2C-Stupid-What-effect-size-is-it-Coe/c5ac87df5d6e0e6b6de2f745284835c2a368b0f7</w:t>
        </w:r>
      </w:hyperlink>
    </w:p>
    <w:bookmarkEnd w:id="68"/>
    <w:bookmarkStart w:id="69"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69"/>
    <w:bookmarkStart w:id="71"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70">
        <w:r>
          <w:rPr>
            <w:rStyle w:val="Hyperlink"/>
          </w:rPr>
          <w:t xml:space="preserve">https://doi.org/10.1037/a0024338</w:t>
        </w:r>
      </w:hyperlink>
    </w:p>
    <w:bookmarkEnd w:id="71"/>
    <w:bookmarkStart w:id="73"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72">
        <w:r>
          <w:rPr>
            <w:rStyle w:val="Hyperlink"/>
          </w:rPr>
          <w:t xml:space="preserve">https://doi.org/10.1177/2515245919847202</w:t>
        </w:r>
      </w:hyperlink>
    </w:p>
    <w:bookmarkEnd w:id="73"/>
    <w:bookmarkStart w:id="74"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74"/>
    <w:bookmarkStart w:id="76"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75">
        <w:r>
          <w:rPr>
            <w:rStyle w:val="Hyperlink"/>
          </w:rPr>
          <w:t xml:space="preserve">https://cir.nii.ac.jp/crid/1130000795088566912</w:t>
        </w:r>
      </w:hyperlink>
    </w:p>
    <w:bookmarkEnd w:id="76"/>
    <w:bookmarkStart w:id="78"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77">
        <w:r>
          <w:rPr>
            <w:rStyle w:val="Hyperlink"/>
          </w:rPr>
          <w:t xml:space="preserve">https://discourse.datamethods.org/t/author-checklist/3407</w:t>
        </w:r>
      </w:hyperlink>
    </w:p>
    <w:bookmarkEnd w:id="78"/>
    <w:bookmarkStart w:id="80"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79">
        <w:r>
          <w:rPr>
            <w:rStyle w:val="Hyperlink"/>
          </w:rPr>
          <w:t xml:space="preserve">https://doi.org/10.1037/a0028086</w:t>
        </w:r>
      </w:hyperlink>
    </w:p>
    <w:bookmarkEnd w:id="80"/>
    <w:bookmarkStart w:id="82"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81">
        <w:r>
          <w:rPr>
            <w:rStyle w:val="Hyperlink"/>
          </w:rPr>
          <w:t xml:space="preserve">https://doi.org/10.1002/ejsp.2752</w:t>
        </w:r>
      </w:hyperlink>
    </w:p>
    <w:bookmarkEnd w:id="82"/>
    <w:bookmarkStart w:id="84"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83">
        <w:r>
          <w:rPr>
            <w:rStyle w:val="Hyperlink"/>
          </w:rPr>
          <w:t xml:space="preserve">https://doi.org/10.1017/S0140525X00027308</w:t>
        </w:r>
      </w:hyperlink>
    </w:p>
    <w:bookmarkEnd w:id="84"/>
    <w:bookmarkStart w:id="86"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85">
        <w:r>
          <w:rPr>
            <w:rStyle w:val="Hyperlink"/>
          </w:rPr>
          <w:t xml:space="preserve">https://doi.org/10.1177/2515245920917961</w:t>
        </w:r>
      </w:hyperlink>
    </w:p>
    <w:bookmarkEnd w:id="86"/>
    <w:bookmarkStart w:id="88"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87">
        <w:r>
          <w:rPr>
            <w:rStyle w:val="Hyperlink"/>
          </w:rPr>
          <w:t xml:space="preserve">https://doi.org/10.1177/1548051815614321</w:t>
        </w:r>
      </w:hyperlink>
    </w:p>
    <w:bookmarkEnd w:id="88"/>
    <w:bookmarkStart w:id="90"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89">
        <w:r>
          <w:rPr>
            <w:rStyle w:val="Hyperlink"/>
          </w:rPr>
          <w:t xml:space="preserve">https://doi.org/10.1080/00031305.2018.1549101</w:t>
        </w:r>
      </w:hyperlink>
    </w:p>
    <w:bookmarkEnd w:id="90"/>
    <w:bookmarkStart w:id="91"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91"/>
    <w:bookmarkStart w:id="93"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92">
        <w:r>
          <w:rPr>
            <w:rStyle w:val="Hyperlink"/>
          </w:rPr>
          <w:t xml:space="preserve">https://doi.org/10.22237/jmasm/1257035100</w:t>
        </w:r>
      </w:hyperlink>
    </w:p>
    <w:bookmarkEnd w:id="93"/>
    <w:bookmarkStart w:id="95"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94">
        <w:r>
          <w:rPr>
            <w:rStyle w:val="Hyperlink"/>
          </w:rPr>
          <w:t xml:space="preserve">https://www.frontiersin.org/articles/10.3389/fpsyg.2019.00813</w:t>
        </w:r>
      </w:hyperlink>
    </w:p>
    <w:bookmarkEnd w:id="95"/>
    <w:bookmarkEnd w:id="96"/>
    <w:bookmarkEnd w:id="97"/>
    <w:bookmarkEnd w:id="98"/>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 </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hyperlink" Id="rId75" Target="https://cir.nii.ac.jp/crid/1130000795088566912" TargetMode="External" /><Relationship Type="http://schemas.openxmlformats.org/officeDocument/2006/relationships/hyperlink" Id="rId42" Target="https://creativecommons.org/licenses/by-nc-sa/4.0/" TargetMode="External" /><Relationship Type="http://schemas.openxmlformats.org/officeDocument/2006/relationships/hyperlink" Id="rId77" Target="https://discourse.datamethods.org/t/author-checklist/3407" TargetMode="External" /><Relationship Type="http://schemas.openxmlformats.org/officeDocument/2006/relationships/hyperlink" Id="rId81" Target="https://doi.org/10.1002/ejsp.2752" TargetMode="External" /><Relationship Type="http://schemas.openxmlformats.org/officeDocument/2006/relationships/hyperlink" Id="rId49" Target="https://doi.org/10.1016/j.paid.2016.06.069" TargetMode="External" /><Relationship Type="http://schemas.openxmlformats.org/officeDocument/2006/relationships/hyperlink" Id="rId83" Target="https://doi.org/10.1017/S0140525X00027308" TargetMode="External" /><Relationship Type="http://schemas.openxmlformats.org/officeDocument/2006/relationships/hyperlink" Id="rId48" Target="https://doi.org/10.1037/1089-2680.7.4.331" TargetMode="External" /><Relationship Type="http://schemas.openxmlformats.org/officeDocument/2006/relationships/hyperlink" Id="rId70" Target="https://doi.org/10.1037/a0024338" TargetMode="External" /><Relationship Type="http://schemas.openxmlformats.org/officeDocument/2006/relationships/hyperlink" Id="rId79" Target="https://doi.org/10.1037/a0028086" TargetMode="External" /><Relationship Type="http://schemas.openxmlformats.org/officeDocument/2006/relationships/hyperlink" Id="rId65" Target="https://doi.org/10.1037/a0038047" TargetMode="External" /><Relationship Type="http://schemas.openxmlformats.org/officeDocument/2006/relationships/hyperlink" Id="rId89" Target="https://doi.org/10.1080/00031305.2018.1549101" TargetMode="External" /><Relationship Type="http://schemas.openxmlformats.org/officeDocument/2006/relationships/hyperlink" Id="rId87" Target="https://doi.org/10.1177/1548051815614321" TargetMode="External" /><Relationship Type="http://schemas.openxmlformats.org/officeDocument/2006/relationships/hyperlink" Id="rId72" Target="https://doi.org/10.1177/2515245919847202" TargetMode="External" /><Relationship Type="http://schemas.openxmlformats.org/officeDocument/2006/relationships/hyperlink" Id="rId85" Target="https://doi.org/10.1177/2515245920917961" TargetMode="External" /><Relationship Type="http://schemas.openxmlformats.org/officeDocument/2006/relationships/hyperlink" Id="rId92" Target="https://doi.org/10.22237/jmasm/1257035100"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63"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94" Target="https://www.frontiersin.org/articles/10.3389/fpsyg.2019.00813" TargetMode="External" /><Relationship Type="http://schemas.openxmlformats.org/officeDocument/2006/relationships/hyperlink" Id="rId67"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75" Target="https://cir.nii.ac.jp/crid/1130000795088566912" TargetMode="External" /><Relationship Type="http://schemas.openxmlformats.org/officeDocument/2006/relationships/hyperlink" Id="rId42" Target="https://creativecommons.org/licenses/by-nc-sa/4.0/" TargetMode="External" /><Relationship Type="http://schemas.openxmlformats.org/officeDocument/2006/relationships/hyperlink" Id="rId77" Target="https://discourse.datamethods.org/t/author-checklist/3407" TargetMode="External" /><Relationship Type="http://schemas.openxmlformats.org/officeDocument/2006/relationships/hyperlink" Id="rId81" Target="https://doi.org/10.1002/ejsp.2752" TargetMode="External" /><Relationship Type="http://schemas.openxmlformats.org/officeDocument/2006/relationships/hyperlink" Id="rId49" Target="https://doi.org/10.1016/j.paid.2016.06.069" TargetMode="External" /><Relationship Type="http://schemas.openxmlformats.org/officeDocument/2006/relationships/hyperlink" Id="rId83" Target="https://doi.org/10.1017/S0140525X00027308" TargetMode="External" /><Relationship Type="http://schemas.openxmlformats.org/officeDocument/2006/relationships/hyperlink" Id="rId48" Target="https://doi.org/10.1037/1089-2680.7.4.331" TargetMode="External" /><Relationship Type="http://schemas.openxmlformats.org/officeDocument/2006/relationships/hyperlink" Id="rId70" Target="https://doi.org/10.1037/a0024338" TargetMode="External" /><Relationship Type="http://schemas.openxmlformats.org/officeDocument/2006/relationships/hyperlink" Id="rId79" Target="https://doi.org/10.1037/a0028086" TargetMode="External" /><Relationship Type="http://schemas.openxmlformats.org/officeDocument/2006/relationships/hyperlink" Id="rId65" Target="https://doi.org/10.1037/a0038047" TargetMode="External" /><Relationship Type="http://schemas.openxmlformats.org/officeDocument/2006/relationships/hyperlink" Id="rId89" Target="https://doi.org/10.1080/00031305.2018.1549101" TargetMode="External" /><Relationship Type="http://schemas.openxmlformats.org/officeDocument/2006/relationships/hyperlink" Id="rId87" Target="https://doi.org/10.1177/1548051815614321" TargetMode="External" /><Relationship Type="http://schemas.openxmlformats.org/officeDocument/2006/relationships/hyperlink" Id="rId72" Target="https://doi.org/10.1177/2515245919847202" TargetMode="External" /><Relationship Type="http://schemas.openxmlformats.org/officeDocument/2006/relationships/hyperlink" Id="rId85" Target="https://doi.org/10.1177/2515245920917961" TargetMode="External" /><Relationship Type="http://schemas.openxmlformats.org/officeDocument/2006/relationships/hyperlink" Id="rId92" Target="https://doi.org/10.22237/jmasm/1257035100"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63"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94" Target="https://www.frontiersin.org/articles/10.3389/fpsyg.2019.00813" TargetMode="External" /><Relationship Type="http://schemas.openxmlformats.org/officeDocument/2006/relationships/hyperlink" Id="rId67"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2023-10-11T18:08:19Z</dcterms:created>
  <dcterms:modified xsi:type="dcterms:W3CDTF">2023-10-11T18:08:19Z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