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5.png" ContentType="image/png"/>
  <Override PartName="/word/media/rId8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Aaron R. Caldwell</w:t>
      </w:r>
      <w:r>
        <w:rPr>
          <w:vertAlign w:val="superscript"/>
        </w:rPr>
        <w:t xml:space="preserve">8</w:t>
      </w:r>
      <w:r>
        <w:t xml:space="preserve">, Blair T. Johnson</w:t>
      </w:r>
      <w:r>
        <w:rPr>
          <w:vertAlign w:val="superscript"/>
        </w:rPr>
        <w:t xml:space="preserve">1</w:t>
      </w:r>
      <w:r>
        <w:t xml:space="preserve">, and Gilad Feldman</w:t>
      </w:r>
      <w:r>
        <w:rPr>
          <w:vertAlign w:val="superscript"/>
        </w:rPr>
        <w:t xml:space="preserve">9</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Fay W. Boozman College of Public Health, University of Arkansas for Medical Sciences</w:t>
      </w:r>
    </w:p>
    <w:p>
      <w:pPr>
        <w:pStyle w:val="Author"/>
      </w:pPr>
      <w:r>
        <w:rPr>
          <w:vertAlign w:val="superscript"/>
        </w:rPr>
        <w:t xml:space="preserve">9</w:t>
      </w:r>
      <w:r>
        <w:t xml:space="preserve">Department of Psychology, University of Hong Kong</w:t>
      </w:r>
    </w:p>
    <w:p>
      <w:pPr>
        <w:pStyle w:val="BodyText"/>
      </w:pPr>
    </w:p>
    <w:bookmarkEnd w:id="20"/>
    <w:bookmarkStart w:id="40"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Aaron R. Caldwell</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https://orcid.org/0000-0002-4541-6283</w:t>
      </w:r>
    </w:p>
    <w:p>
      <w:pPr>
        <w:pStyle w:val="AuthorNote"/>
      </w:pPr>
      <w:r>
        <w:t xml:space="preserve">Gilad Feldman</w:t>
      </w:r>
      <w:r>
        <w:t xml:space="preserve"> </w:t>
      </w:r>
      <w:r>
        <w:drawing>
          <wp:inline>
            <wp:extent cx="152400" cy="152400"/>
            <wp:effectExtent b="0" l="0" r="0" t="0"/>
            <wp:docPr descr="Orch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Department of Psychology, University of Hong Kong, Email: gfeldman@hku.hk</w:t>
      </w:r>
    </w:p>
    <w:bookmarkEnd w:id="40"/>
    <w:p>
      <w:r>
        <w:br w:type="page"/>
      </w:r>
    </w:p>
    <w:bookmarkStart w:id="41"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41"/>
    <w:p>
      <w:r>
        <w:br w:type="page"/>
      </w:r>
    </w:p>
    <w:bookmarkStart w:id="233"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2">
        <w:r>
          <w:rPr>
            <w:rStyle w:val="Hyperlink"/>
          </w:rPr>
          <w:t xml:space="preserve">https://mgto.org/effectsizeguide</w:t>
        </w:r>
      </w:hyperlink>
      <w:r>
        <w:t xml:space="preserve">. A similar guide on power analysis can be found at:</w:t>
      </w:r>
      <w:r>
        <w:t xml:space="preserve"> </w:t>
      </w:r>
      <w:hyperlink r:id="rId43">
        <w:r>
          <w:rPr>
            <w:rStyle w:val="Hyperlink"/>
          </w:rPr>
          <w:t xml:space="preserve">https://mgto.org/poweranalysisguide</w:t>
        </w:r>
      </w:hyperlink>
      <w:r>
        <w:t xml:space="preserve">. This guide is shared under the</w:t>
      </w:r>
      <w:r>
        <w:t xml:space="preserve"> </w:t>
      </w:r>
      <w:hyperlink r:id="rId44">
        <w:r>
          <w:rPr>
            <w:rStyle w:val="Hyperlink"/>
          </w:rPr>
          <w:t xml:space="preserve">Attribution-NonCommercial-ShareAlike 4.0 International (CC BY-NC-SA 4.0)</w:t>
        </w:r>
      </w:hyperlink>
      <w:r>
        <w:t xml:space="preserve"> </w:t>
      </w:r>
      <w:r>
        <w:t xml:space="preserve">license.</w:t>
      </w:r>
    </w:p>
    <w:bookmarkStart w:id="47"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5"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5"/>
    <w:bookmarkStart w:id="46"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6"/>
    <w:bookmarkEnd w:id="47"/>
    <w:bookmarkStart w:id="49"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8"/>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9"/>
    <w:bookmarkStart w:id="59"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50">
        <w:r>
          <w:rPr>
            <w:rStyle w:val="Hyperlink"/>
          </w:rPr>
          <w:t xml:space="preserve">this</w:t>
        </w:r>
      </w:hyperlink>
      <w:r>
        <w:t xml:space="preserve"> </w:t>
      </w:r>
      <w:r>
        <w:t xml:space="preserve">and</w:t>
      </w:r>
      <w:r>
        <w:t xml:space="preserve"> </w:t>
      </w:r>
      <w:hyperlink r:id="rId51">
        <w:r>
          <w:rPr>
            <w:rStyle w:val="Hyperlink"/>
          </w:rPr>
          <w:t xml:space="preserve">this</w:t>
        </w:r>
      </w:hyperlink>
      <w:r>
        <w:t xml:space="preserve">; see</w:t>
      </w:r>
      <w:r>
        <w:t xml:space="preserve"> </w:t>
      </w:r>
      <w:hyperlink r:id="rId52">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3"/>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4"/>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5"/>
            </w:r>
            <w:r>
              <w:rPr>
                <w:rStyle w:val="FootnoteReference"/>
              </w:rPr>
              <w:footnoteReference w:id="56"/>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8"/>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9"/>
    <w:bookmarkStart w:id="64" w:name="reporting-effect-sizes"/>
    <w:p>
      <w:pPr>
        <w:pStyle w:val="Heading2"/>
      </w:pPr>
      <w:r>
        <w:t xml:space="preserve">Reporting Effect Sizes</w:t>
      </w:r>
    </w:p>
    <w:bookmarkStart w:id="60"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60"/>
    <w:bookmarkStart w:id="62"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61"/>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2"/>
    <w:bookmarkStart w:id="63"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3"/>
    <w:bookmarkEnd w:id="64"/>
    <w:bookmarkStart w:id="65"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5"/>
    <w:bookmarkStart w:id="66"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6"/>
    <w:bookmarkStart w:id="79"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7">
        <w:r>
          <w:rPr>
            <w:rStyle w:val="Hyperlink"/>
          </w:rPr>
          <w:t xml:space="preserve">doomlab.shinyapps.io/mote/</w:t>
        </w:r>
      </w:hyperlink>
      <w:r>
        <w:t xml:space="preserve">). The CRAN project can be found here:</w:t>
      </w:r>
      <w:r>
        <w:t xml:space="preserve"> </w:t>
      </w:r>
      <w:hyperlink r:id="rId68">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9">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70">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71">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2">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3">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4">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5">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6">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(Läkens,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7">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8">
        <w:r>
          <w:rPr>
            <w:rStyle w:val="Hyperlink"/>
          </w:rPr>
          <w:t xml:space="preserve">cran.r-project.org/package=DeclareDesign</w:t>
        </w:r>
      </w:hyperlink>
      <w:r>
        <w:t xml:space="preserve">.</w:t>
      </w:r>
    </w:p>
    <w:bookmarkEnd w:id="79"/>
    <w:bookmarkStart w:id="94"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80"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80"/>
    </w:p>
    <w:p>
      <w:pPr>
        <w:pStyle w:val="FirstParagraph"/>
      </w:pPr>
      <w:bookmarkStart w:id="81"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81"/>
    </w:p>
    <w:p>
      <w:pPr>
        <w:pStyle w:val="FirstParagraph"/>
      </w:pPr>
      <w:r>
        <w:t xml:space="preserve">Lastly, we will supply example R code so you can apply to your own data.</w:t>
      </w:r>
    </w:p>
    <w:bookmarkStart w:id="82"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2"/>
    <w:bookmarkStart w:id="83"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3"/>
    <w:bookmarkStart w:id="92"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7" w:name="fig-repeatedmeasures"/>
          <w:p>
            <w:pPr>
              <w:jc w:val="center"/>
            </w:pPr>
            <w:r>
              <w:drawing>
                <wp:inline>
                  <wp:extent cx="5943600" cy="3657600"/>
                  <wp:effectExtent b="0" l="0" r="0" t="0"/>
                  <wp:docPr descr="" title="" id="85" name="Picture"/>
                  <a:graphic>
                    <a:graphicData uri="http://schemas.openxmlformats.org/drawingml/2006/picture">
                      <pic:pic>
                        <pic:nvPicPr>
                          <pic:cNvPr descr="index_files/figure-docx/fig-repeatedmeasures-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7"/>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91" w:name="fig-correlation-comp"/>
          <w:p>
            <w:pPr>
              <w:jc w:val="center"/>
            </w:pPr>
            <w:r>
              <w:drawing>
                <wp:inline>
                  <wp:extent cx="5943600" cy="3657600"/>
                  <wp:effectExtent b="0" l="0" r="0" t="0"/>
                  <wp:docPr descr="" title="" id="89" name="Picture"/>
                  <a:graphic>
                    <a:graphicData uri="http://schemas.openxmlformats.org/drawingml/2006/picture">
                      <pic:pic>
                        <pic:nvPicPr>
                          <pic:cNvPr descr="index_files/figure-docx/fig-correlation-comp-1.png" id="90" name="Picture"/>
                          <pic:cNvPicPr>
                            <a:picLocks noChangeArrowheads="1" noChangeAspect="1"/>
                          </pic:cNvPicPr>
                        </pic:nvPicPr>
                        <pic:blipFill>
                          <a:blip r:embed="rId88"/>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91"/>
        </w:tc>
      </w:tr>
    </w:tbl>
    <w:bookmarkEnd w:id="92"/>
    <w:bookmarkStart w:id="93"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3"/>
    <w:bookmarkEnd w:id="94"/>
    <w:bookmarkStart w:id="99"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8" w:name="fig-cor-example"/>
          <w:p>
            <w:pPr>
              <w:jc w:val="center"/>
            </w:pPr>
            <w:r>
              <w:drawing>
                <wp:inline>
                  <wp:extent cx="5943600" cy="4572000"/>
                  <wp:effectExtent b="0" l="0" r="0" t="0"/>
                  <wp:docPr descr="" title="" id="96" name="Picture"/>
                  <a:graphic>
                    <a:graphicData uri="http://schemas.openxmlformats.org/drawingml/2006/picture">
                      <pic:pic>
                        <pic:nvPicPr>
                          <pic:cNvPr descr="index_files/figure-docx/fig-cor-example-1.png" id="97" name="Picture"/>
                          <pic:cNvPicPr>
                            <a:picLocks noChangeArrowheads="1" noChangeAspect="1"/>
                          </pic:cNvPicPr>
                        </pic:nvPicPr>
                        <pic:blipFill>
                          <a:blip r:embed="rId95"/>
                          <a:stretch>
                            <a:fillRect/>
                          </a:stretch>
                        </pic:blipFill>
                        <pic:spPr bwMode="auto">
                          <a:xfrm>
                            <a:off x="0" y="0"/>
                            <a:ext cx="5943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8"/>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9"/>
    <w:bookmarkStart w:id="111"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01"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100"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00"/>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101"/>
    <w:bookmarkStart w:id="103"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2"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2"/>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 3$</w:t>
      </w:r>
      <w:r>
        <w:t xml:space="preserve">$4 continency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standard errors and corresponding 95% confidence intervals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sSub>
                <m:e>
                  <m:r>
                    <m:t>Z</m:t>
                  </m:r>
                </m:e>
                <m:sub>
                  <m:r>
                    <m:t>V</m:t>
                  </m:r>
                </m:sub>
              </m:sSub>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w:r>
        <w:t xml:space="preserve">Then we can backtransform the upper and lower bound back into Cramer’s</w:t>
      </w:r>
      <w:r>
        <w:t xml:space="preserve"> </w:t>
      </w:r>
      <m:oMath>
        <m:r>
          <m:t>V</m:t>
        </m:r>
      </m:oMath>
      <w:r>
        <w:t xml:space="preserve">, such that</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 </w:t>
      </w:r>
      <w:r>
        <w:t xml:space="preserve">and</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w:t>
      </w:r>
    </w:p>
    <w:p>
      <w:pPr>
        <w:pStyle w:val="BodyText"/>
      </w:pPr>
      <w:r>
        <w:t xml:space="preserve">Using the</w:t>
      </w:r>
      <w:r>
        <w:t xml:space="preserve"> </w:t>
      </w:r>
      <w:r>
        <w:rPr>
          <w:rStyle w:val="VerbatimChar"/>
        </w:rPr>
        <w:t xml:space="preserve">ufs</w:t>
      </w:r>
      <w:r>
        <w:t xml:space="preserve"> </w:t>
      </w:r>
      <w:r>
        <w:t xml:space="preserve">package</w:t>
      </w:r>
      <w:r>
        <w:t xml:space="preserve"> </w:t>
      </w:r>
      <w:r>
        <w:t xml:space="preserve">(Peters &amp;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3"/>
    <w:bookmarkStart w:id="104" w:name="cohens-h"/>
    <w:p>
      <w:pPr>
        <w:pStyle w:val="Heading3"/>
      </w:pPr>
      <w:r>
        <w:t xml:space="preserve">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as described previously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4"/>
    <w:bookmarkStart w:id="105" w:name="cohens-omega-omega"/>
    <w:p>
      <w:pPr>
        <w:pStyle w:val="Heading3"/>
      </w:pPr>
      <w:r>
        <w:t xml:space="preserve">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h</m:t>
        </m:r>
      </m:oMath>
      <w:r>
        <w:t xml:space="preserve"> </w:t>
      </w:r>
      <w:r>
        <w:t xml:space="preserve">= .93 [0.52, 1.34].</w:t>
      </w:r>
    </w:p>
    <w:bookmarkEnd w:id="105"/>
    <w:bookmarkStart w:id="106" w:name="ben-shachars-fei-פ"/>
    <w:p>
      <w:pPr>
        <w:pStyle w:val="Heading3"/>
      </w:pPr>
      <w:r>
        <w:t xml:space="preserve">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106"/>
    <w:bookmarkStart w:id="108" w:name="odds-ratio-or"/>
    <w:p>
      <w:pPr>
        <w:pStyle w:val="Heading3"/>
      </w:pPr>
      <w:r>
        <w:t xml:space="preserve">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3</w:t>
        </w:r>
      </w:hyperlink>
      <w:r>
        <w:t xml:space="preserve">).</w:t>
      </w:r>
    </w:p>
    <w:bookmarkStart w:id="107" w:name="tbl-contingency-OR"/>
    <w:p>
      <w:pPr>
        <w:pStyle w:val="TableCaption"/>
      </w:pPr>
      <w:r>
        <w:t xml:space="preserve">Table 3: Contingency table between two binary variables</w:t>
      </w:r>
    </w:p>
    <w:tbl>
      <w:tblPr>
        <w:tblStyle w:val="Table"/>
        <w:tblW w:type="auto" w:w="0"/>
        <w:tblLook w:firstRow="1" w:lastRow="0" w:firstColumn="0" w:lastColumn="0" w:noHBand="0" w:noVBand="0" w:val="0020"/>
        <w:jc w:val="start"/>
        <w:tblCaption w:val="Table 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07"/>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08"/>
    <w:bookmarkStart w:id="109" w:name="risk-difference-rd"/>
    <w:p>
      <w:pPr>
        <w:pStyle w:val="Heading3"/>
      </w:pPr>
      <w:r>
        <w:t xml:space="preserve">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09"/>
    <w:bookmarkStart w:id="110" w:name="relative-risk-rr"/>
    <w:p>
      <w:pPr>
        <w:pStyle w:val="Heading3"/>
      </w:pPr>
      <w:r>
        <w:t xml:space="preserve">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by adapting</w:t>
      </w:r>
      <w:r>
        <w:t xml:space="preserve"> </w:t>
      </w:r>
      <w:r>
        <w:rPr>
          <w:bCs/>
          <w:b/>
        </w:rPr>
        <w:t xml:space="preserve">?@eq-ci</w:t>
      </w:r>
      <w:r>
        <w:t xml:space="preserve">,</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110"/>
    <w:bookmarkEnd w:id="111"/>
    <w:bookmarkStart w:id="118" w:name="effect-sizes-for-anovas"/>
    <w:p>
      <w:pPr>
        <w:pStyle w:val="Heading2"/>
      </w:pPr>
      <w:r>
        <w:t xml:space="preserve">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12" w:name="eta-squared-eta2"/>
    <w:p>
      <w:pPr>
        <w:pStyle w:val="Heading3"/>
      </w:pPr>
      <w:r>
        <w:t xml:space="preserve">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 (i.e., resampling the observed data points to construct a sampling distribution around</w:t>
      </w:r>
      <w:r>
        <w:t xml:space="preserve"> </w:t>
      </w:r>
      <m:oMath>
        <m:sSup>
          <m:e>
            <m:r>
              <m:t>η</m:t>
            </m:r>
          </m:e>
          <m:sup>
            <m:r>
              <m:t>2</m:t>
            </m:r>
          </m:sup>
        </m:sSup>
      </m:oMath>
      <w:r>
        <w:t xml:space="preserve">; see</w:t>
      </w:r>
      <w:r>
        <w:t xml:space="preserve"> </w:t>
      </w:r>
      <w:r>
        <w:t xml:space="preserve">Kirby and Gerlanc (2013)</w:t>
      </w:r>
      <w:r>
        <w:t xml:space="preserve">) 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12"/>
    <w:bookmarkStart w:id="113" w:name="partial-eta-squared-eta2_p"/>
    <w:p>
      <w:pPr>
        <w:pStyle w:val="Heading3"/>
      </w:pPr>
      <w:r>
        <w:t xml:space="preserve">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08"/>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08"/>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13"/>
    <w:bookmarkStart w:id="114" w:name="generalized-eta-squared-eta2_g"/>
    <w:p>
      <w:pPr>
        <w:pStyle w:val="Heading3"/>
      </w:pPr>
      <w:r>
        <w:t xml:space="preserve">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generalized eta-squared by using the</w:t>
      </w:r>
      <w:r>
        <w:t xml:space="preserve"> </w:t>
      </w:r>
      <w:r>
        <w:rPr>
          <w:rStyle w:val="VerbatimChar"/>
        </w:rPr>
        <w:t xml:space="preserve">generalized=TRUE</w:t>
      </w:r>
      <w:r>
        <w:t xml:space="preserve"> </w:t>
      </w:r>
      <w:r>
        <w:t xml:space="preserve">argument.</w:t>
      </w:r>
    </w:p>
    <w:bookmarkEnd w:id="114"/>
    <w:bookmarkStart w:id="115" w:name="Xc42d082a42e3ae846c458ca93bfeb52673c8518"/>
    <w:p>
      <w:pPr>
        <w:pStyle w:val="Heading3"/>
      </w:pPr>
      <w:r>
        <w:t xml:space="preserve">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15"/>
    <w:bookmarkStart w:id="116" w:name="cohens-f"/>
    <w:p>
      <w:pPr>
        <w:pStyle w:val="Heading3"/>
      </w:pPr>
      <w:r>
        <w:t xml:space="preserve">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16"/>
    <w:bookmarkStart w:id="117" w:name="reporting-anova-results"/>
    <w:p>
      <w:pPr>
        <w:pStyle w:val="Heading3"/>
      </w:pPr>
      <w:r>
        <w:t xml:space="preserve">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17"/>
    <w:bookmarkEnd w:id="118"/>
    <w:bookmarkStart w:id="122" w:name="Xd4cef7d6f3af9f58defc820acbbdd77c96ef1cf"/>
    <w:p>
      <w:pPr>
        <w:pStyle w:val="Heading2"/>
      </w:pPr>
      <w:r>
        <w:t xml:space="preserve">Converting between Effect Sizes and Test Statistics</w:t>
      </w:r>
    </w:p>
    <w:p>
      <w:pPr>
        <w:pStyle w:val="FirstParagraph"/>
      </w:pPr>
      <w:r>
        <w:t xml:space="preserve">If raw data is unavailable and the necessary summary statistics are not reported, we can convert various statistics to effect size estimates. This section will focus on converting to three common effect sizes: Cohen’s</w:t>
      </w:r>
      <w:r>
        <w:t xml:space="preserve"> </w:t>
      </w:r>
      <m:oMath>
        <m:r>
          <m:t>d</m:t>
        </m:r>
      </m:oMath>
      <w:r>
        <w:t xml:space="preserve"> </w:t>
      </w:r>
      <w:r>
        <w:t xml:space="preserve">values, Pearson correlations, and odds-ratios</w:t>
      </w:r>
    </w:p>
    <w:bookmarkStart w:id="119" w:name="converting-to-cohens-d"/>
    <w:p>
      <w:pPr>
        <w:pStyle w:val="Heading3"/>
      </w:pPr>
      <w:r>
        <w:t xml:space="preserve">Converting to Cohen’s</w:t>
      </w:r>
      <w:r>
        <w:t xml:space="preserve"> </w:t>
      </w:r>
      <m:oMath>
        <m:r>
          <m:t>d</m:t>
        </m:r>
      </m:oMath>
    </w:p>
    <w:p>
      <w:pPr>
        <w:pStyle w:val="Heading4"/>
        <w:rPr>
          <w:vanish/>
          <w:specVanish/>
        </w:rPr>
      </w:pPr>
      <w:r>
        <w:t>From Independent Samples t-statistic.</w:t>
      </w:r>
      <w:r>
        <w:t xml:space="preserve"> </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p>
      <w:pPr>
        <w:pStyle w:val="Heading4"/>
        <w:rPr>
          <w:vanish/>
          <w:specVanish/>
        </w:rPr>
      </w:pPr>
      <w:r>
        <w:t>From Paired Sample t-statistic.</w:t>
      </w:r>
      <w:r>
        <w:t xml:space="preserve"> </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n1 = 50, n2 = 40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0.35 | [0.13, 0.56]</w:t>
      </w:r>
    </w:p>
    <w:p>
      <w:pPr>
        <w:pStyle w:val="Heading4"/>
        <w:rPr>
          <w:vanish/>
          <w:specVanish/>
        </w:rPr>
      </w:pPr>
      <w:r>
        <w:t>From Pearson Correlation.</w:t>
      </w:r>
      <w:r>
        <w:t xml:space="preserve"> </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p>
      <w:pPr>
        <w:pStyle w:val="Heading4"/>
        <w:rPr>
          <w:vanish/>
          <w:specVanish/>
        </w:rPr>
      </w:pPr>
      <w:r>
        <w:t>From Odds-Ratio.</w:t>
      </w:r>
      <w:r>
        <w:t xml:space="preserve"> </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119"/>
    <w:bookmarkStart w:id="120" w:name="converting-to-pearson-correlation"/>
    <w:p>
      <w:pPr>
        <w:pStyle w:val="Heading3"/>
      </w:pPr>
      <w:r>
        <w:t xml:space="preserve">Converting to Pearson Correlation</w:t>
      </w:r>
    </w:p>
    <w:p>
      <w:pPr>
        <w:pStyle w:val="Heading4"/>
        <w:rPr>
          <w:vanish/>
          <w:specVanish/>
        </w:rPr>
      </w:pPr>
      <w:r>
        <w:t>From t-statistic.</w:t>
      </w:r>
      <w:r>
        <w:t xml:space="preserve"> </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p>
      <w:pPr>
        <w:pStyle w:val="Heading4"/>
        <w:rPr>
          <w:vanish/>
          <w:specVanish/>
        </w:rPr>
      </w:pPr>
      <w:r>
        <w:t>From Cohen’s d.</w:t>
      </w:r>
      <w:r>
        <w:t xml:space="preserve"> </w:t>
      </w:r>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p>
      <w:pPr>
        <w:pStyle w:val="Heading4"/>
        <w:rPr>
          <w:vanish/>
          <w:specVanish/>
        </w:rPr>
      </w:pPr>
      <w:r>
        <w:t>From Odds-Ratio.</w:t>
      </w:r>
      <w:r>
        <w:t xml:space="preserve"> </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120"/>
    <w:bookmarkStart w:id="121" w:name="converting-to-odds-ratio"/>
    <w:p>
      <w:pPr>
        <w:pStyle w:val="Heading3"/>
      </w:pPr>
      <w:r>
        <w:t xml:space="preserve">Converting to Odds-Ratio</w:t>
      </w:r>
    </w:p>
    <w:p>
      <w:pPr>
        <w:pStyle w:val="Heading4"/>
        <w:rPr>
          <w:vanish/>
          <w:specVanish/>
        </w:rPr>
      </w:pPr>
      <w:r>
        <w:t>From Cohen’s d.</w:t>
      </w:r>
      <w:r>
        <w:t xml:space="preserve"> </w:t>
      </w:r>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p>
      <w:pPr>
        <w:pStyle w:val="Heading4"/>
        <w:rPr>
          <w:vanish/>
          <w:specVanish/>
        </w:rPr>
      </w:pPr>
      <w:r>
        <w:t>From a Pearson Correlation.</w:t>
      </w:r>
      <w:r>
        <w:t xml:space="preserve"> </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121"/>
    <w:bookmarkEnd w:id="122"/>
    <w:bookmarkStart w:id="127" w:name="non-parametric-tests"/>
    <w:p>
      <w:pPr>
        <w:pStyle w:val="Heading2"/>
      </w:pPr>
      <w:r>
        <w:t xml:space="preserve">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rPr>
          <w:rStyle w:val="FootnoteReference"/>
        </w:rPr>
        <w:footnoteReference w:id="123"/>
      </w:r>
      <w:r>
        <w:t xml:space="preserve">. Rather one can consider than as rank based or proportional odds tests.</w:t>
      </w:r>
    </w:p>
    <w:p>
      <w:pPr>
        <w:pStyle w:val="BodyText"/>
      </w:pPr>
      <w:r>
        <w:t xml:space="preserve">If the scores you are analyzing are not metric (i.e., ordinal) due to the use of a Likert-Scale and you still use parametric tests such as t-tests, you run the risk of a high false-positive probability (e.g., Liddel &amp; Kruschke, 2018). Note that in German, scale anchors have been developed that are very similar to Likert-Scale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24" w:name="wilcoxon-mann-whitney-tests"/>
    <w:p>
      <w:pPr>
        <w:pStyle w:val="Heading3"/>
      </w:pPr>
      <w:r>
        <w:t xml:space="preserve">Wilcoxon-Mann-Whitney tests</w:t>
      </w:r>
    </w:p>
    <w:p>
      <w:pPr>
        <w:pStyle w:val="FirstParagraph"/>
      </w:pPr>
      <w:r>
        <w:t xml:space="preserve">A non-parametric alternative to the t-test is the Wilcoxon-Mann-Whitney (WMW) group of tests. When comparing two independent samples this is called a Wilcoxon rank-sum test, but sometimes to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rPr>
          <w:rStyle w:val="NormalTok"/>
        </w:rPr>
        <w:t xml:space="preserve">library</w:t>
      </w:r>
    </w:p>
    <w:p>
      <w:pPr>
        <w:pStyle w:val="SourceCode"/>
      </w:pPr>
      <w:r>
        <w:rPr>
          <w:rStyle w:val="VerbatimChar"/>
        </w:rPr>
        <w:t xml:space="preserve">function (package, help, pos = 2, lib.loc = NULL, character.only = FALSE, </w:t>
      </w:r>
      <w:r>
        <w:br/>
      </w:r>
      <w:r>
        <w:rPr>
          <w:rStyle w:val="VerbatimChar"/>
        </w:rPr>
        <w:t xml:space="preserve">    logical.return = FALSE, warn.conflicts, quietly = FALSE, </w:t>
      </w:r>
      <w:r>
        <w:br/>
      </w:r>
      <w:r>
        <w:rPr>
          <w:rStyle w:val="VerbatimChar"/>
        </w:rPr>
        <w:t xml:space="preserve">    verbose = getOption("verbose"), mask.ok, exclude, include.only, </w:t>
      </w:r>
      <w:r>
        <w:br/>
      </w:r>
      <w:r>
        <w:rPr>
          <w:rStyle w:val="VerbatimChar"/>
        </w:rPr>
        <w:t xml:space="preserve">    attach.required = missing(include.only)) </w:t>
      </w:r>
      <w:r>
        <w:br/>
      </w:r>
      <w:r>
        <w:rPr>
          <w:rStyle w:val="VerbatimChar"/>
        </w:rPr>
        <w:t xml:space="preserve">{</w:t>
      </w:r>
      <w:r>
        <w:br/>
      </w:r>
      <w:r>
        <w:rPr>
          <w:rStyle w:val="VerbatimChar"/>
        </w:rPr>
        <w:t xml:space="preserve">    if (!missing(package)) {</w:t>
      </w:r>
      <w:r>
        <w:br/>
      </w:r>
      <w:r>
        <w:rPr>
          <w:rStyle w:val="VerbatimChar"/>
        </w:rPr>
        <w:t xml:space="preserve">        package &lt;- package_name(enquo(package), character.only = character.only)</w:t>
      </w:r>
      <w:r>
        <w:br/>
      </w:r>
      <w:r>
        <w:rPr>
          <w:rStyle w:val="VerbatimChar"/>
        </w:rPr>
        <w:t xml:space="preserve">        conflicts_reset()</w:t>
      </w:r>
      <w:r>
        <w:br/>
      </w:r>
      <w:r>
        <w:rPr>
          <w:rStyle w:val="VerbatimChar"/>
        </w:rPr>
        <w:t xml:space="preserve">        on.exit(conflicts_register())</w:t>
      </w:r>
      <w:r>
        <w:br/>
      </w:r>
      <w:r>
        <w:rPr>
          <w:rStyle w:val="VerbatimChar"/>
        </w:rPr>
        <w:t xml:space="preserve">        on_detach(package, function() conflicts_remove(package))</w:t>
      </w:r>
      <w:r>
        <w:br/>
      </w:r>
      <w:r>
        <w:rPr>
          <w:rStyle w:val="VerbatimChar"/>
        </w:rPr>
        <w:t xml:space="preserve">        library(package, pos = pos, lib.loc = lib.loc, character.only = TRUE, </w:t>
      </w:r>
      <w:r>
        <w:br/>
      </w:r>
      <w:r>
        <w:rPr>
          <w:rStyle w:val="VerbatimChar"/>
        </w:rPr>
        <w:t xml:space="preserve">            logical.return = logical.return, warn.conflicts = FALSE, </w:t>
      </w:r>
      <w:r>
        <w:br/>
      </w:r>
      <w:r>
        <w:rPr>
          <w:rStyle w:val="VerbatimChar"/>
        </w:rPr>
        <w:t xml:space="preserve">            quietly = quietly, verbose = verbose, mask.ok = mask.ok, </w:t>
      </w:r>
      <w:r>
        <w:br/>
      </w:r>
      <w:r>
        <w:rPr>
          <w:rStyle w:val="VerbatimChar"/>
        </w:rPr>
        <w:t xml:space="preserve">            exclude = exclude, include.only = include.only, attach.required = attach.required)</w:t>
      </w:r>
      <w:r>
        <w:br/>
      </w:r>
      <w:r>
        <w:rPr>
          <w:rStyle w:val="VerbatimChar"/>
        </w:rPr>
        <w:t xml:space="preserve">    }</w:t>
      </w:r>
      <w:r>
        <w:br/>
      </w:r>
      <w:r>
        <w:rPr>
          <w:rStyle w:val="VerbatimChar"/>
        </w:rPr>
        <w:t xml:space="preserve">    else if (!missing(help)) {</w:t>
      </w:r>
      <w:r>
        <w:br/>
      </w:r>
      <w:r>
        <w:rPr>
          <w:rStyle w:val="VerbatimChar"/>
        </w:rPr>
        <w:t xml:space="preserve">        help &lt;- package_name(enquo(help), character.only = character.only)</w:t>
      </w:r>
      <w:r>
        <w:br/>
      </w:r>
      <w:r>
        <w:rPr>
          <w:rStyle w:val="VerbatimChar"/>
        </w:rPr>
        <w:t xml:space="preserve">        library(help = help, character.only = TRUE)</w:t>
      </w:r>
      <w:r>
        <w:br/>
      </w:r>
      <w:r>
        <w:rPr>
          <w:rStyle w:val="VerbatimChar"/>
        </w:rPr>
        <w:t xml:space="preserve">    }</w:t>
      </w:r>
      <w:r>
        <w:br/>
      </w:r>
      <w:r>
        <w:rPr>
          <w:rStyle w:val="VerbatimChar"/>
        </w:rPr>
        <w:t xml:space="preserve">    else {</w:t>
      </w:r>
      <w:r>
        <w:br/>
      </w:r>
      <w:r>
        <w:rPr>
          <w:rStyle w:val="VerbatimChar"/>
        </w:rPr>
        <w:t xml:space="preserve">        library(lib.loc = lib.loc, logical.return = logical.return)</w:t>
      </w:r>
      <w:r>
        <w:br/>
      </w:r>
      <w:r>
        <w:rPr>
          <w:rStyle w:val="VerbatimChar"/>
        </w:rPr>
        <w:t xml:space="preserve">    }</w:t>
      </w:r>
      <w:r>
        <w:br/>
      </w:r>
      <w:r>
        <w:rPr>
          <w:rStyle w:val="VerbatimChar"/>
        </w:rPr>
        <w:t xml:space="preserve">}</w:t>
      </w:r>
      <w:r>
        <w:br/>
      </w:r>
      <w:r>
        <w:rPr>
          <w:rStyle w:val="VerbatimChar"/>
        </w:rPr>
        <w:t xml:space="preserve">&lt;bytecode: 0x139521530&gt;</w:t>
      </w:r>
      <w:r>
        <w:br/>
      </w:r>
      <w:r>
        <w:rPr>
          <w:rStyle w:val="VerbatimChar"/>
        </w:rPr>
        <w:t xml:space="preserve">&lt;environment: namespace:conflicted&gt;</w:t>
      </w:r>
    </w:p>
    <w:p>
      <w:pPr>
        <w:pStyle w:val="SourceCode"/>
      </w:pPr>
      <w:r>
        <w:rPr>
          <w:rStyle w:val="FunctionTok"/>
        </w:rPr>
        <w:t xml:space="preserve">data</w:t>
      </w:r>
      <w:r>
        <w:rPr>
          <w:rStyle w:val="NormalTok"/>
        </w:rPr>
        <w:t xml:space="preserve">(sleep)</w:t>
      </w:r>
      <w:r>
        <w:br/>
      </w:r>
      <w:r>
        <w:br/>
      </w:r>
      <w:r>
        <w:rPr>
          <w:rStyle w:val="CommentTok"/>
        </w:rPr>
        <w:t xml:space="preserve"># wilcoxin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4"/>
    <w:bookmarkStart w:id="126" w:name="brunner-munzel-tests"/>
    <w:p>
      <w:pPr>
        <w:pStyle w:val="Heading3"/>
      </w:pPr>
      <w:r>
        <w:t xml:space="preserve">Brunner-Munzel Tests</w:t>
      </w:r>
    </w:p>
    <w:p>
      <w:pPr>
        <w:pStyle w:val="FirstParagraph"/>
      </w:pPr>
      <w:r>
        <w:t xml:space="preserve">Brunner-Munzel’s tests can be used instead of the WMW tests. The primary reason is the interpretation of the test</w:t>
      </w:r>
      <w:r>
        <w:t xml:space="preserve"> </w:t>
      </w:r>
      <w:r>
        <w:t xml:space="preserve">(Brunner &amp; Munzel, 2000; Munzel &amp; Brunner, 2002; Neubert &amp;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25"/>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r>
        <w:br/>
      </w:r>
      <w:r>
        <w:br/>
      </w:r>
      <w:r>
        <w:rPr>
          <w:rStyle w:val="CommentTok"/>
        </w:rPr>
        <w:t xml:space="preserve"># Paired samples</w:t>
      </w:r>
      <w:r>
        <w:br/>
      </w:r>
      <w:r>
        <w:br/>
      </w:r>
      <w:r>
        <w:rPr>
          <w:rStyle w:val="FunctionTok"/>
        </w:rPr>
        <w:t xml:space="preserve">data</w:t>
      </w:r>
      <w:r>
        <w:rPr>
          <w:rStyle w:val="NormalTok"/>
        </w:rPr>
        <w:t xml:space="preserve">(sleep)</w:t>
      </w:r>
      <w:r>
        <w:br/>
      </w:r>
      <w:r>
        <w:br/>
      </w:r>
      <w:r>
        <w:rPr>
          <w:rStyle w:val="CommentTok"/>
        </w:rPr>
        <w:t xml:space="preserve"># Wilcoxin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6"/>
    <w:bookmarkEnd w:id="127"/>
    <w:bookmarkStart w:id="131" w:name="rank-based-effect-sizes"/>
    <w:p>
      <w:pPr>
        <w:pStyle w:val="Heading2"/>
      </w:pPr>
      <w:r>
        <w:t xml:space="preserve">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28" w:name="rank-biserial-correlation"/>
    <w:p>
      <w:pPr>
        <w:pStyle w:val="Heading3"/>
      </w:pPr>
      <w:r>
        <w:t xml:space="preserve">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p>
      <w:pPr>
        <w:pStyle w:val="Heading4"/>
        <w:rPr>
          <w:vanish/>
          <w:specVanish/>
        </w:rPr>
      </w:pPr>
      <w:r>
        <w:t>Paired Samples Calculation.</w:t>
      </w:r>
      <w:r>
        <w:t xml:space="preserve"> </w:t>
      </w:r>
    </w:p>
    <w:p>
      <w:pPr>
        <w:numPr>
          <w:ilvl w:val="0"/>
          <w:numId w:val="1009"/>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0"/>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1"/>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2"/>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3"/>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Two Sample Calculation.</w:t>
      </w:r>
      <w:r>
        <w:t xml:space="preserve"> </w:t>
      </w:r>
    </w:p>
    <w:p>
      <w:pPr>
        <w:numPr>
          <w:ilvl w:val="0"/>
          <w:numId w:val="1016"/>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7"/>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18"/>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19"/>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0"/>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1"/>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2"/>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Calculation in R.</w:t>
      </w:r>
      <w:r>
        <w:t xml:space="preserve"> </w:t>
      </w:r>
    </w:p>
    <w:p>
      <w:pPr>
        <w:pStyle w:val="FirstParagraph"/>
      </w:pPr>
      <w:r>
        <w:t xml:space="preserve">In R, we can use</w:t>
      </w:r>
      <w:r>
        <w:t xml:space="preserve"> </w:t>
      </w:r>
      <w:r>
        <w:rPr>
          <w:rStyle w:val="VerbatimChar"/>
        </w:rPr>
        <w:t xml:space="preserve">brunner_munzel</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28"/>
    <w:bookmarkStart w:id="129" w:name="concordance-probability"/>
    <w:p>
      <w:pPr>
        <w:pStyle w:val="Heading3"/>
      </w:pPr>
      <w:r>
        <w:t xml:space="preserve">Concordance Probability</w:t>
      </w:r>
    </w:p>
    <w:p>
      <w:pPr>
        <w:pStyle w:val="FirstParagraph"/>
      </w:pPr>
      <w:r>
        <w:t xml:space="preserve">In the two sample case, concordance probability is the probability that a randomly chosen subject from the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(z) will have a positive (+) sign plus 0.5 times the probability of a tie (no/zero difference). The concordance probability can go by many names. It is also referred to as the c-index, the non-parametric probability of superiority, or the non-parametric common language effect size (CLES).</w:t>
      </w:r>
    </w:p>
    <w:p>
      <w:pPr>
        <w:pStyle w:val="Heading4"/>
        <w:rPr>
          <w:vanish/>
          <w:specVanish/>
        </w:rPr>
      </w:pPr>
      <w:r>
        <w:t>Calculation.</w:t>
      </w:r>
      <w:r>
        <w:t xml:space="preserve"> </w:t>
      </w:r>
    </w:p>
    <w:p>
      <w:pPr>
        <w:pStyle w:val="BodyText"/>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p>
      <w:pPr>
        <w:pStyle w:val="Heading4"/>
        <w:rPr>
          <w:vanish/>
          <w:specVanish/>
        </w:rPr>
      </w:pPr>
      <w:r>
        <w:t>Calculation in R.</w:t>
      </w:r>
      <w:r>
        <w:t xml:space="preserve"> </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29"/>
    <w:bookmarkStart w:id="130" w:name="wilcoxin-mann-whitney-odds"/>
    <w:p>
      <w:pPr>
        <w:pStyle w:val="Heading3"/>
      </w:pPr>
      <w:r>
        <w:t xml:space="preserve">Wilcoxin-Mann-Whitney Odds</w:t>
      </w:r>
    </w:p>
    <w:p>
      <w:pPr>
        <w:pStyle w:val="FirstParagraph"/>
      </w:pPr>
      <w:r>
        <w:t xml:space="preserve">The Wilcoxon-Mann-Whitney odds</w:t>
      </w:r>
      <w:r>
        <w:t xml:space="preserve"> </w:t>
      </w:r>
      <w:r>
        <w:t xml:space="preserve">(O’Brien &amp;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p>
      <w:pPr>
        <w:pStyle w:val="Heading4"/>
        <w:rPr>
          <w:vanish/>
          <w:specVanish/>
        </w:rPr>
      </w:pPr>
      <w:r>
        <w:t>Calculation.</w:t>
      </w:r>
      <w:r>
        <w:t xml:space="preserve"> </w:t>
      </w:r>
    </w:p>
    <w:p>
      <w:pPr>
        <w:pStyle w:val="BodyText"/>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p>
      <w:pPr>
        <w:pStyle w:val="Heading4"/>
        <w:rPr>
          <w:vanish/>
          <w:specVanish/>
        </w:rPr>
      </w:pPr>
      <w:r>
        <w:t>Calculation in R.</w:t>
      </w:r>
      <w:r>
        <w:t xml:space="preserve"> </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30"/>
    <w:bookmarkEnd w:id="131"/>
    <w:bookmarkStart w:id="232" w:name="X8530fee810eec45b0fe25f69e5b10cfab209663"/>
    <w:p>
      <w:pPr>
        <w:pStyle w:val="Heading2"/>
      </w:pPr>
      <w:r>
        <w:t xml:space="preserve">Artifacts and Bias in Effect Size Estimates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Many artifact corrections can be complex and therefore readers are referred to other resources listed below:</w:t>
      </w:r>
    </w:p>
    <w:p>
      <w:pPr>
        <w:numPr>
          <w:ilvl w:val="0"/>
          <w:numId w:val="1023"/>
        </w:numPr>
      </w:pPr>
      <w:r>
        <w:t xml:space="preserve">Jané (2023)</w:t>
      </w:r>
      <w:r>
        <w:t xml:space="preserve"> </w:t>
      </w:r>
      <w:r>
        <w:t xml:space="preserve">: An open-access textbook that contains equations and R code for various types of artifact corrections.</w:t>
      </w:r>
    </w:p>
    <w:p>
      <w:pPr>
        <w:numPr>
          <w:ilvl w:val="0"/>
          <w:numId w:val="1023"/>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23"/>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23"/>
        </w:numPr>
      </w:pPr>
      <w:r>
        <w:t xml:space="preserve">Dahlke and Wiernik (2019)</w:t>
      </w:r>
      <w:r>
        <w:t xml:space="preserve"> </w:t>
      </w:r>
      <w:r>
        <w:t xml:space="preserve">: An R package for conducting artifact correction meta-analyses. Contains all the functions one would need to correct effect sizes for artifacts in R.</w:t>
      </w:r>
    </w:p>
    <w:bookmarkStart w:id="231" w:name="refs"/>
    <w:bookmarkStart w:id="132" w:name="ref-agresti1980generalized"/>
    <w:p>
      <w:pPr>
        <w:pStyle w:val="Bibliography"/>
      </w:pPr>
      <w:r>
        <w:t xml:space="preserve">Agresti, A. (1980). Generalized odds ratios for ordinal data.</w:t>
      </w:r>
      <w:r>
        <w:t xml:space="preserve"> </w:t>
      </w:r>
      <w:r>
        <w:rPr>
          <w:iCs/>
          <w:i/>
        </w:rPr>
        <w:t xml:space="preserve">Biometrics</w:t>
      </w:r>
      <w:r>
        <w:t xml:space="preserve">, 59–67.</w:t>
      </w:r>
    </w:p>
    <w:bookmarkEnd w:id="132"/>
    <w:bookmarkStart w:id="134"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33">
        <w:r>
          <w:rPr>
            <w:rStyle w:val="Hyperlink"/>
          </w:rPr>
          <w:t xml:space="preserve">https://thuvienso.hoasen.edu.vn/handle/123456789/8327</w:t>
        </w:r>
      </w:hyperlink>
    </w:p>
    <w:bookmarkEnd w:id="134"/>
    <w:bookmarkStart w:id="136"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35">
        <w:r>
          <w:rPr>
            <w:rStyle w:val="Hyperlink"/>
          </w:rPr>
          <w:t xml:space="preserve">https://doi.org/10.1111/j.2044-8317.1988.tb00901.x</w:t>
        </w:r>
      </w:hyperlink>
    </w:p>
    <w:bookmarkEnd w:id="136"/>
    <w:bookmarkStart w:id="138"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37">
        <w:r>
          <w:rPr>
            <w:rStyle w:val="Hyperlink"/>
          </w:rPr>
          <w:t xml:space="preserve">https://doi.org/10.21105/joss.02815</w:t>
        </w:r>
      </w:hyperlink>
    </w:p>
    <w:bookmarkEnd w:id="138"/>
    <w:bookmarkStart w:id="140" w:name="ref-benshachar2023"/>
    <w:p>
      <w:pPr>
        <w:pStyle w:val="Bibliography"/>
      </w:pPr>
      <w:r>
        <w:t xml:space="preserve">Ben-Shachar, M. S., Patil, I., Thériault, R., Wiernik, B. M., &amp; Lüdecke, D. (2023). Phi, Fei, Fo, Fum: Effect Sizes for Categorical Data That Use the Chi-Squared Statistic.</w:t>
      </w:r>
      <w:r>
        <w:t xml:space="preserve"> </w:t>
      </w:r>
      <w:r>
        <w:rPr>
          <w:iCs/>
          <w:i/>
        </w:rPr>
        <w:t xml:space="preserve">Mathematics</w:t>
      </w:r>
      <w:r>
        <w:t xml:space="preserve">,</w:t>
      </w:r>
      <w:r>
        <w:t xml:space="preserve"> </w:t>
      </w:r>
      <w:r>
        <w:rPr>
          <w:iCs/>
          <w:i/>
        </w:rPr>
        <w:t xml:space="preserve">11</w:t>
      </w:r>
      <w:r>
        <w:t xml:space="preserve">(9), 1982.</w:t>
      </w:r>
      <w:r>
        <w:t xml:space="preserve"> </w:t>
      </w:r>
      <w:hyperlink r:id="rId139">
        <w:r>
          <w:rPr>
            <w:rStyle w:val="Hyperlink"/>
          </w:rPr>
          <w:t xml:space="preserve">https://doi.org/10.3390/math11091982</w:t>
        </w:r>
      </w:hyperlink>
    </w:p>
    <w:bookmarkEnd w:id="140"/>
    <w:bookmarkStart w:id="142"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41">
        <w:r>
          <w:rPr>
            <w:rStyle w:val="Hyperlink"/>
          </w:rPr>
          <w:t xml:space="preserve">https://declaredesign.org/paper.pdf</w:t>
        </w:r>
      </w:hyperlink>
    </w:p>
    <w:bookmarkEnd w:id="142"/>
    <w:bookmarkStart w:id="144"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43">
        <w:r>
          <w:rPr>
            <w:rStyle w:val="Hyperlink"/>
          </w:rPr>
          <w:t xml:space="preserve">https://doi.org/10.1037/a0038047</w:t>
        </w:r>
      </w:hyperlink>
    </w:p>
    <w:bookmarkEnd w:id="144"/>
    <w:bookmarkStart w:id="146" w:name="ref-brunner2000"/>
    <w:p>
      <w:pPr>
        <w:pStyle w:val="Bibliography"/>
      </w:pPr>
      <w:r>
        <w:t xml:space="preserve">Brunner, E., &amp; Munzel, U. (2000). The Nonparametric Behrens-Fisher Problem: Asymptotic Theory and a Small-Sample Approximation.</w:t>
      </w:r>
      <w:r>
        <w:t xml:space="preserve"> </w:t>
      </w:r>
      <w:r>
        <w:rPr>
          <w:iCs/>
          <w:i/>
        </w:rPr>
        <w:t xml:space="preserve">Biometrical Journal</w:t>
      </w:r>
      <w:r>
        <w:t xml:space="preserve">,</w:t>
      </w:r>
      <w:r>
        <w:t xml:space="preserve"> </w:t>
      </w:r>
      <w:r>
        <w:rPr>
          <w:iCs/>
          <w:i/>
        </w:rPr>
        <w:t xml:space="preserve">42</w:t>
      </w:r>
      <w:r>
        <w:t xml:space="preserve">(1), 17–25.</w:t>
      </w:r>
      <w:r>
        <w:t xml:space="preserve"> </w:t>
      </w:r>
      <w:hyperlink r:id="rId145">
        <w:r>
          <w:rPr>
            <w:rStyle w:val="Hyperlink"/>
          </w:rPr>
          <w:t xml:space="preserve">https://doi.org/10.1002/(SICI)1521-4036(200001)42:1&lt;17::AID-BIMJ17&gt;3.0.CO;2-U</w:t>
        </w:r>
      </w:hyperlink>
    </w:p>
    <w:bookmarkEnd w:id="146"/>
    <w:bookmarkStart w:id="148"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47">
        <w:r>
          <w:rPr>
            <w:rStyle w:val="Hyperlink"/>
          </w:rPr>
          <w:t xml:space="preserve">http://github.com/doomlab/MOTE</w:t>
        </w:r>
      </w:hyperlink>
    </w:p>
    <w:bookmarkEnd w:id="148"/>
    <w:bookmarkStart w:id="150"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49">
        <w:r>
          <w:rPr>
            <w:rStyle w:val="Hyperlink"/>
          </w:rPr>
          <w:t xml:space="preserve">https://doi.org/10.31234/osf.io/ty8de</w:t>
        </w:r>
      </w:hyperlink>
    </w:p>
    <w:bookmarkEnd w:id="150"/>
    <w:bookmarkStart w:id="151" w:name="ref-cliff1993dominance"/>
    <w:p>
      <w:pPr>
        <w:pStyle w:val="Bibliography"/>
      </w:pPr>
      <w:r>
        <w:t xml:space="preserve">Cliff, N. (1993). Dominance statistics: Ordinal analyses to answer ordinal questions.</w:t>
      </w:r>
      <w:r>
        <w:t xml:space="preserve"> </w:t>
      </w:r>
      <w:r>
        <w:rPr>
          <w:iCs/>
          <w:i/>
        </w:rPr>
        <w:t xml:space="preserve">Psychological Bulletin</w:t>
      </w:r>
      <w:r>
        <w:t xml:space="preserve">,</w:t>
      </w:r>
      <w:r>
        <w:t xml:space="preserve"> </w:t>
      </w:r>
      <w:r>
        <w:rPr>
          <w:iCs/>
          <w:i/>
        </w:rPr>
        <w:t xml:space="preserve">114</w:t>
      </w:r>
      <w:r>
        <w:t xml:space="preserve">(3), 494.</w:t>
      </w:r>
    </w:p>
    <w:bookmarkEnd w:id="151"/>
    <w:bookmarkStart w:id="153"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52">
        <w:r>
          <w:rPr>
            <w:rStyle w:val="Hyperlink"/>
          </w:rPr>
          <w:t xml:space="preserve">https://www.semanticscholar.org/paper/It%27s-the-Effect-Size%2C-Stupid-What-effect-size-is-it-Coe/c5ac87df5d6e0e6b6de2f745284835c2a368b0f7</w:t>
        </w:r>
      </w:hyperlink>
    </w:p>
    <w:bookmarkEnd w:id="153"/>
    <w:bookmarkStart w:id="154"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54"/>
    <w:bookmarkStart w:id="156"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55">
        <w:r>
          <w:rPr>
            <w:rStyle w:val="Hyperlink"/>
          </w:rPr>
          <w:t xml:space="preserve">https://doi.org/10.1177/0146621618795933</w:t>
        </w:r>
      </w:hyperlink>
    </w:p>
    <w:bookmarkEnd w:id="156"/>
    <w:bookmarkStart w:id="157" w:name="ref-divine2018wilcoxon"/>
    <w:p>
      <w:pPr>
        <w:pStyle w:val="Bibliography"/>
      </w:pPr>
      <w:r>
        <w:t xml:space="preserve">Divine, G. W., Norton, H. J., Barón, A. E., &amp; Juarez-Colunga, E. (2018). The wilcoxon–mann–whitney procedure fails as a test of medians.</w:t>
      </w:r>
      <w:r>
        <w:t xml:space="preserve"> </w:t>
      </w:r>
      <w:r>
        <w:rPr>
          <w:iCs/>
          <w:i/>
        </w:rPr>
        <w:t xml:space="preserve">The American Statistician</w:t>
      </w:r>
      <w:r>
        <w:t xml:space="preserve">,</w:t>
      </w:r>
      <w:r>
        <w:t xml:space="preserve"> </w:t>
      </w:r>
      <w:r>
        <w:rPr>
          <w:iCs/>
          <w:i/>
        </w:rPr>
        <w:t xml:space="preserve">72</w:t>
      </w:r>
      <w:r>
        <w:t xml:space="preserve">(3), 278–286.</w:t>
      </w:r>
    </w:p>
    <w:bookmarkEnd w:id="157"/>
    <w:bookmarkStart w:id="159"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58">
        <w:r>
          <w:rPr>
            <w:rStyle w:val="Hyperlink"/>
          </w:rPr>
          <w:t xml:space="preserve">https://doi.org/10.3758/BRM.41.4.1149</w:t>
        </w:r>
      </w:hyperlink>
    </w:p>
    <w:bookmarkEnd w:id="159"/>
    <w:bookmarkStart w:id="161"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60">
        <w:r>
          <w:rPr>
            <w:rStyle w:val="Hyperlink"/>
          </w:rPr>
          <w:t xml:space="preserve">https://doi.org/10.1037/a0024338</w:t>
        </w:r>
      </w:hyperlink>
    </w:p>
    <w:bookmarkEnd w:id="161"/>
    <w:bookmarkStart w:id="163"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62">
        <w:r>
          <w:rPr>
            <w:rStyle w:val="Hyperlink"/>
          </w:rPr>
          <w:t xml:space="preserve">https://doi.org/10.1177/2515245919847202</w:t>
        </w:r>
      </w:hyperlink>
    </w:p>
    <w:bookmarkEnd w:id="163"/>
    <w:bookmarkStart w:id="164"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51">
        <w:r>
          <w:rPr>
            <w:rStyle w:val="Hyperlink"/>
          </w:rPr>
          <w:t xml:space="preserve">https://doi.org/10.1016/j.paid.2016.06.069</w:t>
        </w:r>
      </w:hyperlink>
    </w:p>
    <w:bookmarkEnd w:id="164"/>
    <w:bookmarkStart w:id="166"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65">
        <w:r>
          <w:rPr>
            <w:rStyle w:val="Hyperlink"/>
          </w:rPr>
          <w:t xml:space="preserve">https://cir.nii.ac.jp/crid/1130000795088566912</w:t>
        </w:r>
      </w:hyperlink>
    </w:p>
    <w:bookmarkEnd w:id="166"/>
    <w:bookmarkStart w:id="167"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65">
        <w:r>
          <w:rPr>
            <w:rStyle w:val="Hyperlink"/>
          </w:rPr>
          <w:t xml:space="preserve">https://cir.nii.ac.jp/crid/1130000795088566912</w:t>
        </w:r>
      </w:hyperlink>
    </w:p>
    <w:bookmarkEnd w:id="167"/>
    <w:bookmarkStart w:id="169"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68">
        <w:r>
          <w:rPr>
            <w:rStyle w:val="Hyperlink"/>
          </w:rPr>
          <w:t xml:space="preserve">https://discourse.datamethods.org/t/author-checklist/3407</w:t>
        </w:r>
      </w:hyperlink>
    </w:p>
    <w:bookmarkEnd w:id="169"/>
    <w:bookmarkStart w:id="171"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70">
        <w:r>
          <w:rPr>
            <w:rStyle w:val="Hyperlink"/>
          </w:rPr>
          <w:t xml:space="preserve">https://doi.org/10.3102/10769986006002107</w:t>
        </w:r>
      </w:hyperlink>
    </w:p>
    <w:bookmarkEnd w:id="171"/>
    <w:bookmarkStart w:id="173"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72">
        <w:r>
          <w:rPr>
            <w:rStyle w:val="Hyperlink"/>
          </w:rPr>
          <w:t xml:space="preserve">https://doi.org/10.3758/s13423-013-0572-3</w:t>
        </w:r>
      </w:hyperlink>
    </w:p>
    <w:bookmarkEnd w:id="173"/>
    <w:bookmarkStart w:id="174" w:name="ref-hunter1990"/>
    <w:p>
      <w:pPr>
        <w:pStyle w:val="Bibliography"/>
      </w:pPr>
      <w:r>
        <w:t xml:space="preserve">Hunter, J. E., &amp; Schmidt, F. L. (1990).</w:t>
      </w:r>
      <w:r>
        <w:t xml:space="preserve"> </w:t>
      </w:r>
      <w:r>
        <w:rPr>
          <w:iCs/>
          <w:i/>
        </w:rPr>
        <w:t xml:space="preserve">Methods of meta-analysis: correcting error and bias in research findings</w:t>
      </w:r>
      <w:r>
        <w:t xml:space="preserve">. Sage Publications.</w:t>
      </w:r>
    </w:p>
    <w:bookmarkEnd w:id="174"/>
    <w:bookmarkStart w:id="176" w:name="ref-MatthewBJane2023"/>
    <w:p>
      <w:pPr>
        <w:pStyle w:val="Bibliography"/>
      </w:pPr>
      <w:r>
        <w:t xml:space="preserve">Jané, M. B. (2023).</w:t>
      </w:r>
      <w:r>
        <w:t xml:space="preserve"> </w:t>
      </w:r>
      <w:r>
        <w:rPr>
          <w:iCs/>
          <w:i/>
        </w:rPr>
        <w:t xml:space="preserve">Artifact corrections for effect sizes: Implementation in r and application to meta-analysis</w:t>
      </w:r>
      <w:r>
        <w:t xml:space="preserve">. (n.p.).</w:t>
      </w:r>
      <w:r>
        <w:t xml:space="preserve"> </w:t>
      </w:r>
      <w:hyperlink r:id="rId175">
        <w:r>
          <w:rPr>
            <w:rStyle w:val="Hyperlink"/>
          </w:rPr>
          <w:t xml:space="preserve">https://matthewbjane.quarto.pub/artifact-corrections-for-effect-sizes/</w:t>
        </w:r>
      </w:hyperlink>
    </w:p>
    <w:bookmarkEnd w:id="176"/>
    <w:bookmarkStart w:id="177" w:name="ref-karch2021psychologists"/>
    <w:p>
      <w:pPr>
        <w:pStyle w:val="Bibliography"/>
      </w:pPr>
      <w:r>
        <w:t xml:space="preserve">Karch, J. D. (2021). Psychologists should use brunner-munzel’s instead of mann-whitney’s u test as the default nonparametric procedure.</w:t>
      </w:r>
      <w:r>
        <w:t xml:space="preserve"> </w:t>
      </w:r>
      <w:r>
        <w:rPr>
          <w:iCs/>
          <w:i/>
        </w:rPr>
        <w:t xml:space="preserve">Advances in Methods and Practices in Psychological Science</w:t>
      </w:r>
      <w:r>
        <w:t xml:space="preserve">,</w:t>
      </w:r>
      <w:r>
        <w:t xml:space="preserve"> </w:t>
      </w:r>
      <w:r>
        <w:rPr>
          <w:iCs/>
          <w:i/>
        </w:rPr>
        <w:t xml:space="preserve">4</w:t>
      </w:r>
      <w:r>
        <w:t xml:space="preserve">(2), 2515245921999602.</w:t>
      </w:r>
    </w:p>
    <w:bookmarkEnd w:id="177"/>
    <w:bookmarkStart w:id="179" w:name="ref-MBESS"/>
    <w:p>
      <w:pPr>
        <w:pStyle w:val="Bibliography"/>
      </w:pPr>
      <w:r>
        <w:t xml:space="preserve">Kelley, K. (2022).</w:t>
      </w:r>
      <w:r>
        <w:t xml:space="preserve"> </w:t>
      </w:r>
      <w:r>
        <w:rPr>
          <w:iCs/>
          <w:i/>
        </w:rPr>
        <w:t xml:space="preserve">MBESS: The MBESS r package</w:t>
      </w:r>
      <w:r>
        <w:t xml:space="preserve">.</w:t>
      </w:r>
      <w:r>
        <w:t xml:space="preserve"> </w:t>
      </w:r>
      <w:hyperlink r:id="rId178">
        <w:r>
          <w:rPr>
            <w:rStyle w:val="Hyperlink"/>
          </w:rPr>
          <w:t xml:space="preserve">https://CRAN.R-project.org/package=MBESS</w:t>
        </w:r>
      </w:hyperlink>
    </w:p>
    <w:bookmarkEnd w:id="179"/>
    <w:bookmarkStart w:id="181"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80">
        <w:r>
          <w:rPr>
            <w:rStyle w:val="Hyperlink"/>
          </w:rPr>
          <w:t xml:space="preserve">https://doi.org/10.1037/a0028086</w:t>
        </w:r>
      </w:hyperlink>
    </w:p>
    <w:bookmarkEnd w:id="181"/>
    <w:bookmarkStart w:id="182" w:name="ref-BootES"/>
    <w:p>
      <w:pPr>
        <w:pStyle w:val="Bibliography"/>
      </w:pPr>
      <w:r>
        <w:t xml:space="preserve">Kirby, K. N., &amp; Gerlanc, D. (2013). BootES: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 905–927.</w:t>
      </w:r>
    </w:p>
    <w:bookmarkEnd w:id="182"/>
    <w:bookmarkStart w:id="184"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83">
        <w:r>
          <w:rPr>
            <w:rStyle w:val="Hyperlink"/>
          </w:rPr>
          <w:t xml:space="preserve">https://www.frontiersin.org/articles/10.3389/fpsyg.2013.00863</w:t>
        </w:r>
      </w:hyperlink>
    </w:p>
    <w:bookmarkEnd w:id="184"/>
    <w:bookmarkStart w:id="186" w:name="ref-lakens2014"/>
    <w:p>
      <w:pPr>
        <w:pStyle w:val="Bibliography"/>
      </w:pPr>
      <w:r>
        <w:t xml:space="preserve">Lakens, D. (2014).</w:t>
      </w:r>
      <w:r>
        <w:t xml:space="preserve"> </w:t>
      </w:r>
      <w:r>
        <w:rPr>
          <w:iCs/>
          <w:i/>
        </w:rPr>
        <w:t xml:space="preserve">The 20</w:t>
      </w:r>
      <w:r>
        <w:t xml:space="preserve">.</w:t>
      </w:r>
      <w:r>
        <w:t xml:space="preserve"> </w:t>
      </w:r>
      <w:hyperlink r:id="rId185">
        <w:r>
          <w:rPr>
            <w:rStyle w:val="Hyperlink"/>
          </w:rPr>
          <w:t xml:space="preserve">http://daniellakens.blogspot.com/2014/06/calculating-confidence-intervals-for.html</w:t>
        </w:r>
      </w:hyperlink>
    </w:p>
    <w:bookmarkEnd w:id="186"/>
    <w:bookmarkStart w:id="188" w:name="ref-TOSTER"/>
    <w:p>
      <w:pPr>
        <w:pStyle w:val="Bibliography"/>
      </w:pPr>
      <w:r>
        <w:t xml:space="preserve">Läkens, D.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87">
        <w:r>
          <w:rPr>
            <w:rStyle w:val="Hyperlink"/>
          </w:rPr>
          <w:t xml:space="preserve">https://doi.org/10.1177/1948550617697177</w:t>
        </w:r>
      </w:hyperlink>
    </w:p>
    <w:bookmarkEnd w:id="188"/>
    <w:bookmarkStart w:id="190"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89">
        <w:r>
          <w:rPr>
            <w:rStyle w:val="Hyperlink"/>
          </w:rPr>
          <w:t xml:space="preserve">https://doi.org/10.1002/ejsp.2752</w:t>
        </w:r>
      </w:hyperlink>
    </w:p>
    <w:bookmarkEnd w:id="190"/>
    <w:bookmarkStart w:id="192"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91">
        <w:r>
          <w:rPr>
            <w:rStyle w:val="Hyperlink"/>
          </w:rPr>
          <w:t xml:space="preserve">https://doi.org/10.5281/zenodo.1249218</w:t>
        </w:r>
      </w:hyperlink>
    </w:p>
    <w:bookmarkEnd w:id="192"/>
    <w:bookmarkStart w:id="194"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93">
        <w:r>
          <w:rPr>
            <w:rStyle w:val="Hyperlink"/>
          </w:rPr>
          <w:t xml:space="preserve">https://doi.org/10.1017/S0140525X00027308</w:t>
        </w:r>
      </w:hyperlink>
    </w:p>
    <w:bookmarkEnd w:id="194"/>
    <w:bookmarkStart w:id="196"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95">
        <w:r>
          <w:rPr>
            <w:rStyle w:val="Hyperlink"/>
          </w:rPr>
          <w:t xml:space="preserve">https://doi.org/10.3758/s13423-015-0947-8</w:t>
        </w:r>
      </w:hyperlink>
    </w:p>
    <w:bookmarkEnd w:id="196"/>
    <w:bookmarkStart w:id="198" w:name="ref-munzel2002"/>
    <w:p>
      <w:pPr>
        <w:pStyle w:val="Bibliography"/>
      </w:pPr>
      <w:r>
        <w:t xml:space="preserve">Munzel, U., &amp; Brunner, E. (2002). An Exact Paired Rank Test.</w:t>
      </w:r>
      <w:r>
        <w:t xml:space="preserve"> </w:t>
      </w:r>
      <w:r>
        <w:rPr>
          <w:iCs/>
          <w:i/>
        </w:rPr>
        <w:t xml:space="preserve">Biometrical Journal</w:t>
      </w:r>
      <w:r>
        <w:t xml:space="preserve">,</w:t>
      </w:r>
      <w:r>
        <w:t xml:space="preserve"> </w:t>
      </w:r>
      <w:r>
        <w:rPr>
          <w:iCs/>
          <w:i/>
        </w:rPr>
        <w:t xml:space="preserve">44</w:t>
      </w:r>
      <w:r>
        <w:t xml:space="preserve">(5), 584–593.</w:t>
      </w:r>
      <w:r>
        <w:t xml:space="preserve"> </w:t>
      </w:r>
      <w:hyperlink r:id="rId197">
        <w:r>
          <w:rPr>
            <w:rStyle w:val="Hyperlink"/>
          </w:rPr>
          <w:t xml:space="preserve">https://doi.org/10.1002/1521-4036(200207)44:5&lt;584::AID-BIMJ584&gt;3.0.CO;2-9</w:t>
        </w:r>
      </w:hyperlink>
    </w:p>
    <w:bookmarkEnd w:id="198"/>
    <w:bookmarkStart w:id="200" w:name="ref-neubert2007"/>
    <w:p>
      <w:pPr>
        <w:pStyle w:val="Bibliography"/>
      </w:pPr>
      <w:r>
        <w:t xml:space="preserve">Neubert, K., &amp; Brunner, E. (2007). A studentized permutation test for the non-parametric behrens</w:t>
      </w:r>
      <w:r>
        <w:t xml:space="preserve">fisher problem.</w:t>
      </w:r>
      <w:r>
        <w:t xml:space="preserve"> </w:t>
      </w:r>
      <w:r>
        <w:rPr>
          <w:iCs/>
          <w:i/>
        </w:rPr>
        <w:t xml:space="preserve">Computational Statistics &amp; Data Analysis</w:t>
      </w:r>
      <w:r>
        <w:t xml:space="preserve">,</w:t>
      </w:r>
      <w:r>
        <w:t xml:space="preserve"> </w:t>
      </w:r>
      <w:r>
        <w:rPr>
          <w:iCs/>
          <w:i/>
        </w:rPr>
        <w:t xml:space="preserve">51</w:t>
      </w:r>
      <w:r>
        <w:t xml:space="preserve">(10), 5192–5204.</w:t>
      </w:r>
      <w:r>
        <w:t xml:space="preserve"> </w:t>
      </w:r>
      <w:hyperlink r:id="rId199">
        <w:r>
          <w:rPr>
            <w:rStyle w:val="Hyperlink"/>
          </w:rPr>
          <w:t xml:space="preserve">https://doi.org/10.1016/j.csda.2006.05.024</w:t>
        </w:r>
      </w:hyperlink>
    </w:p>
    <w:bookmarkEnd w:id="200"/>
    <w:bookmarkStart w:id="201" w:name="ref-o2006exploiting"/>
    <w:p>
      <w:pPr>
        <w:pStyle w:val="Bibliography"/>
      </w:pPr>
      <w:r>
        <w:t xml:space="preserve">O’Brien, R. G., &amp; Castelloe, J. (2006). Exploiting the link between the wilcoxon-mann-whitney test and a simple odds statistic.</w:t>
      </w:r>
      <w:r>
        <w:t xml:space="preserve"> </w:t>
      </w:r>
      <w:r>
        <w:rPr>
          <w:iCs/>
          <w:i/>
        </w:rPr>
        <w:t xml:space="preserve">Proceedings of the Thirty-First Annual SAS Users Group International Conference</w:t>
      </w:r>
      <w:r>
        <w:t xml:space="preserve">, 209–231.</w:t>
      </w:r>
    </w:p>
    <w:bookmarkEnd w:id="201"/>
    <w:bookmarkStart w:id="203" w:name="ref-olkin1995"/>
    <w:p>
      <w:pPr>
        <w:pStyle w:val="Bibliography"/>
      </w:pPr>
      <w:r>
        <w:t xml:space="preserve">Olkin, I., &amp; Finn, J. D. (1995). Correlations redux.</w:t>
      </w:r>
      <w:r>
        <w:t xml:space="preserve"> </w:t>
      </w:r>
      <w:r>
        <w:rPr>
          <w:iCs/>
          <w:i/>
        </w:rPr>
        <w:t xml:space="preserve">Psychological Bulletin</w:t>
      </w:r>
      <w:r>
        <w:t xml:space="preserve">,</w:t>
      </w:r>
      <w:r>
        <w:t xml:space="preserve"> </w:t>
      </w:r>
      <w:r>
        <w:rPr>
          <w:iCs/>
          <w:i/>
        </w:rPr>
        <w:t xml:space="preserve">118</w:t>
      </w:r>
      <w:r>
        <w:t xml:space="preserve">(1), 155–164.</w:t>
      </w:r>
      <w:r>
        <w:t xml:space="preserve"> </w:t>
      </w:r>
      <w:hyperlink r:id="rId202">
        <w:r>
          <w:rPr>
            <w:rStyle w:val="Hyperlink"/>
          </w:rPr>
          <w:t xml:space="preserve">https://doi.org/10.1037/0033-2909.118.1.155</w:t>
        </w:r>
      </w:hyperlink>
    </w:p>
    <w:bookmarkEnd w:id="203"/>
    <w:bookmarkStart w:id="205"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204">
        <w:r>
          <w:rPr>
            <w:rStyle w:val="Hyperlink"/>
          </w:rPr>
          <w:t xml:space="preserve">https://doi.org/10.1177/2515245920917961</w:t>
        </w:r>
      </w:hyperlink>
    </w:p>
    <w:bookmarkEnd w:id="205"/>
    <w:bookmarkStart w:id="207"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206">
        <w:r>
          <w:rPr>
            <w:rStyle w:val="Hyperlink"/>
          </w:rPr>
          <w:t xml:space="preserve">https://doi.org/10.1177/1548051815614321</w:t>
        </w:r>
      </w:hyperlink>
    </w:p>
    <w:bookmarkEnd w:id="207"/>
    <w:bookmarkStart w:id="209" w:name="ref-ufs"/>
    <w:p>
      <w:pPr>
        <w:pStyle w:val="Bibliography"/>
      </w:pPr>
      <w:r>
        <w:t xml:space="preserve">Peters, G.-J. Y., &amp; Gruijters, S. (2023).</w:t>
      </w:r>
      <w:r>
        <w:t xml:space="preserve"> </w:t>
      </w:r>
      <w:r>
        <w:rPr>
          <w:iCs/>
          <w:i/>
        </w:rPr>
        <w:t xml:space="preserve">Ufs: A collection of utilities</w:t>
      </w:r>
      <w:r>
        <w:t xml:space="preserve">.</w:t>
      </w:r>
      <w:r>
        <w:t xml:space="preserve"> </w:t>
      </w:r>
      <w:hyperlink r:id="rId208">
        <w:r>
          <w:rPr>
            <w:rStyle w:val="Hyperlink"/>
          </w:rPr>
          <w:t xml:space="preserve">https://ufs.opens.science</w:t>
        </w:r>
      </w:hyperlink>
    </w:p>
    <w:bookmarkEnd w:id="209"/>
    <w:bookmarkStart w:id="211"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210">
        <w:r>
          <w:rPr>
            <w:rStyle w:val="Hyperlink"/>
          </w:rPr>
          <w:t xml:space="preserve">https://doi.org/10.1080/00031305.2018.1549101</w:t>
        </w:r>
      </w:hyperlink>
    </w:p>
    <w:bookmarkEnd w:id="211"/>
    <w:bookmarkStart w:id="212"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50">
        <w:r>
          <w:rPr>
            <w:rStyle w:val="Hyperlink"/>
          </w:rPr>
          <w:t xml:space="preserve">https://doi.org/10.1037/1089-2680.7.4.331</w:t>
        </w:r>
      </w:hyperlink>
    </w:p>
    <w:bookmarkEnd w:id="212"/>
    <w:bookmarkStart w:id="214"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213">
        <w:r>
          <w:rPr>
            <w:rStyle w:val="Hyperlink"/>
          </w:rPr>
          <w:t xml:space="preserve">https://doi.org/10.22237/jmasm/1257035100</w:t>
        </w:r>
      </w:hyperlink>
    </w:p>
    <w:bookmarkEnd w:id="214"/>
    <w:bookmarkStart w:id="216"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15">
        <w:r>
          <w:rPr>
            <w:rStyle w:val="Hyperlink"/>
          </w:rPr>
          <w:t xml:space="preserve">https://www.frontiersin.org/articles/10.3389/fpsyg.2019.00813</w:t>
        </w:r>
      </w:hyperlink>
    </w:p>
    <w:bookmarkEnd w:id="216"/>
    <w:bookmarkStart w:id="218"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217">
        <w:r>
          <w:rPr>
            <w:rStyle w:val="Hyperlink"/>
          </w:rPr>
          <w:t xml:space="preserve">https://doi.org/10.1037/1082-989X.9.2.164</w:t>
        </w:r>
      </w:hyperlink>
    </w:p>
    <w:bookmarkEnd w:id="218"/>
    <w:bookmarkStart w:id="220"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219">
        <w:r>
          <w:rPr>
            <w:rStyle w:val="Hyperlink"/>
          </w:rPr>
          <w:t xml:space="preserve">https://doi.org/10.5281/zenodo.1480624</w:t>
        </w:r>
      </w:hyperlink>
    </w:p>
    <w:bookmarkEnd w:id="220"/>
    <w:bookmarkStart w:id="222"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21">
        <w:r>
          <w:rPr>
            <w:rStyle w:val="Hyperlink"/>
          </w:rPr>
          <w:t xml:space="preserve">https://doi.org/10.18637/jss.v036.i03</w:t>
        </w:r>
      </w:hyperlink>
    </w:p>
    <w:bookmarkEnd w:id="222"/>
    <w:bookmarkStart w:id="224"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223">
        <w:r>
          <w:rPr>
            <w:rStyle w:val="Hyperlink"/>
          </w:rPr>
          <w:t xml:space="preserve">https://doi.org/10.1007/s11229-022-03560-x</w:t>
        </w:r>
      </w:hyperlink>
    </w:p>
    <w:bookmarkEnd w:id="224"/>
    <w:bookmarkStart w:id="226"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225">
        <w:r>
          <w:rPr>
            <w:rStyle w:val="Hyperlink"/>
          </w:rPr>
          <w:t xml:space="preserve">https://CRAN.R-project.org/package=MAd</w:t>
        </w:r>
      </w:hyperlink>
    </w:p>
    <w:bookmarkEnd w:id="226"/>
    <w:bookmarkStart w:id="228" w:name="ref-wiernik2020"/>
    <w:p>
      <w:pPr>
        <w:pStyle w:val="Bibliography"/>
      </w:pPr>
      <w:r>
        <w:t xml:space="preserve">Wiernik, B. M., &amp; Dahlke, J. A. (2020). Obtaining Unbiased Results in Meta-Analysis: The Importance of Correcting for Statistical Artifacts.</w:t>
      </w:r>
      <w:r>
        <w:t xml:space="preserve"> </w:t>
      </w:r>
      <w:r>
        <w:rPr>
          <w:iCs/>
          <w:i/>
        </w:rPr>
        <w:t xml:space="preserve">Advances in Methods and Practices in Psychological Science</w:t>
      </w:r>
      <w:r>
        <w:t xml:space="preserve">,</w:t>
      </w:r>
      <w:r>
        <w:t xml:space="preserve"> </w:t>
      </w:r>
      <w:r>
        <w:rPr>
          <w:iCs/>
          <w:i/>
        </w:rPr>
        <w:t xml:space="preserve">3</w:t>
      </w:r>
      <w:r>
        <w:t xml:space="preserve">(1), 94–123.</w:t>
      </w:r>
      <w:r>
        <w:t xml:space="preserve"> </w:t>
      </w:r>
      <w:hyperlink r:id="rId227">
        <w:r>
          <w:rPr>
            <w:rStyle w:val="Hyperlink"/>
          </w:rPr>
          <w:t xml:space="preserve">https://doi.org/10.1177/2515245919885611</w:t>
        </w:r>
      </w:hyperlink>
    </w:p>
    <w:bookmarkEnd w:id="228"/>
    <w:bookmarkStart w:id="230"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29">
        <w:r>
          <w:rPr>
            <w:rStyle w:val="Hyperlink"/>
          </w:rPr>
          <w:t xml:space="preserve">https://CRAN.R-project.org/package=psych</w:t>
        </w:r>
      </w:hyperlink>
    </w:p>
    <w:bookmarkEnd w:id="230"/>
    <w:bookmarkEnd w:id="231"/>
    <w:bookmarkEnd w:id="232"/>
    <w:bookmarkEnd w:id="23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53">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4">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56">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7">
        <w:r>
          <w:rPr>
            <w:rStyle w:val="Hyperlink"/>
          </w:rPr>
          <w:t xml:space="preserve">here</w:t>
        </w:r>
      </w:hyperlink>
      <w:r>
        <w:t xml:space="preserve"> </w:t>
      </w:r>
      <w:r>
        <w:t xml:space="preserve">for controversies with this paper.</w:t>
      </w:r>
    </w:p>
  </w:footnote>
  <w:footnote w:id="58">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61">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23">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7" Target="http://github.com/doomlab/MOTE" TargetMode="External" /><Relationship Type="http://schemas.openxmlformats.org/officeDocument/2006/relationships/hyperlink" Id="rId225"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9" Target="https://CRAN.R-project.org/package=psych" TargetMode="External" /><Relationship Type="http://schemas.openxmlformats.org/officeDocument/2006/relationships/hyperlink" Id="rId165"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1" Target="https://declaredesign.org/paper.pdf" TargetMode="External" /><Relationship Type="http://schemas.openxmlformats.org/officeDocument/2006/relationships/hyperlink" Id="rId168" Target="https://discourse.datamethods.org/t/author-checklist/3407" TargetMode="External" /><Relationship Type="http://schemas.openxmlformats.org/officeDocument/2006/relationships/hyperlink" Id="rId145" Target="https://doi.org/10.1002/(SICI)1521-4036(200001)42:1&lt;17::AID-BIMJ17&gt;3.0.CO;2-U" TargetMode="External" /><Relationship Type="http://schemas.openxmlformats.org/officeDocument/2006/relationships/hyperlink" Id="rId197" Target="https://doi.org/10.1002/1521-4036(200207)44:5&lt;584::AID-BIMJ584&gt;3.0.CO;2-9" TargetMode="External" /><Relationship Type="http://schemas.openxmlformats.org/officeDocument/2006/relationships/hyperlink" Id="rId189" Target="https://doi.org/10.1002/ejsp.2752" TargetMode="External" /><Relationship Type="http://schemas.openxmlformats.org/officeDocument/2006/relationships/hyperlink" Id="rId223" Target="https://doi.org/10.1007/s11229-022-03560-x" TargetMode="External" /><Relationship Type="http://schemas.openxmlformats.org/officeDocument/2006/relationships/hyperlink" Id="rId199" Target="https://doi.org/10.1016/j.csda.2006.05.024" TargetMode="External" /><Relationship Type="http://schemas.openxmlformats.org/officeDocument/2006/relationships/hyperlink" Id="rId51" Target="https://doi.org/10.1016/j.paid.2016.06.069" TargetMode="External" /><Relationship Type="http://schemas.openxmlformats.org/officeDocument/2006/relationships/hyperlink" Id="rId193" Target="https://doi.org/10.1017/S0140525X00027308" TargetMode="External" /><Relationship Type="http://schemas.openxmlformats.org/officeDocument/2006/relationships/hyperlink" Id="rId202" Target="https://doi.org/10.1037/0033-2909.118.1.155" TargetMode="External" /><Relationship Type="http://schemas.openxmlformats.org/officeDocument/2006/relationships/hyperlink" Id="rId217"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0"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3" Target="https://doi.org/10.1037/a0038047" TargetMode="External" /><Relationship Type="http://schemas.openxmlformats.org/officeDocument/2006/relationships/hyperlink" Id="rId210" Target="https://doi.org/10.1080/00031305.2018.1549101" TargetMode="External" /><Relationship Type="http://schemas.openxmlformats.org/officeDocument/2006/relationships/hyperlink" Id="rId135"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206" Target="https://doi.org/10.1177/1548051815614321" TargetMode="External" /><Relationship Type="http://schemas.openxmlformats.org/officeDocument/2006/relationships/hyperlink" Id="rId187" Target="https://doi.org/10.1177/1948550617697177" TargetMode="External" /><Relationship Type="http://schemas.openxmlformats.org/officeDocument/2006/relationships/hyperlink" Id="rId162" Target="https://doi.org/10.1177/2515245919847202" TargetMode="External" /><Relationship Type="http://schemas.openxmlformats.org/officeDocument/2006/relationships/hyperlink" Id="rId227" Target="https://doi.org/10.1177/2515245919885611" TargetMode="External" /><Relationship Type="http://schemas.openxmlformats.org/officeDocument/2006/relationships/hyperlink" Id="rId204" Target="https://doi.org/10.1177/2515245920917961" TargetMode="External" /><Relationship Type="http://schemas.openxmlformats.org/officeDocument/2006/relationships/hyperlink" Id="rId221" Target="https://doi.org/10.18637/jss.v036.i03" TargetMode="External" /><Relationship Type="http://schemas.openxmlformats.org/officeDocument/2006/relationships/hyperlink" Id="rId137" Target="https://doi.org/10.21105/joss.02815" TargetMode="External" /><Relationship Type="http://schemas.openxmlformats.org/officeDocument/2006/relationships/hyperlink" Id="rId213" Target="https://doi.org/10.22237/jmasm/1257035100" TargetMode="External" /><Relationship Type="http://schemas.openxmlformats.org/officeDocument/2006/relationships/hyperlink" Id="rId170" Target="https://doi.org/10.3102/10769986006002107" TargetMode="External" /><Relationship Type="http://schemas.openxmlformats.org/officeDocument/2006/relationships/hyperlink" Id="rId149" Target="https://doi.org/10.31234/osf.io/ty8de" TargetMode="External" /><Relationship Type="http://schemas.openxmlformats.org/officeDocument/2006/relationships/hyperlink" Id="rId139" Target="https://doi.org/10.3390/math11091982" TargetMode="External" /><Relationship Type="http://schemas.openxmlformats.org/officeDocument/2006/relationships/hyperlink" Id="rId158" Target="https://doi.org/10.3758/BRM.41.4.1149" TargetMode="External" /><Relationship Type="http://schemas.openxmlformats.org/officeDocument/2006/relationships/hyperlink" Id="rId172" Target="https://doi.org/10.3758/s13423-013-0572-3" TargetMode="External" /><Relationship Type="http://schemas.openxmlformats.org/officeDocument/2006/relationships/hyperlink" Id="rId195" Target="https://doi.org/10.3758/s13423-015-0947-8" TargetMode="External" /><Relationship Type="http://schemas.openxmlformats.org/officeDocument/2006/relationships/hyperlink" Id="rId191" Target="https://doi.org/10.5281/zenodo.1249218" TargetMode="External" /><Relationship Type="http://schemas.openxmlformats.org/officeDocument/2006/relationships/hyperlink" Id="rId219"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5"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3"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8"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15"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7" Target="http://github.com/doomlab/MOTE" TargetMode="External" /><Relationship Type="http://schemas.openxmlformats.org/officeDocument/2006/relationships/hyperlink" Id="rId225"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9" Target="https://CRAN.R-project.org/package=psych" TargetMode="External" /><Relationship Type="http://schemas.openxmlformats.org/officeDocument/2006/relationships/hyperlink" Id="rId165"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1" Target="https://declaredesign.org/paper.pdf" TargetMode="External" /><Relationship Type="http://schemas.openxmlformats.org/officeDocument/2006/relationships/hyperlink" Id="rId168" Target="https://discourse.datamethods.org/t/author-checklist/3407" TargetMode="External" /><Relationship Type="http://schemas.openxmlformats.org/officeDocument/2006/relationships/hyperlink" Id="rId145" Target="https://doi.org/10.1002/(SICI)1521-4036(200001)42:1&lt;17::AID-BIMJ17&gt;3.0.CO;2-U" TargetMode="External" /><Relationship Type="http://schemas.openxmlformats.org/officeDocument/2006/relationships/hyperlink" Id="rId197" Target="https://doi.org/10.1002/1521-4036(200207)44:5&lt;584::AID-BIMJ584&gt;3.0.CO;2-9" TargetMode="External" /><Relationship Type="http://schemas.openxmlformats.org/officeDocument/2006/relationships/hyperlink" Id="rId189" Target="https://doi.org/10.1002/ejsp.2752" TargetMode="External" /><Relationship Type="http://schemas.openxmlformats.org/officeDocument/2006/relationships/hyperlink" Id="rId223" Target="https://doi.org/10.1007/s11229-022-03560-x" TargetMode="External" /><Relationship Type="http://schemas.openxmlformats.org/officeDocument/2006/relationships/hyperlink" Id="rId199" Target="https://doi.org/10.1016/j.csda.2006.05.024" TargetMode="External" /><Relationship Type="http://schemas.openxmlformats.org/officeDocument/2006/relationships/hyperlink" Id="rId51" Target="https://doi.org/10.1016/j.paid.2016.06.069" TargetMode="External" /><Relationship Type="http://schemas.openxmlformats.org/officeDocument/2006/relationships/hyperlink" Id="rId193" Target="https://doi.org/10.1017/S0140525X00027308" TargetMode="External" /><Relationship Type="http://schemas.openxmlformats.org/officeDocument/2006/relationships/hyperlink" Id="rId202" Target="https://doi.org/10.1037/0033-2909.118.1.155" TargetMode="External" /><Relationship Type="http://schemas.openxmlformats.org/officeDocument/2006/relationships/hyperlink" Id="rId217"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0"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3" Target="https://doi.org/10.1037/a0038047" TargetMode="External" /><Relationship Type="http://schemas.openxmlformats.org/officeDocument/2006/relationships/hyperlink" Id="rId210" Target="https://doi.org/10.1080/00031305.2018.1549101" TargetMode="External" /><Relationship Type="http://schemas.openxmlformats.org/officeDocument/2006/relationships/hyperlink" Id="rId135"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206" Target="https://doi.org/10.1177/1548051815614321" TargetMode="External" /><Relationship Type="http://schemas.openxmlformats.org/officeDocument/2006/relationships/hyperlink" Id="rId187" Target="https://doi.org/10.1177/1948550617697177" TargetMode="External" /><Relationship Type="http://schemas.openxmlformats.org/officeDocument/2006/relationships/hyperlink" Id="rId162" Target="https://doi.org/10.1177/2515245919847202" TargetMode="External" /><Relationship Type="http://schemas.openxmlformats.org/officeDocument/2006/relationships/hyperlink" Id="rId227" Target="https://doi.org/10.1177/2515245919885611" TargetMode="External" /><Relationship Type="http://schemas.openxmlformats.org/officeDocument/2006/relationships/hyperlink" Id="rId204" Target="https://doi.org/10.1177/2515245920917961" TargetMode="External" /><Relationship Type="http://schemas.openxmlformats.org/officeDocument/2006/relationships/hyperlink" Id="rId221" Target="https://doi.org/10.18637/jss.v036.i03" TargetMode="External" /><Relationship Type="http://schemas.openxmlformats.org/officeDocument/2006/relationships/hyperlink" Id="rId137" Target="https://doi.org/10.21105/joss.02815" TargetMode="External" /><Relationship Type="http://schemas.openxmlformats.org/officeDocument/2006/relationships/hyperlink" Id="rId213" Target="https://doi.org/10.22237/jmasm/1257035100" TargetMode="External" /><Relationship Type="http://schemas.openxmlformats.org/officeDocument/2006/relationships/hyperlink" Id="rId170" Target="https://doi.org/10.3102/10769986006002107" TargetMode="External" /><Relationship Type="http://schemas.openxmlformats.org/officeDocument/2006/relationships/hyperlink" Id="rId149" Target="https://doi.org/10.31234/osf.io/ty8de" TargetMode="External" /><Relationship Type="http://schemas.openxmlformats.org/officeDocument/2006/relationships/hyperlink" Id="rId139" Target="https://doi.org/10.3390/math11091982" TargetMode="External" /><Relationship Type="http://schemas.openxmlformats.org/officeDocument/2006/relationships/hyperlink" Id="rId158" Target="https://doi.org/10.3758/BRM.41.4.1149" TargetMode="External" /><Relationship Type="http://schemas.openxmlformats.org/officeDocument/2006/relationships/hyperlink" Id="rId172" Target="https://doi.org/10.3758/s13423-013-0572-3" TargetMode="External" /><Relationship Type="http://schemas.openxmlformats.org/officeDocument/2006/relationships/hyperlink" Id="rId195" Target="https://doi.org/10.3758/s13423-015-0947-8" TargetMode="External" /><Relationship Type="http://schemas.openxmlformats.org/officeDocument/2006/relationships/hyperlink" Id="rId191" Target="https://doi.org/10.5281/zenodo.1249218" TargetMode="External" /><Relationship Type="http://schemas.openxmlformats.org/officeDocument/2006/relationships/hyperlink" Id="rId219"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5"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3"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8"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15"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2023-10-22T03:07:31Z</dcterms:created>
  <dcterms:modified xsi:type="dcterms:W3CDTF">2023-10-22T03:07:31Z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