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93.png" ContentType="image/png"/>
  <Override PartName="/word/media/rId86.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Blair T. Johnson</w:t>
      </w:r>
      <w:r>
        <w:rPr>
          <w:vertAlign w:val="superscript"/>
        </w:rPr>
        <w:t xml:space="preserve">8</w:t>
      </w:r>
      <w:r>
        <w:t xml:space="preserve">, and Gilad Feldman</w:t>
      </w:r>
      <w:r>
        <w:rPr>
          <w:vertAlign w:val="superscript"/>
        </w:rPr>
        <w:t xml:space="preserve">8</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Chinese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University of Hong Kong, Department of Psychology</w:t>
      </w:r>
    </w:p>
    <w:p>
      <w:pPr>
        <w:pStyle w:val="BodyText"/>
      </w:pPr>
    </w:p>
    <w:bookmarkEnd w:id="20"/>
    <w:bookmarkStart w:id="38"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Gilad Feldman</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University of Hong Kong, Department of Psychology, Email: gfeldman@hku.hk</w:t>
      </w:r>
    </w:p>
    <w:bookmarkEnd w:id="38"/>
    <w:p>
      <w:r>
        <w:br w:type="page"/>
      </w:r>
    </w:p>
    <w:bookmarkStart w:id="39"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39"/>
    <w:p>
      <w:r>
        <w:br w:type="page"/>
      </w:r>
    </w:p>
    <w:bookmarkStart w:id="184"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0">
        <w:r>
          <w:rPr>
            <w:rStyle w:val="Hyperlink"/>
          </w:rPr>
          <w:t xml:space="preserve">https://mgto.org/effectsizeguide</w:t>
        </w:r>
      </w:hyperlink>
      <w:r>
        <w:t xml:space="preserve">. A similar guide on power analysis can be found at:</w:t>
      </w:r>
      <w:r>
        <w:t xml:space="preserve"> </w:t>
      </w:r>
      <w:hyperlink r:id="rId41">
        <w:r>
          <w:rPr>
            <w:rStyle w:val="Hyperlink"/>
          </w:rPr>
          <w:t xml:space="preserve">https://mgto.org/poweranalysisguide</w:t>
        </w:r>
      </w:hyperlink>
      <w:r>
        <w:t xml:space="preserve">. This guide is shared under the</w:t>
      </w:r>
      <w:r>
        <w:t xml:space="preserve"> </w:t>
      </w:r>
      <w:hyperlink r:id="rId42">
        <w:r>
          <w:rPr>
            <w:rStyle w:val="Hyperlink"/>
          </w:rPr>
          <w:t xml:space="preserve">Attribution-NonCommercial-ShareAlike 4.0 International (CC BY-NC-SA 4.0)</w:t>
        </w:r>
      </w:hyperlink>
      <w:r>
        <w:t xml:space="preserve"> </w:t>
      </w:r>
      <w:r>
        <w:t xml:space="preserve">license.</w:t>
      </w:r>
    </w:p>
    <w:bookmarkStart w:id="45"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3"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3"/>
    <w:bookmarkStart w:id="4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4"/>
    <w:bookmarkEnd w:id="45"/>
    <w:bookmarkStart w:id="47"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6"/>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7"/>
    <w:bookmarkStart w:id="57"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48">
        <w:r>
          <w:rPr>
            <w:rStyle w:val="Hyperlink"/>
          </w:rPr>
          <w:t xml:space="preserve">this</w:t>
        </w:r>
      </w:hyperlink>
      <w:r>
        <w:t xml:space="preserve"> </w:t>
      </w:r>
      <w:r>
        <w:t xml:space="preserve">and</w:t>
      </w:r>
      <w:r>
        <w:t xml:space="preserve"> </w:t>
      </w:r>
      <w:hyperlink r:id="rId49">
        <w:r>
          <w:rPr>
            <w:rStyle w:val="Hyperlink"/>
          </w:rPr>
          <w:t xml:space="preserve">this</w:t>
        </w:r>
      </w:hyperlink>
      <w:r>
        <w:t xml:space="preserve">; see</w:t>
      </w:r>
      <w:r>
        <w:t xml:space="preserve"> </w:t>
      </w:r>
      <w:hyperlink r:id="rId50">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1"/>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2"/>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3"/>
            </w:r>
            <w:r>
              <w:rPr>
                <w:rStyle w:val="FootnoteReference"/>
              </w:rPr>
              <w:footnoteReference w:id="54"/>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6"/>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7"/>
    <w:bookmarkStart w:id="62" w:name="reporting-effect-sizes"/>
    <w:p>
      <w:pPr>
        <w:pStyle w:val="Heading2"/>
      </w:pPr>
      <w:r>
        <w:t xml:space="preserve">Reporting Effect Sizes</w:t>
      </w:r>
    </w:p>
    <w:bookmarkStart w:id="58"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58"/>
    <w:bookmarkStart w:id="60"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59"/>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0"/>
    <w:bookmarkStart w:id="61"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1"/>
    <w:bookmarkEnd w:id="62"/>
    <w:bookmarkStart w:id="63"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3"/>
    <w:bookmarkStart w:id="64"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4"/>
    <w:bookmarkStart w:id="77"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5">
        <w:r>
          <w:rPr>
            <w:rStyle w:val="Hyperlink"/>
          </w:rPr>
          <w:t xml:space="preserve">doomlab.shinyapps.io/mote/</w:t>
        </w:r>
      </w:hyperlink>
      <w:r>
        <w:t xml:space="preserve">). The CRAN project can be found here:</w:t>
      </w:r>
      <w:r>
        <w:t xml:space="preserve"> </w:t>
      </w:r>
      <w:hyperlink r:id="rId66">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et al.,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7">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68">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69">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0">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1">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&amp;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2">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73">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74">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(Daniel et al., 2017)</w:t>
      </w:r>
      <w:r>
        <w:t xml:space="preserve">: This package is used for equivalence testing. It contains many functions to test for differences in effect sizes along with other useful functions for effect size comparisons. The CRAN project can be found here:</w:t>
      </w:r>
      <w:r>
        <w:t xml:space="preserve"> </w:t>
      </w:r>
      <w:hyperlink r:id="rId75">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6">
        <w:r>
          <w:rPr>
            <w:rStyle w:val="Hyperlink"/>
          </w:rPr>
          <w:t xml:space="preserve">cran.r-project.org/package=DeclareDesign</w:t>
        </w:r>
      </w:hyperlink>
      <w:r>
        <w:t xml:space="preserve">.</w:t>
      </w:r>
    </w:p>
    <w:bookmarkEnd w:id="77"/>
    <w:bookmarkStart w:id="92" w:name="X98183e3b3beca1733b0791a5a1ee093888c85d3"/>
    <w:p>
      <w:pPr>
        <w:pStyle w:val="Heading2"/>
      </w:pPr>
      <w:r>
        <w:t xml:space="preserve">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Caldwell, n.d.; Cohen, 1988; Glass et al., 1981; Lakens, 2013)</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w:bookmarkStart w:id="78" w:name="eq-ci-low"/>
      <m:oMathPara>
        <m:oMathParaPr>
          <m:jc m:val="center"/>
        </m:oMathParaPr>
        <m:oMath>
          <m:r>
            <m:rPr>
              <m:nor/>
              <m:sty m:val="p"/>
            </m:rPr>
            <m:t>Lower Bound</m:t>
          </m:r>
          <m:r>
            <m:rPr>
              <m:sty m:val="p"/>
            </m:rPr>
            <m:t>=</m:t>
          </m:r>
          <m:r>
            <m:t>d</m:t>
          </m:r>
          <m:r>
            <m:rPr>
              <m:sty m:val="p"/>
            </m:rPr>
            <m:t>−</m:t>
          </m:r>
          <m:r>
            <m:t>1.96</m:t>
          </m:r>
          <m:r>
            <m:rPr>
              <m:sty m:val="p"/>
            </m:rPr>
            <m:t>×</m:t>
          </m:r>
          <m:r>
            <m:t>S</m:t>
          </m:r>
          <m:r>
            <m:t>E</m:t>
          </m:r>
          <m:r>
            <m:t>  </m:t>
          </m:r>
          <m:d>
            <m:dPr>
              <m:begChr m:val="("/>
              <m:endChr m:val=")"/>
              <m:sepChr m:val=""/>
              <m:grow/>
            </m:dPr>
            <m:e>
              <m:r>
                <m:t>1</m:t>
              </m:r>
            </m:e>
          </m:d>
        </m:oMath>
      </m:oMathPara>
      <w:bookmarkEnd w:id="78"/>
    </w:p>
    <w:p>
      <w:pPr>
        <w:pStyle w:val="FirstParagraph"/>
      </w:pPr>
      <w:bookmarkStart w:id="79" w:name="eq-ci-high"/>
      <m:oMathPara>
        <m:oMathParaPr>
          <m:jc m:val="center"/>
        </m:oMathParaPr>
        <m:oMath>
          <m:r>
            <m:rPr>
              <m:nor/>
              <m:sty m:val="p"/>
            </m:rPr>
            <m:t>Upper Bound</m:t>
          </m:r>
          <m:r>
            <m:rPr>
              <m:sty m:val="p"/>
            </m:rPr>
            <m:t>=</m:t>
          </m:r>
          <m:r>
            <m:t>d</m:t>
          </m:r>
          <m:r>
            <m:rPr>
              <m:sty m:val="p"/>
            </m:rPr>
            <m:t>+</m:t>
          </m:r>
          <m:r>
            <m:t>1.96</m:t>
          </m:r>
          <m:r>
            <m:rPr>
              <m:sty m:val="p"/>
            </m:rPr>
            <m:t>×</m:t>
          </m:r>
          <m:r>
            <m:t>S</m:t>
          </m:r>
          <m:r>
            <m:t>E</m:t>
          </m:r>
          <m:r>
            <m:t>  </m:t>
          </m:r>
          <m:d>
            <m:dPr>
              <m:begChr m:val="("/>
              <m:endChr m:val=")"/>
              <m:sepChr m:val=""/>
              <m:grow/>
            </m:dPr>
            <m:e>
              <m:r>
                <m:t>2</m:t>
              </m:r>
            </m:e>
          </m:d>
        </m:oMath>
      </m:oMathPara>
      <w:bookmarkEnd w:id="79"/>
    </w:p>
    <w:p>
      <w:pPr>
        <w:pStyle w:val="FirstParagraph"/>
      </w:pPr>
      <w:r>
        <w:t xml:space="preserve">Lastly, we will supply example R code so you can apply to your own data.</w:t>
      </w:r>
    </w:p>
    <w:bookmarkStart w:id="80"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80"/>
    <w:bookmarkStart w:id="81" w:name="two-groups-design"/>
    <w:p>
      <w:pPr>
        <w:pStyle w:val="Heading3"/>
      </w:pPr>
      <w:r>
        <w:t xml:space="preserve">Two Groups Design</w:t>
      </w:r>
    </w:p>
    <w:p>
      <w:pPr>
        <w:pStyle w:val="Heading4"/>
        <w:rPr>
          <w:vanish/>
          <w:specVanish/>
        </w:rPr>
      </w:pPr>
      <w:r>
        <w:t>Standardize by Pooled Standard Deviation (d_p).</w:t>
      </w:r>
      <w:r>
        <w:t xml:space="preserve"> </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p>
      <w:pPr>
        <w:pStyle w:val="Heading4"/>
        <w:rPr>
          <w:vanish/>
          <w:specVanish/>
        </w:rPr>
      </w:pPr>
      <w:r>
        <w:t>Standardize by Control Group Standard Deviation (d_{\Delta}).</w:t>
      </w:r>
      <w:r>
        <w:t xml:space="preserve"> </w:t>
      </w:r>
    </w:p>
    <w:p>
      <w:pPr>
        <w:pStyle w:val="BodyText"/>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81"/>
    <w:bookmarkStart w:id="90"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5" w:name="fig-repeatedmeasures"/>
          <w:p>
            <w:pPr>
              <w:jc w:val="center"/>
            </w:pPr>
            <w:r>
              <w:drawing>
                <wp:inline>
                  <wp:extent cx="5943600" cy="5943600"/>
                  <wp:effectExtent b="0" l="0" r="0" t="0"/>
                  <wp:docPr descr="" title="" id="83" name="Picture"/>
                  <a:graphic>
                    <a:graphicData uri="http://schemas.openxmlformats.org/drawingml/2006/picture">
                      <pic:pic>
                        <pic:nvPicPr>
                          <pic:cNvPr descr="index_files/figure-docx/fig-repeatedmeasure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5"/>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BodyText"/>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p>
      <w:pPr>
        <w:pStyle w:val="Heading4"/>
        <w:rPr>
          <w:vanish/>
          <w:specVanish/>
        </w:rPr>
      </w:pPr>
      <w:r>
        <w:t>Becker’s d (d_b).</w:t>
      </w:r>
      <w:r>
        <w:t xml:space="preserve"> </w:t>
      </w:r>
    </w:p>
    <w:p>
      <w:pPr>
        <w:pStyle w:val="BodyText"/>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a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p>
      <w:pPr>
        <w:pStyle w:val="Heading4"/>
        <w:rPr>
          <w:vanish/>
          <w:specVanish/>
        </w:rPr>
      </w:pPr>
      <w:r>
        <w:t>Comparing Repeated Measures d values.</w:t>
      </w:r>
      <w:r>
        <w:t xml:space="preserve"> </w:t>
      </w:r>
    </w:p>
    <w:p>
      <w:pPr>
        <w:pStyle w:val="BodyText"/>
      </w:pPr>
      <w:hyperlink w:anchor="fig-correlation-comp">
        <w:r>
          <w:rPr>
            <w:rStyle w:val="Hyperlink"/>
          </w:rPr>
          <w:t xml:space="preserve">Figure 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2</w:t>
        </w:r>
      </w:hyperlink>
      <w:r>
        <w:t xml:space="preserve">:</w:t>
      </w:r>
    </w:p>
    <w:p>
      <w:pPr>
        <w:numPr>
          <w:ilvl w:val="0"/>
          <w:numId w:val="1004"/>
        </w:numPr>
        <w:pStyle w:val="Compact"/>
      </w:pPr>
      <w:r>
        <w:t xml:space="preserve">High correlation:</w:t>
      </w:r>
    </w:p>
    <w:p>
      <w:pPr>
        <w:numPr>
          <w:ilvl w:val="1"/>
          <w:numId w:val="1005"/>
        </w:numPr>
        <w:pStyle w:val="Compact"/>
      </w:pPr>
      <m:oMath>
        <m:sSub>
          <m:e>
            <m:r>
              <m:t>d</m:t>
            </m:r>
          </m:e>
          <m:sub>
            <m:r>
              <m:t>z</m:t>
            </m:r>
          </m:sub>
        </m:sSub>
        <m:r>
          <m:rPr>
            <m:sty m:val="p"/>
          </m:rPr>
          <m:t>=</m:t>
        </m:r>
        <m:r>
          <m:t>1.24</m:t>
        </m:r>
      </m:oMath>
    </w:p>
    <w:p>
      <w:pPr>
        <w:numPr>
          <w:ilvl w:val="1"/>
          <w:numId w:val="1005"/>
        </w:numPr>
        <w:pStyle w:val="Compact"/>
      </w:pPr>
      <m:oMath>
        <m:sSub>
          <m:e>
            <m:r>
              <m:t>d</m:t>
            </m:r>
          </m:e>
          <m:sub>
            <m:r>
              <m:t>r</m:t>
            </m:r>
            <m:r>
              <m:t>m</m:t>
            </m:r>
          </m:sub>
        </m:sSub>
        <m:r>
          <m:rPr>
            <m:sty m:val="p"/>
          </m:rPr>
          <m:t>=</m:t>
        </m:r>
        <m:r>
          <m:t>0.39</m:t>
        </m:r>
      </m:oMath>
    </w:p>
    <w:p>
      <w:pPr>
        <w:numPr>
          <w:ilvl w:val="1"/>
          <w:numId w:val="1005"/>
        </w:numPr>
        <w:pStyle w:val="Compact"/>
      </w:pPr>
      <m:oMath>
        <m:sSub>
          <m:e>
            <m:r>
              <m:t>d</m:t>
            </m:r>
          </m:e>
          <m:sub>
            <m:r>
              <m:t>a</m:t>
            </m:r>
            <m:r>
              <m:t>v</m:t>
            </m:r>
          </m:sub>
        </m:sSub>
        <m:r>
          <m:rPr>
            <m:sty m:val="p"/>
          </m:rPr>
          <m:t>=</m:t>
        </m:r>
        <m:r>
          <m:t>0.43</m:t>
        </m:r>
      </m:oMath>
    </w:p>
    <w:p>
      <w:pPr>
        <w:numPr>
          <w:ilvl w:val="1"/>
          <w:numId w:val="1005"/>
        </w:numPr>
        <w:pStyle w:val="Compact"/>
      </w:pPr>
      <m:oMath>
        <m:sSub>
          <m:e>
            <m:r>
              <m:t>d</m:t>
            </m:r>
          </m:e>
          <m:sub>
            <m:r>
              <m:t>b</m:t>
            </m:r>
          </m:sub>
        </m:sSub>
        <m:r>
          <m:rPr>
            <m:sty m:val="p"/>
          </m:rPr>
          <m:t>=</m:t>
        </m:r>
        <m:r>
          <m:t>0.40</m:t>
        </m:r>
      </m:oMath>
    </w:p>
    <w:p>
      <w:pPr>
        <w:numPr>
          <w:ilvl w:val="0"/>
          <w:numId w:val="1004"/>
        </w:numPr>
        <w:pStyle w:val="Compact"/>
      </w:pPr>
      <w:r>
        <w:t xml:space="preserve">Low correlation:</w:t>
      </w:r>
    </w:p>
    <w:p>
      <w:pPr>
        <w:numPr>
          <w:ilvl w:val="1"/>
          <w:numId w:val="1006"/>
        </w:numPr>
        <w:pStyle w:val="Compact"/>
      </w:pPr>
      <m:oMath>
        <m:sSub>
          <m:e>
            <m:r>
              <m:t>d</m:t>
            </m:r>
          </m:e>
          <m:sub>
            <m:r>
              <m:t>z</m:t>
            </m:r>
          </m:sub>
        </m:sSub>
        <m:r>
          <m:rPr>
            <m:sty m:val="p"/>
          </m:rPr>
          <m:t>=</m:t>
        </m:r>
        <m:r>
          <m:t>0.31</m:t>
        </m:r>
      </m:oMath>
    </w:p>
    <w:p>
      <w:pPr>
        <w:numPr>
          <w:ilvl w:val="1"/>
          <w:numId w:val="1006"/>
        </w:numPr>
        <w:pStyle w:val="Compact"/>
      </w:pPr>
      <m:oMath>
        <m:sSub>
          <m:e>
            <m:r>
              <m:t>d</m:t>
            </m:r>
          </m:e>
          <m:sub>
            <m:r>
              <m:t>r</m:t>
            </m:r>
            <m:r>
              <m:t>m</m:t>
            </m:r>
          </m:sub>
        </m:sSub>
        <m:r>
          <m:rPr>
            <m:sty m:val="p"/>
          </m:rPr>
          <m:t>=</m:t>
        </m:r>
        <m:r>
          <m:t>0.43</m:t>
        </m:r>
      </m:oMath>
    </w:p>
    <w:p>
      <w:pPr>
        <w:numPr>
          <w:ilvl w:val="1"/>
          <w:numId w:val="1006"/>
        </w:numPr>
        <w:pStyle w:val="Compact"/>
      </w:pPr>
      <m:oMath>
        <m:sSub>
          <m:e>
            <m:r>
              <m:t>d</m:t>
            </m:r>
          </m:e>
          <m:sub>
            <m:r>
              <m:t>a</m:t>
            </m:r>
            <m:r>
              <m:t>v</m:t>
            </m:r>
          </m:sub>
        </m:sSub>
        <m:r>
          <m:rPr>
            <m:sty m:val="p"/>
          </m:rPr>
          <m:t>=</m:t>
        </m:r>
        <m:r>
          <m:t>0.43</m:t>
        </m:r>
      </m:oMath>
    </w:p>
    <w:p>
      <w:pPr>
        <w:numPr>
          <w:ilvl w:val="1"/>
          <w:numId w:val="1006"/>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89" w:name="fig-correlation-comp"/>
          <w:p>
            <w:pPr>
              <w:jc w:val="center"/>
            </w:pPr>
            <w:r>
              <w:drawing>
                <wp:inline>
                  <wp:extent cx="5943600" cy="5943600"/>
                  <wp:effectExtent b="0" l="0" r="0" t="0"/>
                  <wp:docPr descr="" title="" id="87" name="Picture"/>
                  <a:graphic>
                    <a:graphicData uri="http://schemas.openxmlformats.org/drawingml/2006/picture">
                      <pic:pic>
                        <pic:nvPicPr>
                          <pic:cNvPr descr="index_files/figure-docx/fig-correlation-comp-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displaying simulated data of a repeated measures design, the x-axis shows the condition (e.g., pre-test and post-test) and y-axis is the scores. Lines connect the change within subject from one condition to the next.</w:t>
            </w:r>
          </w:p>
          <w:bookmarkEnd w:id="89"/>
        </w:tc>
      </w:tr>
    </w:tbl>
    <w:bookmarkEnd w:id="90"/>
    <w:bookmarkStart w:id="91" w:name="small-sample-bias-in-d-values"/>
    <w:p>
      <w:pPr>
        <w:pStyle w:val="Heading3"/>
      </w:pPr>
      <w:r>
        <w:t xml:space="preserve">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7"/>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7"/>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7"/>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7"/>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 as well using</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1"/>
    <w:bookmarkEnd w:id="92"/>
    <w:bookmarkStart w:id="97" w:name="Xd66ac7d3670ee7ff99efbb3673e9bae8cf091e0"/>
    <w:p>
      <w:pPr>
        <w:pStyle w:val="Heading2"/>
      </w:pPr>
      <w:r>
        <w:t xml:space="preserve">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an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3</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96" w:name="fig-cor-example"/>
          <w:p>
            <w:pPr>
              <w:jc w:val="center"/>
            </w:pPr>
            <w:r>
              <w:drawing>
                <wp:inline>
                  <wp:extent cx="5943600" cy="5486400"/>
                  <wp:effectExtent b="0" l="0" r="0" t="0"/>
                  <wp:docPr descr="" title="" id="94" name="Picture"/>
                  <a:graphic>
                    <a:graphicData uri="http://schemas.openxmlformats.org/drawingml/2006/picture">
                      <pic:pic>
                        <pic:nvPicPr>
                          <pic:cNvPr descr="index_files/figure-docx/fig-cor-example-1.png" id="95" name="Picture"/>
                          <pic:cNvPicPr>
                            <a:picLocks noChangeArrowheads="1" noChangeAspect="1"/>
                          </pic:cNvPicPr>
                        </pic:nvPicPr>
                        <pic:blipFill>
                          <a:blip r:embed="rId93"/>
                          <a:stretch>
                            <a:fillRect/>
                          </a:stretch>
                        </pic:blipFill>
                        <pic:spPr bwMode="auto">
                          <a:xfrm>
                            <a:off x="0" y="0"/>
                            <a:ext cx="59436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Simulated data from a bivariate normal distribution displaying 6 different correlations, r = 0, .20, .40, .60, .80, and 1.00.</w:t>
            </w:r>
          </w:p>
          <w:bookmarkEnd w:id="96"/>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r>
                    <m:t>1</m:t>
                  </m:r>
                  <m:r>
                    <m:rPr>
                      <m:sty m:val="p"/>
                    </m:rPr>
                    <m:t>−</m:t>
                  </m:r>
                  <m:sSup>
                    <m:e>
                      <m:r>
                        <m:t>r</m:t>
                      </m:r>
                    </m:e>
                    <m:sup>
                      <m:r>
                        <m:t>2</m:t>
                      </m:r>
                    </m:sup>
                  </m:sSup>
                </m:num>
                <m:den>
                  <m:r>
                    <m:t>n</m:t>
                  </m:r>
                  <m:r>
                    <m:rPr>
                      <m:sty m:val="p"/>
                    </m:rPr>
                    <m:t>−</m:t>
                  </m:r>
                  <m:r>
                    <m:t>2</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w:t>
      </w:r>
      <w:r>
        <w:t xml:space="preserve"> </w:t>
      </w:r>
      <w:r>
        <w:rPr>
          <w:iCs/>
          <w:i/>
        </w:rPr>
        <w:t xml:space="preserve">is</w:t>
      </w:r>
      <w:r>
        <w:t xml:space="preserve"> </w:t>
      </w:r>
      <w:r>
        <w:t xml:space="preserve">symmetric and normal. This asymmetric does not allow us to calculate the confidence intervals like how we did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Instead, to obtain the confidence intervals of</w:t>
      </w:r>
      <w:r>
        <w:t xml:space="preserve"> </w:t>
      </w:r>
      <m:oMath>
        <m:r>
          <m:t>r</m:t>
        </m:r>
      </m:oMath>
      <w:r>
        <w:t xml:space="preserve">, we first need to apply a Fisher’s Z transformation. A Fisher’s Z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r>
          <m:t>Z</m:t>
        </m:r>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w:t>
      </w:r>
    </w:p>
    <w:p>
      <w:pPr>
        <w:pStyle w:val="BodyText"/>
      </w:pPr>
      <m:oMathPara>
        <m:oMathParaPr>
          <m:jc m:val="center"/>
        </m:oMathParaPr>
        <m:oMath>
          <m:sSub>
            <m:e>
              <m:r>
                <m:t>Z</m:t>
              </m:r>
            </m:e>
            <m:sub>
              <m:r>
                <m:rPr>
                  <m:nor/>
                  <m:sty m:val="p"/>
                </m:rPr>
                <m:t>Lower Bound</m:t>
              </m:r>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m:oMathPara>
        <m:oMathParaPr>
          <m:jc m:val="center"/>
        </m:oMathParaPr>
        <m:oMath>
          <m:sSub>
            <m:e>
              <m:r>
                <m:t>Z</m:t>
              </m:r>
            </m:e>
            <m:sub>
              <m:r>
                <m:rPr>
                  <m:nor/>
                  <m:sty m:val="p"/>
                </m:rPr>
                <m:t>Upper Bound</m:t>
              </m:r>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m:oMathPara>
        <m:oMathParaPr>
          <m:jc m:val="center"/>
        </m:oMathParaPr>
        <m:oMath>
          <m:sSub>
            <m:e>
              <m:r>
                <m:t>r</m:t>
              </m:r>
            </m:e>
            <m:sub>
              <m:r>
                <m:rPr>
                  <m:nor/>
                  <m:sty m:val="p"/>
                </m:rPr>
                <m:t>Lower Bound</m:t>
              </m:r>
            </m:sub>
          </m:sSub>
          <m:r>
            <m:rPr>
              <m:sty m:val="p"/>
            </m:rPr>
            <m:t>=</m:t>
          </m:r>
          <m:r>
            <m:rPr>
              <m:nor/>
              <m:sty m:val="p"/>
            </m:rPr>
            <m:t>tanh</m:t>
          </m:r>
          <m:d>
            <m:dPr>
              <m:begChr m:val="("/>
              <m:endChr m:val=")"/>
              <m:sepChr m:val=""/>
              <m:grow/>
            </m:dPr>
            <m:e>
              <m:sSub>
                <m:e>
                  <m:r>
                    <m:t>Z</m:t>
                  </m:r>
                </m:e>
                <m:sub>
                  <m:r>
                    <m:rPr>
                      <m:nor/>
                      <m:sty m:val="p"/>
                    </m:rPr>
                    <m:t>Lower Bound</m:t>
                  </m:r>
                </m:sub>
              </m:sSub>
            </m:e>
          </m:d>
        </m:oMath>
      </m:oMathPara>
    </w:p>
    <w:p>
      <w:pPr>
        <w:pStyle w:val="FirstParagraph"/>
      </w:pPr>
      <m:oMathPara>
        <m:oMathParaPr>
          <m:jc m:val="center"/>
        </m:oMathParaPr>
        <m:oMath>
          <m:sSub>
            <m:e>
              <m:r>
                <m:t>r</m:t>
              </m:r>
            </m:e>
            <m:sub>
              <m:r>
                <m:rPr>
                  <m:nor/>
                  <m:sty m:val="p"/>
                </m:rPr>
                <m:t>Upper Bound</m:t>
              </m:r>
            </m:sub>
          </m:sSub>
          <m:r>
            <m:rPr>
              <m:sty m:val="p"/>
            </m:rPr>
            <m:t>=</m:t>
          </m:r>
          <m:r>
            <m:rPr>
              <m:nor/>
              <m:sty m:val="p"/>
            </m:rPr>
            <m:t>tanh</m:t>
          </m:r>
          <m:d>
            <m:dPr>
              <m:begChr m:val="("/>
              <m:endChr m:val=")"/>
              <m:sepChr m:val=""/>
              <m:grow/>
            </m:dPr>
            <m:e>
              <m:sSub>
                <m:e>
                  <m:r>
                    <m:t>Z</m:t>
                  </m:r>
                </m:e>
                <m:sub>
                  <m:r>
                    <m:rPr>
                      <m:nor/>
                      <m:sty m:val="p"/>
                    </m:rPr>
                    <m:t>Lower Bound</m:t>
                  </m:r>
                </m:sub>
              </m:sSub>
            </m:e>
          </m:d>
        </m:oMath>
      </m:oMathPara>
    </w:p>
    <w:p>
      <w:pPr>
        <w:pStyle w:val="FirstParagraph"/>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97"/>
    <w:bookmarkStart w:id="183" w:name="effect-sizes-for-categorical-variables"/>
    <w:p>
      <w:pPr>
        <w:pStyle w:val="Heading2"/>
      </w:pPr>
      <w:r>
        <w:t xml:space="preserve">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99" w:name="phi-coefficient-phi"/>
    <w:p>
      <w:pPr>
        <w:pStyle w:val="Heading3"/>
      </w:pPr>
      <w:r>
        <w:t xml:space="preserve">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w:t>
        </w:r>
      </w:hyperlink>
      <w:r>
        <w:t xml:space="preserve">.</w:t>
      </w:r>
    </w:p>
    <w:bookmarkStart w:id="98" w:name="tbl-contingency"/>
    <w:p>
      <w:pPr>
        <w:pStyle w:val="TableCaption"/>
      </w:pPr>
      <w:r>
        <w:t xml:space="preserve">Table 1: Contingency table between two binary variables</w:t>
      </w:r>
    </w:p>
    <w:tbl>
      <w:tblPr>
        <w:tblStyle w:val="Table"/>
        <w:tblW w:type="auto" w:w="0"/>
        <w:tblLook w:firstRow="1" w:lastRow="0" w:firstColumn="0" w:lastColumn="0" w:noHBand="0" w:noVBand="0" w:val="0020"/>
        <w:jc w:val="start"/>
        <w:tblCaption w:val="Table 1: Contingency table between two binary variables"/>
      </w:tblPr>
      <w:tblGrid>
        <w:gridCol w:w="2640"/>
        <w:gridCol w:w="2640"/>
        <w:gridCol w:w="2640"/>
      </w:tblGrid>
      <w:tr>
        <w:trPr>
          <w:tblHeader w:val="true"/>
        </w:trPr>
        <w:tc>
          <w:tcPr/>
          <w:p>
            <w:pPr>
              <w:pStyle w:val="Compact"/>
            </w:pPr>
          </w:p>
        </w:tc>
        <w:tc>
          <w:tcPr/>
          <w:p>
            <w:pPr>
              <w:pStyle w:val="Compact"/>
              <w:jc w:val="left"/>
            </w:pPr>
            <m:oMath>
              <m:r>
                <m:t>X</m:t>
              </m:r>
              <m:r>
                <m:rPr>
                  <m:sty m:val="p"/>
                </m:rPr>
                <m:t>=</m:t>
              </m:r>
              <m:r>
                <m:t>0</m:t>
              </m:r>
            </m:oMath>
          </w:p>
        </w:tc>
        <w:tc>
          <w:tcPr/>
          <w:p>
            <w:pPr>
              <w:pStyle w:val="Compact"/>
              <w:jc w:val="left"/>
            </w:pPr>
            <m:oMath>
              <m:r>
                <m:t>X</m:t>
              </m:r>
              <m:r>
                <m:rPr>
                  <m:sty m:val="p"/>
                </m:rPr>
                <m:t>=</m:t>
              </m:r>
              <m:r>
                <m:t>1</m:t>
              </m:r>
            </m:oMath>
          </w:p>
        </w:tc>
      </w:tr>
      <w:tr>
        <w:tc>
          <w:tcPr/>
          <w:p>
            <w:pPr>
              <w:pStyle w:val="Compact"/>
              <w:jc w:val="left"/>
            </w:pPr>
            <m:oMath>
              <m:r>
                <m:t>Y</m:t>
              </m:r>
              <m:r>
                <m:rPr>
                  <m:sty m:val="p"/>
                </m:rPr>
                <m:t>=</m:t>
              </m:r>
              <m:r>
                <m:t>0</m:t>
              </m:r>
            </m:oMath>
          </w:p>
        </w:tc>
        <w:tc>
          <w:tcPr/>
          <w:p>
            <w:pPr>
              <w:pStyle w:val="Compact"/>
              <w:jc w:val="left"/>
            </w:pPr>
            <m:oMath>
              <m:sSub>
                <m:e>
                  <m:r>
                    <m:t>n</m:t>
                  </m:r>
                </m:e>
                <m:sub>
                  <m:r>
                    <m:t>00</m:t>
                  </m:r>
                </m:sub>
              </m:sSub>
            </m:oMath>
          </w:p>
        </w:tc>
        <w:tc>
          <w:tcPr/>
          <w:p>
            <w:pPr>
              <w:pStyle w:val="Compact"/>
              <w:jc w:val="left"/>
            </w:pPr>
            <m:oMath>
              <m:sSub>
                <m:e>
                  <m:r>
                    <m:t>n</m:t>
                  </m:r>
                </m:e>
                <m:sub>
                  <m:r>
                    <m:t>10</m:t>
                  </m:r>
                </m:sub>
              </m:sSub>
            </m:oMath>
          </w:p>
        </w:tc>
      </w:tr>
      <w:tr>
        <w:tc>
          <w:tcPr/>
          <w:p>
            <w:pPr>
              <w:pStyle w:val="Compact"/>
              <w:jc w:val="left"/>
            </w:pPr>
            <m:oMath>
              <m:r>
                <m:t>Y</m:t>
              </m:r>
              <m:r>
                <m:rPr>
                  <m:sty m:val="p"/>
                </m:rPr>
                <m:t>=</m:t>
              </m:r>
              <m:r>
                <m:t>1</m:t>
              </m:r>
            </m:oMath>
          </w:p>
        </w:tc>
        <w:tc>
          <w:tcPr/>
          <w:p>
            <w:pPr>
              <w:pStyle w:val="Compact"/>
              <w:jc w:val="left"/>
            </w:pPr>
            <m:oMath>
              <m:sSub>
                <m:e>
                  <m:r>
                    <m:t>n</m:t>
                  </m:r>
                </m:e>
                <m:sub>
                  <m:r>
                    <m:t>01</m:t>
                  </m:r>
                </m:sub>
              </m:sSub>
            </m:oMath>
          </w:p>
        </w:tc>
        <w:tc>
          <w:tcPr/>
          <w:p>
            <w:pPr>
              <w:pStyle w:val="Compact"/>
              <w:jc w:val="left"/>
            </w:pPr>
            <m:oMath>
              <m:sSub>
                <m:e>
                  <m:r>
                    <m:t>n</m:t>
                  </m:r>
                </m:e>
                <m:sub>
                  <m:r>
                    <m:t>11</m:t>
                  </m:r>
                </m:sub>
              </m:sSub>
            </m:oMath>
          </w:p>
        </w:tc>
      </w:tr>
    </w:tbl>
    <w:bookmarkEnd w:id="98"/>
    <w:p>
      <w:pPr>
        <w:pStyle w:val="BodyText"/>
      </w:pPr>
      <w:r>
        <w:t xml:space="preserve">The sample sizes within each cell provide us with the necessary information to estimate the relationship between the two variables.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(psych)</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w:t>
      </w:r>
      <w:r>
        <w:br/>
      </w:r>
      <w:r>
        <w:br/>
      </w:r>
      <w:r>
        <w:rPr>
          <w:rStyle w:val="NormalTok"/>
        </w:rPr>
        <w:t xml:space="preserve">phi_coefficient</w:t>
      </w:r>
    </w:p>
    <w:p>
      <w:pPr>
        <w:pStyle w:val="SourceCode"/>
      </w:pPr>
      <w:r>
        <w:rPr>
          <w:rStyle w:val="VerbatimChar"/>
        </w:rPr>
        <w:t xml:space="preserve">[1] 0.51</w:t>
      </w:r>
    </w:p>
    <w:p>
      <w:pPr>
        <w:pStyle w:val="FirstParagraph"/>
      </w:pPr>
      <w:r>
        <w:t xml:space="preserve">In our example we obtained a phi coefficient of</w:t>
      </w:r>
      <w:r>
        <w:t xml:space="preserve"> </w:t>
      </w:r>
      <m:oMath>
        <m:r>
          <m:t>ϕ</m:t>
        </m:r>
      </m:oMath>
      <w:r>
        <w:t xml:space="preserve"> </w:t>
      </w:r>
      <w:r>
        <w:t xml:space="preserve">= .51.</w:t>
      </w:r>
    </w:p>
    <w:bookmarkEnd w:id="99"/>
    <w:bookmarkStart w:id="101" w:name="cramers-v"/>
    <w:p>
      <w:pPr>
        <w:pStyle w:val="Heading3"/>
      </w:pPr>
      <w:r>
        <w:t xml:space="preserve">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(2x2, 3x3, 4x4,…). Cramer’s</w:t>
      </w:r>
      <w:r>
        <w:t xml:space="preserve"> </w:t>
      </w:r>
      <m:oMath>
        <m:r>
          <m:t>V</m:t>
        </m:r>
      </m:oMath>
      <w:r>
        <w:t xml:space="preserve"> </w:t>
      </w:r>
      <w:r>
        <w:t xml:space="preserve">on a 2 by 2 contingency table is equivalent to the phi coefficient. For an illustration of a higher order contingency table,</w:t>
      </w:r>
      <w:r>
        <w:t xml:space="preserve"> </w:t>
      </w:r>
      <w:hyperlink w:anchor="tbl-contingency-2">
        <w:r>
          <w:rPr>
            <w:rStyle w:val="Hyperlink"/>
          </w:rPr>
          <w:t xml:space="preserve">Table 2</w:t>
        </w:r>
      </w:hyperlink>
      <w:r>
        <w:t xml:space="preserve"> </w:t>
      </w:r>
      <w:r>
        <w:t xml:space="preserve">represents a contingency table of two variables, each with 4 levels (0,1,2,3,4). In a contingency table with a high Cramer’s</w:t>
      </w:r>
      <w:r>
        <w:t xml:space="preserve"> </w:t>
      </w:r>
      <m:oMath>
        <m:r>
          <m:t>V</m:t>
        </m:r>
      </m:oMath>
      <w:r>
        <w:t xml:space="preserve">, we would expect relatively large sample sizes along the diagonal cells (i.e.,</w:t>
      </w:r>
      <w:r>
        <w:t xml:space="preserve"> </w:t>
      </w:r>
      <m:oMath>
        <m:sSub>
          <m:e>
            <m:r>
              <m:t>n</m:t>
            </m:r>
          </m:e>
          <m:sub>
            <m:r>
              <m:t>00</m:t>
            </m:r>
          </m:sub>
        </m:sSub>
      </m:oMath>
      <w:r>
        <w:t xml:space="preserve">,</w:t>
      </w:r>
      <m:oMath>
        <m:sSub>
          <m:e>
            <m:r>
              <m:t>n</m:t>
            </m:r>
          </m:e>
          <m:sub>
            <m:r>
              <m:t>11</m:t>
            </m:r>
          </m:sub>
        </m:sSub>
      </m:oMath>
      <w:r>
        <w:t xml:space="preserve">,</w:t>
      </w:r>
      <m:oMath>
        <m:sSub>
          <m:e>
            <m:r>
              <m:t>n</m:t>
            </m:r>
          </m:e>
          <m:sub>
            <m:r>
              <m:t>22</m:t>
            </m:r>
          </m:sub>
        </m:sSub>
      </m:oMath>
      <w:r>
        <w:t xml:space="preserve">,</w:t>
      </w:r>
      <m:oMath>
        <m:sSub>
          <m:e>
            <m:r>
              <m:t>n</m:t>
            </m:r>
          </m:e>
          <m:sub>
            <m:r>
              <m:t>33</m:t>
            </m:r>
          </m:sub>
        </m:sSub>
      </m:oMath>
      <w:r>
        <w:t xml:space="preserve">) and smaller sample sizes in the off-diagonal cells.</w:t>
      </w:r>
    </w:p>
    <w:bookmarkStart w:id="100" w:name="tbl-contingency-2"/>
    <w:p>
      <w:pPr>
        <w:pStyle w:val="TableCaption"/>
      </w:pPr>
      <w:r>
        <w:t xml:space="preserve">Table 2: Contingency table between two categorical variables</w:t>
      </w:r>
    </w:p>
    <w:tbl>
      <w:tblPr>
        <w:tblStyle w:val="Table"/>
        <w:tblW w:type="auto" w:w="0"/>
        <w:tblLook w:firstRow="1" w:lastRow="0" w:firstColumn="0" w:lastColumn="0" w:noHBand="0" w:noVBand="0" w:val="0020"/>
        <w:jc w:val="start"/>
        <w:tblCaption w:val="Table 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left"/>
            </w:pPr>
            <m:oMath>
              <m:r>
                <m:t>X</m:t>
              </m:r>
              <m:r>
                <m:rPr>
                  <m:sty m:val="p"/>
                </m:rPr>
                <m:t>=</m:t>
              </m:r>
              <m:r>
                <m:t>0</m:t>
              </m:r>
            </m:oMath>
          </w:p>
        </w:tc>
        <w:tc>
          <w:tcPr/>
          <w:p>
            <w:pPr>
              <w:pStyle w:val="Compact"/>
              <w:jc w:val="left"/>
            </w:pPr>
            <m:oMath>
              <m:r>
                <m:t>X</m:t>
              </m:r>
              <m:r>
                <m:rPr>
                  <m:sty m:val="p"/>
                </m:rPr>
                <m:t>=</m:t>
              </m:r>
              <m:r>
                <m:t>1</m:t>
              </m:r>
            </m:oMath>
          </w:p>
        </w:tc>
        <w:tc>
          <w:tcPr/>
          <w:p>
            <w:pPr>
              <w:pStyle w:val="Compact"/>
              <w:jc w:val="left"/>
            </w:pPr>
            <m:oMath>
              <m:r>
                <m:t>X</m:t>
              </m:r>
              <m:r>
                <m:rPr>
                  <m:sty m:val="p"/>
                </m:rPr>
                <m:t>=</m:t>
              </m:r>
              <m:r>
                <m:t>2</m:t>
              </m:r>
            </m:oMath>
          </w:p>
        </w:tc>
        <w:tc>
          <w:tcPr/>
          <w:p>
            <w:pPr>
              <w:pStyle w:val="Compact"/>
              <w:jc w:val="left"/>
            </w:pPr>
            <m:oMath>
              <m:r>
                <m:t>X</m:t>
              </m:r>
              <m:r>
                <m:rPr>
                  <m:sty m:val="p"/>
                </m:rPr>
                <m:t>=</m:t>
              </m:r>
              <m:r>
                <m:t>3</m:t>
              </m:r>
            </m:oMath>
          </w:p>
        </w:tc>
      </w:tr>
      <w:tr>
        <w:tc>
          <w:tcPr/>
          <w:p>
            <w:pPr>
              <w:pStyle w:val="Compact"/>
              <w:jc w:val="left"/>
            </w:pPr>
            <m:oMath>
              <m:r>
                <m:t>Y</m:t>
              </m:r>
              <m:r>
                <m:rPr>
                  <m:sty m:val="p"/>
                </m:rPr>
                <m:t>=</m:t>
              </m:r>
              <m:r>
                <m:t>0</m:t>
              </m:r>
            </m:oMath>
          </w:p>
        </w:tc>
        <w:tc>
          <w:tcPr/>
          <w:p>
            <w:pPr>
              <w:pStyle w:val="Compact"/>
              <w:jc w:val="left"/>
            </w:pPr>
            <m:oMath>
              <m:sSub>
                <m:e>
                  <m:r>
                    <m:t>n</m:t>
                  </m:r>
                </m:e>
                <m:sub>
                  <m:r>
                    <m:t>00</m:t>
                  </m:r>
                </m:sub>
              </m:sSub>
            </m:oMath>
          </w:p>
        </w:tc>
        <w:tc>
          <w:tcPr/>
          <w:p>
            <w:pPr>
              <w:pStyle w:val="Compact"/>
              <w:jc w:val="left"/>
            </w:pPr>
            <m:oMath>
              <m:sSub>
                <m:e>
                  <m:r>
                    <m:t>n</m:t>
                  </m:r>
                </m:e>
                <m:sub>
                  <m:r>
                    <m:t>10</m:t>
                  </m:r>
                </m:sub>
              </m:sSub>
            </m:oMath>
          </w:p>
        </w:tc>
        <w:tc>
          <w:tcPr/>
          <w:p>
            <w:pPr>
              <w:pStyle w:val="Compact"/>
              <w:jc w:val="left"/>
            </w:pPr>
            <m:oMath>
              <m:sSub>
                <m:e>
                  <m:r>
                    <m:t>n</m:t>
                  </m:r>
                </m:e>
                <m:sub>
                  <m:r>
                    <m:t>21</m:t>
                  </m:r>
                </m:sub>
              </m:sSub>
            </m:oMath>
          </w:p>
        </w:tc>
        <w:tc>
          <w:tcPr/>
          <w:p>
            <w:pPr>
              <w:pStyle w:val="Compact"/>
              <w:jc w:val="left"/>
            </w:pPr>
            <m:oMath>
              <m:sSub>
                <m:e>
                  <m:r>
                    <m:t>n</m:t>
                  </m:r>
                </m:e>
                <m:sub>
                  <m:r>
                    <m:t>31</m:t>
                  </m:r>
                </m:sub>
              </m:sSub>
            </m:oMath>
          </w:p>
        </w:tc>
      </w:tr>
      <w:tr>
        <w:tc>
          <w:tcPr/>
          <w:p>
            <w:pPr>
              <w:pStyle w:val="Compact"/>
              <w:jc w:val="left"/>
            </w:pPr>
            <m:oMath>
              <m:r>
                <m:t>Y</m:t>
              </m:r>
              <m:r>
                <m:rPr>
                  <m:sty m:val="p"/>
                </m:rPr>
                <m:t>=</m:t>
              </m:r>
              <m:r>
                <m:t>1</m:t>
              </m:r>
            </m:oMath>
          </w:p>
        </w:tc>
        <w:tc>
          <w:tcPr/>
          <w:p>
            <w:pPr>
              <w:pStyle w:val="Compact"/>
              <w:jc w:val="left"/>
            </w:pPr>
            <m:oMath>
              <m:sSub>
                <m:e>
                  <m:r>
                    <m:t>n</m:t>
                  </m:r>
                </m:e>
                <m:sub>
                  <m:r>
                    <m:t>01</m:t>
                  </m:r>
                </m:sub>
              </m:sSub>
            </m:oMath>
          </w:p>
        </w:tc>
        <w:tc>
          <w:tcPr/>
          <w:p>
            <w:pPr>
              <w:pStyle w:val="Compact"/>
              <w:jc w:val="left"/>
            </w:pPr>
            <m:oMath>
              <m:sSub>
                <m:e>
                  <m:r>
                    <m:t>n</m:t>
                  </m:r>
                </m:e>
                <m:sub>
                  <m:r>
                    <m:t>11</m:t>
                  </m:r>
                </m:sub>
              </m:sSub>
            </m:oMath>
          </w:p>
        </w:tc>
        <w:tc>
          <w:tcPr/>
          <w:p>
            <w:pPr>
              <w:pStyle w:val="Compact"/>
              <w:jc w:val="left"/>
            </w:pPr>
            <m:oMath>
              <m:sSub>
                <m:e>
                  <m:r>
                    <m:t>n</m:t>
                  </m:r>
                </m:e>
                <m:sub>
                  <m:r>
                    <m:t>21</m:t>
                  </m:r>
                </m:sub>
              </m:sSub>
            </m:oMath>
          </w:p>
        </w:tc>
        <w:tc>
          <w:tcPr/>
          <w:p>
            <w:pPr>
              <w:pStyle w:val="Compact"/>
              <w:jc w:val="left"/>
            </w:pPr>
            <m:oMath>
              <m:sSub>
                <m:e>
                  <m:r>
                    <m:t>n</m:t>
                  </m:r>
                </m:e>
                <m:sub>
                  <m:r>
                    <m:t>31</m:t>
                  </m:r>
                </m:sub>
              </m:sSub>
            </m:oMath>
          </w:p>
        </w:tc>
      </w:tr>
      <w:tr>
        <w:tc>
          <w:tcPr/>
          <w:p>
            <w:pPr>
              <w:pStyle w:val="Compact"/>
              <w:jc w:val="left"/>
            </w:pPr>
            <m:oMath>
              <m:r>
                <m:t>Y</m:t>
              </m:r>
              <m:r>
                <m:rPr>
                  <m:sty m:val="p"/>
                </m:rPr>
                <m:t>=</m:t>
              </m:r>
              <m:r>
                <m:t>2</m:t>
              </m:r>
            </m:oMath>
          </w:p>
        </w:tc>
        <w:tc>
          <w:tcPr/>
          <w:p>
            <w:pPr>
              <w:pStyle w:val="Compact"/>
              <w:jc w:val="left"/>
            </w:pPr>
            <m:oMath>
              <m:sSub>
                <m:e>
                  <m:r>
                    <m:t>n</m:t>
                  </m:r>
                </m:e>
                <m:sub>
                  <m:r>
                    <m:t>02</m:t>
                  </m:r>
                </m:sub>
              </m:sSub>
            </m:oMath>
          </w:p>
        </w:tc>
        <w:tc>
          <w:tcPr/>
          <w:p>
            <w:pPr>
              <w:pStyle w:val="Compact"/>
              <w:jc w:val="left"/>
            </w:pPr>
            <m:oMath>
              <m:sSub>
                <m:e>
                  <m:r>
                    <m:t>n</m:t>
                  </m:r>
                </m:e>
                <m:sub>
                  <m:r>
                    <m:t>12</m:t>
                  </m:r>
                </m:sub>
              </m:sSub>
            </m:oMath>
          </w:p>
        </w:tc>
        <w:tc>
          <w:tcPr/>
          <w:p>
            <w:pPr>
              <w:pStyle w:val="Compact"/>
              <w:jc w:val="left"/>
            </w:pPr>
            <m:oMath>
              <m:sSub>
                <m:e>
                  <m:r>
                    <m:t>n</m:t>
                  </m:r>
                </m:e>
                <m:sub>
                  <m:r>
                    <m:t>22</m:t>
                  </m:r>
                </m:sub>
              </m:sSub>
            </m:oMath>
          </w:p>
        </w:tc>
        <w:tc>
          <w:tcPr/>
          <w:p>
            <w:pPr>
              <w:pStyle w:val="Compact"/>
              <w:jc w:val="left"/>
            </w:pPr>
            <m:oMath>
              <m:sSub>
                <m:e>
                  <m:r>
                    <m:t>n</m:t>
                  </m:r>
                </m:e>
                <m:sub>
                  <m:r>
                    <m:t>32</m:t>
                  </m:r>
                </m:sub>
              </m:sSub>
            </m:oMath>
          </w:p>
        </w:tc>
      </w:tr>
      <w:tr>
        <w:tc>
          <w:tcPr/>
          <w:p>
            <w:pPr>
              <w:pStyle w:val="Compact"/>
              <w:jc w:val="left"/>
            </w:pPr>
            <m:oMath>
              <m:r>
                <m:t>Y</m:t>
              </m:r>
              <m:r>
                <m:rPr>
                  <m:sty m:val="p"/>
                </m:rPr>
                <m:t>=</m:t>
              </m:r>
              <m:r>
                <m:t>3</m:t>
              </m:r>
            </m:oMath>
          </w:p>
        </w:tc>
        <w:tc>
          <w:tcPr/>
          <w:p>
            <w:pPr>
              <w:pStyle w:val="Compact"/>
              <w:jc w:val="left"/>
            </w:pPr>
            <m:oMath>
              <m:sSub>
                <m:e>
                  <m:r>
                    <m:t>n</m:t>
                  </m:r>
                </m:e>
                <m:sub>
                  <m:r>
                    <m:t>03</m:t>
                  </m:r>
                </m:sub>
              </m:sSub>
            </m:oMath>
          </w:p>
        </w:tc>
        <w:tc>
          <w:tcPr/>
          <w:p>
            <w:pPr>
              <w:pStyle w:val="Compact"/>
              <w:jc w:val="left"/>
            </w:pPr>
            <m:oMath>
              <m:sSub>
                <m:e>
                  <m:r>
                    <m:t>n</m:t>
                  </m:r>
                </m:e>
                <m:sub>
                  <m:r>
                    <m:t>13</m:t>
                  </m:r>
                </m:sub>
              </m:sSub>
            </m:oMath>
          </w:p>
        </w:tc>
        <w:tc>
          <w:tcPr/>
          <w:p>
            <w:pPr>
              <w:pStyle w:val="Compact"/>
              <w:jc w:val="left"/>
            </w:pPr>
            <m:oMath>
              <m:sSub>
                <m:e>
                  <m:r>
                    <m:t>n</m:t>
                  </m:r>
                </m:e>
                <m:sub>
                  <m:r>
                    <m:t>23</m:t>
                  </m:r>
                </m:sub>
              </m:sSub>
            </m:oMath>
          </w:p>
        </w:tc>
        <w:tc>
          <w:tcPr/>
          <w:p>
            <w:pPr>
              <w:pStyle w:val="Compact"/>
              <w:jc w:val="left"/>
            </w:pPr>
            <m:oMath>
              <m:sSub>
                <m:e>
                  <m:r>
                    <m:t>n</m:t>
                  </m:r>
                </m:e>
                <m:sub>
                  <m:r>
                    <m:t>33</m:t>
                  </m:r>
                </m:sub>
              </m:sSub>
            </m:oMath>
          </w:p>
        </w:tc>
      </w:tr>
    </w:tbl>
    <w:bookmarkEnd w:id="100"/>
    <w:p>
      <w:pPr>
        <w:pStyle w:val="BodyText"/>
      </w:pPr>
      <w:r>
        <w:t xml:space="preserve">Similarly to the phi coefficient, the value of Cramer’s V ranges from 0 to 1.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Using the</w:t>
      </w:r>
      <w:r>
        <w:t xml:space="preserve"> </w:t>
      </w:r>
      <w:r>
        <w:rPr>
          <w:rStyle w:val="VerbatimChar"/>
        </w:rPr>
        <w:t xml:space="preserve">chi.square</w:t>
      </w:r>
      <w:r>
        <w:t xml:space="preserve">,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(contingency_table)</w:t>
      </w:r>
      <w:r>
        <w:br/>
      </w:r>
      <w:r>
        <w:rPr>
          <w:rStyle w:val="NormalTok"/>
        </w:rPr>
        <w:t xml:space="preserve">k </w:t>
      </w:r>
      <w:r>
        <w:rPr>
          <w:rStyle w:val="OtherTok"/>
        </w:rPr>
        <w:t xml:space="preserve">&lt;-</w:t>
      </w:r>
      <w:r>
        <w:rPr>
          <w:rStyle w:val="NormalTok"/>
        </w:rPr>
        <w:t xml:space="preserve"> </w:t>
      </w:r>
      <w:r>
        <w:rPr>
          <w:rStyle w:val="FunctionTok"/>
        </w:rPr>
        <w:t xml:space="preserve">ncol</w:t>
      </w:r>
      <w:r>
        <w:rPr>
          <w:rStyle w:val="NormalTok"/>
        </w:rPr>
        <w:t xml:space="preserve">(contingency_table)</w:t>
      </w:r>
      <w:r>
        <w:br/>
      </w:r>
      <w:r>
        <w:br/>
      </w:r>
      <w:r>
        <w:rPr>
          <w:rStyle w:val="CommentTok"/>
        </w:rPr>
        <w:t xml:space="preserve"># obtain chi squared statistic</w:t>
      </w:r>
      <w:r>
        <w:br/>
      </w:r>
      <w:r>
        <w:rPr>
          <w:rStyle w:val="NormalTok"/>
        </w:rPr>
        <w:t xml:space="preserve">chi2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chisq.test</w:t>
      </w:r>
      <w:r>
        <w:rPr>
          <w:rStyle w:val="NormalTok"/>
        </w:rPr>
        <w:t xml:space="preserve">(contingency_table)</w:t>
      </w:r>
      <w:r>
        <w:rPr>
          <w:rStyle w:val="SpecialCharTok"/>
        </w:rPr>
        <w:t xml:space="preserve">$</w:t>
      </w:r>
      <w:r>
        <w:rPr>
          <w:rStyle w:val="NormalTok"/>
        </w:rPr>
        <w:t xml:space="preserve">statistic)</w:t>
      </w:r>
      <w:r>
        <w:br/>
      </w:r>
      <w:r>
        <w:br/>
      </w:r>
      <w:r>
        <w:rPr>
          <w:rStyle w:val="CommentTok"/>
        </w:rPr>
        <w:t xml:space="preserve"># compute Cramer's V</w:t>
      </w:r>
      <w:r>
        <w:br/>
      </w:r>
      <w:r>
        <w:rPr>
          <w:rStyle w:val="NormalTok"/>
        </w:rPr>
        <w:t xml:space="preserve">V </w:t>
      </w:r>
      <w:r>
        <w:rPr>
          <w:rStyle w:val="OtherTok"/>
        </w:rPr>
        <w:t xml:space="preserve">&lt;-</w:t>
      </w:r>
      <w:r>
        <w:rPr>
          <w:rStyle w:val="NormalTok"/>
        </w:rPr>
        <w:t xml:space="preserve"> </w:t>
      </w:r>
      <w:r>
        <w:rPr>
          <w:rStyle w:val="FunctionTok"/>
        </w:rPr>
        <w:t xml:space="preserve">sqrt</w:t>
      </w:r>
      <w:r>
        <w:rPr>
          <w:rStyle w:val="NormalTok"/>
        </w:rPr>
        <w:t xml:space="preserve">(chi2</w:t>
      </w:r>
      <w:r>
        <w:rPr>
          <w:rStyle w:val="SpecialCharTok"/>
        </w:rPr>
        <w:t xml:space="preserve">/</w:t>
      </w:r>
      <w:r>
        <w:rPr>
          <w:rStyle w:val="NormalTok"/>
        </w:rPr>
        <w:t xml:space="preserve">(n</w:t>
      </w:r>
      <w:r>
        <w:rPr>
          <w:rStyle w:val="SpecialCharTok"/>
        </w:rPr>
        <w:t xml:space="preserve">*</w:t>
      </w:r>
      <w:r>
        <w:rPr>
          <w:rStyle w:val="NormalTok"/>
        </w:rPr>
        <w:t xml:space="preserve">(k</w:t>
      </w:r>
      <w:r>
        <w:rPr>
          <w:rStyle w:val="DecValTok"/>
        </w:rPr>
        <w:t xml:space="preserve">-1</w:t>
      </w:r>
      <w:r>
        <w:rPr>
          <w:rStyle w:val="NormalTok"/>
        </w:rPr>
        <w:t xml:space="preserve">)))</w:t>
      </w:r>
      <w:r>
        <w:br/>
      </w:r>
      <w:r>
        <w:br/>
      </w:r>
      <w:r>
        <w:rPr>
          <w:rStyle w:val="NormalTok"/>
        </w:rPr>
        <w:t xml:space="preserve">V</w:t>
      </w:r>
    </w:p>
    <w:p>
      <w:pPr>
        <w:pStyle w:val="SourceCode"/>
      </w:pPr>
      <w:r>
        <w:rPr>
          <w:rStyle w:val="VerbatimChar"/>
        </w:rPr>
        <w:t xml:space="preserve">[1] 0.4417612</w:t>
      </w:r>
    </w:p>
    <w:p>
      <w:pPr>
        <w:pStyle w:val="FirstParagraph"/>
      </w:pPr>
      <w:r>
        <w:t xml:space="preserve">In our example we obtained a Cramer’s</w:t>
      </w:r>
      <w:r>
        <w:t xml:space="preserve"> </w:t>
      </w:r>
      <m:oMath>
        <m:r>
          <m:t>V</m:t>
        </m:r>
      </m:oMath>
      <w:r>
        <w:t xml:space="preserve"> </w:t>
      </w:r>
      <w:r>
        <w:t xml:space="preserve">of</w:t>
      </w:r>
      <w:r>
        <w:t xml:space="preserve"> </w:t>
      </w:r>
      <m:oMath>
        <m:r>
          <m:t>ϕ</m:t>
        </m:r>
      </m:oMath>
      <w:r>
        <w:t xml:space="preserve"> </w:t>
      </w:r>
      <w:r>
        <w:t xml:space="preserve">= .44.</w:t>
      </w:r>
    </w:p>
    <w:bookmarkEnd w:id="101"/>
    <w:bookmarkStart w:id="102" w:name="cohens-h"/>
    <w:p>
      <w:pPr>
        <w:pStyle w:val="Heading3"/>
      </w:pPr>
      <w:r>
        <w:t xml:space="preserve">Cohen’s h</w:t>
      </w:r>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It is the required effect size measure in the program</w:t>
      </w:r>
      <w:r>
        <w:t xml:space="preserve"> </w:t>
      </w:r>
      <w:r>
        <w:rPr>
          <w:iCs/>
          <w:i/>
        </w:rPr>
        <w:t xml:space="preserve">G Power</w:t>
      </w:r>
      <w:r>
        <w:t xml:space="preserve"> </w:t>
      </w:r>
      <w:r>
        <w:t xml:space="preserve">(Faul et al., 2009)</w:t>
      </w:r>
      <w:r>
        <w:t xml:space="preserve">. To calculate Cohen’s</w:t>
      </w:r>
      <w:r>
        <w:t xml:space="preserve"> </w:t>
      </w:r>
      <m:oMath>
        <m:r>
          <m:t>h</m:t>
        </m:r>
      </m:oMath>
      <w:r>
        <w:t xml:space="preserve"> </w:t>
      </w:r>
      <w:r>
        <w:t xml:space="preserve">in base R.</w:t>
      </w:r>
    </w:p>
    <w:p>
      <w:pPr>
        <w:pStyle w:val="SourceCode"/>
      </w:pPr>
      <w:r>
        <w:rPr>
          <w:rStyle w:val="CommentTok"/>
        </w:rPr>
        <w:t xml:space="preserve"># Example proportions: p1 = .45, p2 = .30</w:t>
      </w:r>
      <w:r>
        <w:br/>
      </w:r>
      <w:r>
        <w:br/>
      </w:r>
      <w:r>
        <w:rPr>
          <w:rStyle w:val="NormalTok"/>
        </w:rPr>
        <w:t xml:space="preserve">p1 </w:t>
      </w:r>
      <w:r>
        <w:rPr>
          <w:rStyle w:val="OtherTok"/>
        </w:rPr>
        <w:t xml:space="preserve">&lt;-</w:t>
      </w:r>
      <w:r>
        <w:rPr>
          <w:rStyle w:val="NormalTok"/>
        </w:rPr>
        <w:t xml:space="preserve"> .</w:t>
      </w:r>
      <w:r>
        <w:rPr>
          <w:rStyle w:val="DecValTok"/>
        </w:rPr>
        <w:t xml:space="preserve">45</w:t>
      </w:r>
      <w:r>
        <w:br/>
      </w:r>
      <w:r>
        <w:rPr>
          <w:rStyle w:val="NormalTok"/>
        </w:rPr>
        <w:t xml:space="preserve">p2 </w:t>
      </w:r>
      <w:r>
        <w:rPr>
          <w:rStyle w:val="OtherTok"/>
        </w:rPr>
        <w:t xml:space="preserve">&lt;-</w:t>
      </w:r>
      <w:r>
        <w:rPr>
          <w:rStyle w:val="NormalTok"/>
        </w:rPr>
        <w:t xml:space="preserve"> .</w:t>
      </w:r>
      <w:r>
        <w:rPr>
          <w:rStyle w:val="DecValTok"/>
        </w:rPr>
        <w:t xml:space="preserve">30</w:t>
      </w:r>
      <w:r>
        <w:br/>
      </w:r>
      <w:r>
        <w:br/>
      </w:r>
      <w:r>
        <w:rPr>
          <w:rStyle w:val="NormalTok"/>
        </w:rPr>
        <w:t xml:space="preserve">psi1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(p1))</w:t>
      </w:r>
      <w:r>
        <w:br/>
      </w:r>
      <w:r>
        <w:rPr>
          <w:rStyle w:val="NormalTok"/>
        </w:rPr>
        <w:t xml:space="preserve">psi2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(p2))</w:t>
      </w:r>
      <w:r>
        <w:br/>
      </w:r>
      <w:r>
        <w:br/>
      </w:r>
      <w:r>
        <w:rPr>
          <w:rStyle w:val="NormalTok"/>
        </w:rPr>
        <w:t xml:space="preserve">h </w:t>
      </w:r>
      <w:r>
        <w:rPr>
          <w:rStyle w:val="OtherTok"/>
        </w:rPr>
        <w:t xml:space="preserve">&lt;-</w:t>
      </w:r>
      <w:r>
        <w:rPr>
          <w:rStyle w:val="NormalTok"/>
        </w:rPr>
        <w:t xml:space="preserve"> psi1 </w:t>
      </w:r>
      <w:r>
        <w:rPr>
          <w:rStyle w:val="SpecialCharTok"/>
        </w:rPr>
        <w:t xml:space="preserve">-</w:t>
      </w:r>
      <w:r>
        <w:rPr>
          <w:rStyle w:val="NormalTok"/>
        </w:rPr>
        <w:t xml:space="preserve"> psi2</w:t>
      </w:r>
      <w:r>
        <w:br/>
      </w:r>
      <w:r>
        <w:br/>
      </w:r>
      <w:r>
        <w:rPr>
          <w:rStyle w:val="NormalTok"/>
        </w:rPr>
        <w:t xml:space="preserve">h</w:t>
      </w:r>
    </w:p>
    <w:p>
      <w:pPr>
        <w:pStyle w:val="SourceCode"/>
      </w:pPr>
      <w:r>
        <w:rPr>
          <w:rStyle w:val="VerbatimChar"/>
        </w:rPr>
        <w:t xml:space="preserve">[1] 0.3113494</w:t>
      </w:r>
    </w:p>
    <w:bookmarkEnd w:id="102"/>
    <w:bookmarkStart w:id="103" w:name="odds-ratio"/>
    <w:p>
      <w:pPr>
        <w:pStyle w:val="Heading3"/>
      </w:pPr>
      <w:r>
        <w:t xml:space="preserve">Odds Ratio</w:t>
      </w:r>
    </w:p>
    <w:bookmarkEnd w:id="103"/>
    <w:bookmarkStart w:id="104" w:name="risk-difference"/>
    <w:p>
      <w:pPr>
        <w:pStyle w:val="Heading3"/>
      </w:pPr>
      <w:r>
        <w:t xml:space="preserve">Risk Difference</w:t>
      </w:r>
    </w:p>
    <w:bookmarkEnd w:id="104"/>
    <w:bookmarkStart w:id="182" w:name="relative-risk"/>
    <w:p>
      <w:pPr>
        <w:pStyle w:val="Heading3"/>
      </w:pPr>
      <w:r>
        <w:t xml:space="preserve">Relative Risk</w:t>
      </w:r>
    </w:p>
    <w:bookmarkStart w:id="181" w:name="refs"/>
    <w:bookmarkStart w:id="106"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105">
        <w:r>
          <w:rPr>
            <w:rStyle w:val="Hyperlink"/>
          </w:rPr>
          <w:t xml:space="preserve">https://thuvienso.hoasen.edu.vn/handle/123456789/8327</w:t>
        </w:r>
      </w:hyperlink>
    </w:p>
    <w:bookmarkEnd w:id="106"/>
    <w:bookmarkStart w:id="108" w:name="ref-becker1988"/>
    <w:p>
      <w:pPr>
        <w:pStyle w:val="Bibliography"/>
      </w:pPr>
      <w:r>
        <w:t xml:space="preserve">Becker, B. J. (1988). Synthesizing standardized mean-change measures - UConn library.</w:t>
      </w:r>
      <w:r>
        <w:t xml:space="preserve"> </w:t>
      </w:r>
      <w:r>
        <w:rPr>
          <w:iCs/>
          <w:i/>
        </w:rPr>
        <w:t xml:space="preserve">British Journal of Mathematical and Statistical Psychology</w:t>
      </w:r>
      <w:r>
        <w:t xml:space="preserve">,</w:t>
      </w:r>
      <w:r>
        <w:t xml:space="preserve"> </w:t>
      </w:r>
      <w:r>
        <w:rPr>
          <w:iCs/>
          <w:i/>
        </w:rPr>
        <w:t xml:space="preserve">41</w:t>
      </w:r>
      <w:r>
        <w:t xml:space="preserve">(2), 257278. https://doi.org/</w:t>
      </w:r>
      <w:hyperlink r:id="rId107">
        <w:r>
          <w:rPr>
            <w:rStyle w:val="Hyperlink"/>
          </w:rPr>
          <w:t xml:space="preserve">https://doi.org/10.1111/j.2044-8317.1988.tb00901.x</w:t>
        </w:r>
      </w:hyperlink>
    </w:p>
    <w:bookmarkEnd w:id="108"/>
    <w:bookmarkStart w:id="110" w:name="ref-effectsize"/>
    <w:p>
      <w:pPr>
        <w:pStyle w:val="Bibliography"/>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109">
        <w:r>
          <w:rPr>
            <w:rStyle w:val="Hyperlink"/>
          </w:rPr>
          <w:t xml:space="preserve">https://doi.org/10.21105/joss.02815</w:t>
        </w:r>
      </w:hyperlink>
    </w:p>
    <w:bookmarkEnd w:id="110"/>
    <w:bookmarkStart w:id="112" w:name="ref-DeclareDesign"/>
    <w:p>
      <w:pPr>
        <w:pStyle w:val="Bibliography"/>
      </w:pPr>
      <w:r>
        <w:t xml:space="preserve">Blair, G., Cooper, J., Coppock, A., &amp; Humphreys, M. (2019). Declaring and diagnosing research designs.</w:t>
      </w:r>
      <w:r>
        <w:t xml:space="preserve"> </w:t>
      </w:r>
      <w:r>
        <w:rPr>
          <w:iCs/>
          <w:i/>
        </w:rPr>
        <w:t xml:space="preserve">American Political Science Review</w:t>
      </w:r>
      <w:r>
        <w:t xml:space="preserve">,</w:t>
      </w:r>
      <w:r>
        <w:t xml:space="preserve"> </w:t>
      </w:r>
      <w:r>
        <w:rPr>
          <w:iCs/>
          <w:i/>
        </w:rPr>
        <w:t xml:space="preserve">113</w:t>
      </w:r>
      <w:r>
        <w:t xml:space="preserve">, 838–859.</w:t>
      </w:r>
      <w:r>
        <w:t xml:space="preserve"> </w:t>
      </w:r>
      <w:hyperlink r:id="rId111">
        <w:r>
          <w:rPr>
            <w:rStyle w:val="Hyperlink"/>
          </w:rPr>
          <w:t xml:space="preserve">https://declaredesign.org/paper.pdf</w:t>
        </w:r>
      </w:hyperlink>
    </w:p>
    <w:bookmarkEnd w:id="112"/>
    <w:bookmarkStart w:id="114"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113">
        <w:r>
          <w:rPr>
            <w:rStyle w:val="Hyperlink"/>
          </w:rPr>
          <w:t xml:space="preserve">https://doi.org/10.1037/a0038047</w:t>
        </w:r>
      </w:hyperlink>
    </w:p>
    <w:bookmarkEnd w:id="114"/>
    <w:bookmarkStart w:id="116" w:name="ref-MOTE"/>
    <w:p>
      <w:pPr>
        <w:pStyle w:val="Bibliography"/>
      </w:pPr>
      <w:r>
        <w:t xml:space="preserve">Buchanan, E. M., Gillenwaters, A., Scofield, J. E., &amp; Valentine, K. D.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15">
        <w:r>
          <w:rPr>
            <w:rStyle w:val="Hyperlink"/>
          </w:rPr>
          <w:t xml:space="preserve">http://github.com/doomlab/MOTE</w:t>
        </w:r>
      </w:hyperlink>
    </w:p>
    <w:bookmarkEnd w:id="116"/>
    <w:bookmarkStart w:id="118" w:name="ref-caldwell"/>
    <w:p>
      <w:pPr>
        <w:pStyle w:val="Bibliography"/>
      </w:pPr>
      <w:r>
        <w:t xml:space="preserve">Caldwell, A. R. (n.d.).</w:t>
      </w:r>
      <w:r>
        <w:t xml:space="preserve"> </w:t>
      </w:r>
      <w:r>
        <w:rPr>
          <w:iCs/>
          <w:i/>
        </w:rPr>
        <w:t xml:space="preserve">Exploring equivalence testing with the updated TOSTER r package</w:t>
      </w:r>
      <w:r>
        <w:t xml:space="preserve">.</w:t>
      </w:r>
      <w:r>
        <w:t xml:space="preserve"> </w:t>
      </w:r>
      <w:hyperlink r:id="rId117">
        <w:r>
          <w:rPr>
            <w:rStyle w:val="Hyperlink"/>
          </w:rPr>
          <w:t xml:space="preserve">https://doi.org/10.31234/osf.io/ty8de</w:t>
        </w:r>
      </w:hyperlink>
    </w:p>
    <w:bookmarkEnd w:id="118"/>
    <w:bookmarkStart w:id="120"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119">
        <w:r>
          <w:rPr>
            <w:rStyle w:val="Hyperlink"/>
          </w:rPr>
          <w:t xml:space="preserve">https://www.semanticscholar.org/paper/It%27s-the-Effect-Size%2C-Stupid-What-effect-size-is-it-Coe/c5ac87df5d6e0e6b6de2f745284835c2a368b0f7</w:t>
        </w:r>
      </w:hyperlink>
    </w:p>
    <w:bookmarkEnd w:id="120"/>
    <w:bookmarkStart w:id="121"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121"/>
    <w:bookmarkStart w:id="123" w:name="ref-psychmeta"/>
    <w:p>
      <w:pPr>
        <w:pStyle w:val="Bibliography"/>
      </w:pPr>
      <w:r>
        <w:t xml:space="preserve">Dahlke, J. A., &amp; Wiernik, B. M. (2019).</w:t>
      </w:r>
      <w:r>
        <w:t xml:space="preserve"> </w:t>
      </w:r>
      <w:r>
        <w:t xml:space="preserve">psychmeta</w:t>
      </w:r>
      <w:r>
        <w:t xml:space="preserve">: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122">
        <w:r>
          <w:rPr>
            <w:rStyle w:val="Hyperlink"/>
          </w:rPr>
          <w:t xml:space="preserve">https://doi.org/10.1177/0146621618795933</w:t>
        </w:r>
      </w:hyperlink>
    </w:p>
    <w:bookmarkEnd w:id="123"/>
    <w:bookmarkStart w:id="125" w:name="ref-TOSTER"/>
    <w:p>
      <w:pPr>
        <w:pStyle w:val="Bibliography"/>
      </w:pPr>
      <w:r>
        <w:t xml:space="preserve">Daniel, Lakens, &amp; aut.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24">
        <w:r>
          <w:rPr>
            <w:rStyle w:val="Hyperlink"/>
          </w:rPr>
          <w:t xml:space="preserve">https://doi.org/10.1177/1948550617697177</w:t>
        </w:r>
      </w:hyperlink>
    </w:p>
    <w:bookmarkEnd w:id="125"/>
    <w:bookmarkStart w:id="127" w:name="ref-faul2009"/>
    <w:p>
      <w:pPr>
        <w:pStyle w:val="Bibliography"/>
      </w:pPr>
      <w:r>
        <w:t xml:space="preserve">Faul, F., Erdfelder, E., Buchner, A., &amp; Lang, A.-G. (2009). Statistical power analyses using G*Power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126">
        <w:r>
          <w:rPr>
            <w:rStyle w:val="Hyperlink"/>
          </w:rPr>
          <w:t xml:space="preserve">https://doi.org/10.3758/BRM.41.4.1149</w:t>
        </w:r>
      </w:hyperlink>
    </w:p>
    <w:bookmarkEnd w:id="127"/>
    <w:bookmarkStart w:id="129"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128">
        <w:r>
          <w:rPr>
            <w:rStyle w:val="Hyperlink"/>
          </w:rPr>
          <w:t xml:space="preserve">https://doi.org/10.1037/a0024338</w:t>
        </w:r>
      </w:hyperlink>
    </w:p>
    <w:bookmarkEnd w:id="129"/>
    <w:bookmarkStart w:id="131"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130">
        <w:r>
          <w:rPr>
            <w:rStyle w:val="Hyperlink"/>
          </w:rPr>
          <w:t xml:space="preserve">https://doi.org/10.1177/2515245919847202</w:t>
        </w:r>
      </w:hyperlink>
    </w:p>
    <w:bookmarkEnd w:id="131"/>
    <w:bookmarkStart w:id="132"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49">
        <w:r>
          <w:rPr>
            <w:rStyle w:val="Hyperlink"/>
          </w:rPr>
          <w:t xml:space="preserve">https://doi.org/10.1016/j.paid.2016.06.069</w:t>
        </w:r>
      </w:hyperlink>
    </w:p>
    <w:bookmarkEnd w:id="132"/>
    <w:bookmarkStart w:id="134" w:name="ref-glass1981"/>
    <w:p>
      <w:pPr>
        <w:pStyle w:val="Bibliography"/>
      </w:pPr>
      <w:r>
        <w:t xml:space="preserve">Glass, G. V. (1981). Meta-analysis in social research.</w:t>
      </w:r>
      <w:r>
        <w:t xml:space="preserve"> </w:t>
      </w:r>
      <w:r>
        <w:rPr>
          <w:iCs/>
          <w:i/>
        </w:rPr>
        <w:t xml:space="preserve">(No Title)</w:t>
      </w:r>
      <w:r>
        <w:t xml:space="preserve">.</w:t>
      </w:r>
      <w:r>
        <w:t xml:space="preserve"> </w:t>
      </w:r>
      <w:hyperlink r:id="rId133">
        <w:r>
          <w:rPr>
            <w:rStyle w:val="Hyperlink"/>
          </w:rPr>
          <w:t xml:space="preserve">https://cir.nii.ac.jp/crid/1130000795088566912</w:t>
        </w:r>
      </w:hyperlink>
    </w:p>
    <w:bookmarkEnd w:id="134"/>
    <w:bookmarkStart w:id="135"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133">
        <w:r>
          <w:rPr>
            <w:rStyle w:val="Hyperlink"/>
          </w:rPr>
          <w:t xml:space="preserve">https://cir.nii.ac.jp/crid/1130000795088566912</w:t>
        </w:r>
      </w:hyperlink>
    </w:p>
    <w:bookmarkEnd w:id="135"/>
    <w:bookmarkStart w:id="137"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136">
        <w:r>
          <w:rPr>
            <w:rStyle w:val="Hyperlink"/>
          </w:rPr>
          <w:t xml:space="preserve">https://discourse.datamethods.org/t/author-checklist/3407</w:t>
        </w:r>
      </w:hyperlink>
    </w:p>
    <w:bookmarkEnd w:id="137"/>
    <w:bookmarkStart w:id="139" w:name="ref-hedges1981"/>
    <w:p>
      <w:pPr>
        <w:pStyle w:val="Bibliography"/>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w:t>
      </w:r>
      <w:r>
        <w:t xml:space="preserve"> </w:t>
      </w:r>
      <w:hyperlink r:id="rId138">
        <w:r>
          <w:rPr>
            <w:rStyle w:val="Hyperlink"/>
          </w:rPr>
          <w:t xml:space="preserve">https://doi.org/10.3102/10769986006002107</w:t>
        </w:r>
      </w:hyperlink>
    </w:p>
    <w:bookmarkEnd w:id="139"/>
    <w:bookmarkStart w:id="141"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40">
        <w:r>
          <w:rPr>
            <w:rStyle w:val="Hyperlink"/>
          </w:rPr>
          <w:t xml:space="preserve">https://doi.org/10.3758/s13423-013-0572-3</w:t>
        </w:r>
      </w:hyperlink>
    </w:p>
    <w:bookmarkEnd w:id="141"/>
    <w:bookmarkStart w:id="143" w:name="ref-MBESS"/>
    <w:p>
      <w:pPr>
        <w:pStyle w:val="Bibliography"/>
      </w:pPr>
      <w:r>
        <w:t xml:space="preserve">Kelley, K. (2022).</w:t>
      </w:r>
      <w:r>
        <w:t xml:space="preserve"> </w:t>
      </w:r>
      <w:r>
        <w:rPr>
          <w:iCs/>
          <w:i/>
        </w:rPr>
        <w:t xml:space="preserve">MBESS: The MBESS r package</w:t>
      </w:r>
      <w:r>
        <w:t xml:space="preserve">.</w:t>
      </w:r>
      <w:r>
        <w:t xml:space="preserve"> </w:t>
      </w:r>
      <w:hyperlink r:id="rId142">
        <w:r>
          <w:rPr>
            <w:rStyle w:val="Hyperlink"/>
          </w:rPr>
          <w:t xml:space="preserve">https://CRAN.R-project.org/package=MBESS</w:t>
        </w:r>
      </w:hyperlink>
    </w:p>
    <w:bookmarkEnd w:id="143"/>
    <w:bookmarkStart w:id="145"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44">
        <w:r>
          <w:rPr>
            <w:rStyle w:val="Hyperlink"/>
          </w:rPr>
          <w:t xml:space="preserve">https://doi.org/10.1037/a0028086</w:t>
        </w:r>
      </w:hyperlink>
    </w:p>
    <w:bookmarkEnd w:id="145"/>
    <w:bookmarkStart w:id="147"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46">
        <w:r>
          <w:rPr>
            <w:rStyle w:val="Hyperlink"/>
          </w:rPr>
          <w:t xml:space="preserve">https://www.frontiersin.org/articles/10.3389/fpsyg.2013.00863</w:t>
        </w:r>
      </w:hyperlink>
    </w:p>
    <w:bookmarkEnd w:id="147"/>
    <w:bookmarkStart w:id="149" w:name="ref-lakens2014"/>
    <w:p>
      <w:pPr>
        <w:pStyle w:val="Bibliography"/>
      </w:pPr>
      <w:r>
        <w:t xml:space="preserve">Lakens, D. (2014).</w:t>
      </w:r>
      <w:r>
        <w:t xml:space="preserve"> </w:t>
      </w:r>
      <w:r>
        <w:rPr>
          <w:iCs/>
          <w:i/>
        </w:rPr>
        <w:t xml:space="preserve">The 20</w:t>
      </w:r>
      <w:r>
        <w:t xml:space="preserve">.</w:t>
      </w:r>
      <w:r>
        <w:t xml:space="preserve"> </w:t>
      </w:r>
      <w:hyperlink r:id="rId148">
        <w:r>
          <w:rPr>
            <w:rStyle w:val="Hyperlink"/>
          </w:rPr>
          <w:t xml:space="preserve">http://daniellakens.blogspot.com/2014/06/calculating-confidence-intervals-for.html</w:t>
        </w:r>
      </w:hyperlink>
    </w:p>
    <w:bookmarkEnd w:id="149"/>
    <w:bookmarkStart w:id="151"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50">
        <w:r>
          <w:rPr>
            <w:rStyle w:val="Hyperlink"/>
          </w:rPr>
          <w:t xml:space="preserve">https://doi.org/10.1002/ejsp.2752</w:t>
        </w:r>
      </w:hyperlink>
    </w:p>
    <w:bookmarkEnd w:id="151"/>
    <w:bookmarkStart w:id="153" w:name="ref-esc"/>
    <w:p>
      <w:pPr>
        <w:pStyle w:val="Bibliography"/>
      </w:pPr>
      <w:r>
        <w:t xml:space="preserve">Lüdecke, D. (2019).</w:t>
      </w:r>
      <w:r>
        <w:t xml:space="preserve"> </w:t>
      </w:r>
      <w:r>
        <w:rPr>
          <w:iCs/>
          <w:i/>
        </w:rPr>
        <w:t xml:space="preserve">Esc: Effect size computation for meta analysis (version 0.5.1)</w:t>
      </w:r>
      <w:r>
        <w:t xml:space="preserve">.</w:t>
      </w:r>
      <w:r>
        <w:t xml:space="preserve"> </w:t>
      </w:r>
      <w:hyperlink r:id="rId152">
        <w:r>
          <w:rPr>
            <w:rStyle w:val="Hyperlink"/>
          </w:rPr>
          <w:t xml:space="preserve">https://doi.org/10.5281/zenodo.1249218</w:t>
        </w:r>
      </w:hyperlink>
    </w:p>
    <w:bookmarkEnd w:id="153"/>
    <w:bookmarkStart w:id="155"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54">
        <w:r>
          <w:rPr>
            <w:rStyle w:val="Hyperlink"/>
          </w:rPr>
          <w:t xml:space="preserve">https://doi.org/10.1017/S0140525X00027308</w:t>
        </w:r>
      </w:hyperlink>
    </w:p>
    <w:bookmarkEnd w:id="155"/>
    <w:bookmarkStart w:id="157"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56">
        <w:r>
          <w:rPr>
            <w:rStyle w:val="Hyperlink"/>
          </w:rPr>
          <w:t xml:space="preserve">https://doi.org/10.3758/s13423-015-0947-8</w:t>
        </w:r>
      </w:hyperlink>
    </w:p>
    <w:bookmarkEnd w:id="157"/>
    <w:bookmarkStart w:id="159"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158">
        <w:r>
          <w:rPr>
            <w:rStyle w:val="Hyperlink"/>
          </w:rPr>
          <w:t xml:space="preserve">https://doi.org/10.1177/2515245920917961</w:t>
        </w:r>
      </w:hyperlink>
    </w:p>
    <w:bookmarkEnd w:id="159"/>
    <w:bookmarkStart w:id="161"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160">
        <w:r>
          <w:rPr>
            <w:rStyle w:val="Hyperlink"/>
          </w:rPr>
          <w:t xml:space="preserve">https://doi.org/10.1177/1548051815614321</w:t>
        </w:r>
      </w:hyperlink>
    </w:p>
    <w:bookmarkEnd w:id="161"/>
    <w:bookmarkStart w:id="163"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162">
        <w:r>
          <w:rPr>
            <w:rStyle w:val="Hyperlink"/>
          </w:rPr>
          <w:t xml:space="preserve">https://doi.org/10.1080/00031305.2018.1549101</w:t>
        </w:r>
      </w:hyperlink>
    </w:p>
    <w:bookmarkEnd w:id="163"/>
    <w:bookmarkStart w:id="164"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48">
        <w:r>
          <w:rPr>
            <w:rStyle w:val="Hyperlink"/>
          </w:rPr>
          <w:t xml:space="preserve">https://doi.org/10.1037/1089-2680.7.4.331</w:t>
        </w:r>
      </w:hyperlink>
    </w:p>
    <w:bookmarkEnd w:id="164"/>
    <w:bookmarkStart w:id="166"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165">
        <w:r>
          <w:rPr>
            <w:rStyle w:val="Hyperlink"/>
          </w:rPr>
          <w:t xml:space="preserve">https://doi.org/10.22237/jmasm/1257035100</w:t>
        </w:r>
      </w:hyperlink>
    </w:p>
    <w:bookmarkEnd w:id="166"/>
    <w:bookmarkStart w:id="168"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67">
        <w:r>
          <w:rPr>
            <w:rStyle w:val="Hyperlink"/>
          </w:rPr>
          <w:t xml:space="preserve">https://www.frontiersin.org/articles/10.3389/fpsyg.2019.00813</w:t>
        </w:r>
      </w:hyperlink>
    </w:p>
    <w:bookmarkEnd w:id="168"/>
    <w:bookmarkStart w:id="170"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169">
        <w:r>
          <w:rPr>
            <w:rStyle w:val="Hyperlink"/>
          </w:rPr>
          <w:t xml:space="preserve">https://doi.org/10.1037/1082-989X.9.2.164</w:t>
        </w:r>
      </w:hyperlink>
    </w:p>
    <w:bookmarkEnd w:id="170"/>
    <w:bookmarkStart w:id="172" w:name="ref-effsize"/>
    <w:p>
      <w:pPr>
        <w:pStyle w:val="Bibliography"/>
      </w:pPr>
      <w:r>
        <w:t xml:space="preserve">Torchiano, M. (2020).</w:t>
      </w:r>
      <w:r>
        <w:t xml:space="preserve"> </w:t>
      </w:r>
      <w:r>
        <w:rPr>
          <w:iCs/>
          <w:i/>
        </w:rPr>
        <w:t xml:space="preserve">Effsize: Efficient effect size computation</w:t>
      </w:r>
      <w:r>
        <w:t xml:space="preserve">.</w:t>
      </w:r>
      <w:r>
        <w:t xml:space="preserve"> </w:t>
      </w:r>
      <w:hyperlink r:id="rId171">
        <w:r>
          <w:rPr>
            <w:rStyle w:val="Hyperlink"/>
          </w:rPr>
          <w:t xml:space="preserve">https://doi.org/10.5281/zenodo.1480624</w:t>
        </w:r>
      </w:hyperlink>
    </w:p>
    <w:bookmarkEnd w:id="172"/>
    <w:bookmarkStart w:id="174" w:name="ref-metafor"/>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173">
        <w:r>
          <w:rPr>
            <w:rStyle w:val="Hyperlink"/>
          </w:rPr>
          <w:t xml:space="preserve">https://doi.org/10.18637/jss.v036.i03</w:t>
        </w:r>
      </w:hyperlink>
    </w:p>
    <w:bookmarkEnd w:id="174"/>
    <w:bookmarkStart w:id="176"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175">
        <w:r>
          <w:rPr>
            <w:rStyle w:val="Hyperlink"/>
          </w:rPr>
          <w:t xml:space="preserve">https://doi.org/10.1007/s11229-022-03560-x</w:t>
        </w:r>
      </w:hyperlink>
    </w:p>
    <w:bookmarkEnd w:id="176"/>
    <w:bookmarkStart w:id="178" w:name="ref-MAd"/>
    <w:p>
      <w:pPr>
        <w:pStyle w:val="Bibliography"/>
      </w:pPr>
      <w:r>
        <w:t xml:space="preserve">W. T. Hoyt, A. C. D. R. &amp;. (2014). MAd: Meta-analysis with mean differences. In</w:t>
      </w:r>
      <w:r>
        <w:t xml:space="preserve"> </w:t>
      </w:r>
      <w:r>
        <w:rPr>
          <w:iCs/>
          <w:i/>
        </w:rPr>
        <w:t xml:space="preserve">R Package</w:t>
      </w:r>
      <w:r>
        <w:t xml:space="preserve">.</w:t>
      </w:r>
      <w:r>
        <w:t xml:space="preserve"> </w:t>
      </w:r>
      <w:hyperlink r:id="rId177">
        <w:r>
          <w:rPr>
            <w:rStyle w:val="Hyperlink"/>
          </w:rPr>
          <w:t xml:space="preserve">https://CRAN.R-project.org/package=MAd</w:t>
        </w:r>
      </w:hyperlink>
    </w:p>
    <w:bookmarkEnd w:id="178"/>
    <w:bookmarkStart w:id="180" w:name="ref-psych"/>
    <w:p>
      <w:pPr>
        <w:pStyle w:val="Bibliography"/>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179">
        <w:r>
          <w:rPr>
            <w:rStyle w:val="Hyperlink"/>
          </w:rPr>
          <w:t xml:space="preserve">https://CRAN.R-project.org/package=psych</w:t>
        </w:r>
      </w:hyperlink>
    </w:p>
    <w:bookmarkEnd w:id="180"/>
    <w:bookmarkEnd w:id="181"/>
    <w:bookmarkEnd w:id="182"/>
    <w:bookmarkEnd w:id="183"/>
    <w:bookmarkEnd w:id="184"/>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qualification (</w:t>
      </w:r>
      <w:r>
        <w:t xml:space="preserve">“</w:t>
      </w:r>
      <w:r>
        <w:t xml:space="preserve">almost always</w:t>
      </w:r>
      <w:r>
        <w:t xml:space="preserve">”</w:t>
      </w:r>
      <w:r>
        <w:t xml:space="preserve">) was that</w:t>
      </w:r>
      <w:r>
        <w:t xml:space="preserve"> </w:t>
      </w:r>
      <w:r>
        <w:t xml:space="preserve">“</w:t>
      </w:r>
      <w:r>
        <w:t xml:space="preserve">multiple-degree-of-freedom effect indicators tend to be less useful than effect indicators that decompose multiple degree-of-freedom tests into meaningful one degree-of-freedom effects</w:t>
      </w:r>
      <w:r>
        <w:t xml:space="preserve">”</w:t>
      </w:r>
      <w:r>
        <w:t xml:space="preserve"> </w:t>
      </w:r>
      <w:r>
        <w:t xml:space="preserve">(p. 26).</w:t>
      </w:r>
      <w:r>
        <w:t xml:space="preserve"> </w:t>
      </w:r>
      <w:r>
        <w:t xml:space="preserve">“</w:t>
      </w:r>
      <w:r>
        <w:t xml:space="preserve">One degree-of-freedom effects</w:t>
      </w:r>
      <w:r>
        <w:t xml:space="preserve">”</w:t>
      </w:r>
      <w:r>
        <w:t xml:space="preserve"> </w:t>
      </w:r>
      <w:r>
        <w:t xml:space="preserve">refer to those associated with contrasts, t-tests, F-tests with numerator</w:t>
      </w:r>
      <w:r>
        <w:t xml:space="preserve"> </w:t>
      </w:r>
      <m:oMath>
        <m:r>
          <m:t>d</m:t>
        </m:r>
        <m:r>
          <m:t>f</m:t>
        </m:r>
        <m:r>
          <m:rPr>
            <m:sty m:val="p"/>
          </m:rPr>
          <m:t>=</m:t>
        </m:r>
        <m:r>
          <m:t>1</m:t>
        </m:r>
      </m:oMath>
      <w:r>
        <w:t xml:space="preserve">, and</w:t>
      </w:r>
      <w:r>
        <w:t xml:space="preserve"> </w:t>
      </w:r>
      <m:oMath>
        <m:r>
          <m:t>1</m:t>
        </m:r>
        <m:r>
          <m:rPr>
            <m:sty m:val="p"/>
          </m:rPr>
          <m:t>−</m:t>
        </m:r>
        <m:r>
          <m:t>d</m:t>
        </m:r>
        <m:r>
          <m:t>f</m:t>
        </m:r>
      </m:oMath>
      <w:r>
        <w:t xml:space="preserve"> </w:t>
      </w:r>
      <w:r>
        <w:t xml:space="preserve">Chi-square tests, whereas</w:t>
      </w:r>
      <w:r>
        <w:t xml:space="preserve"> </w:t>
      </w:r>
      <w:r>
        <w:t xml:space="preserve">“</w:t>
      </w:r>
      <w:r>
        <w:t xml:space="preserve">multiple-degree-of-freedom effects</w:t>
      </w:r>
      <w:r>
        <w:t xml:space="preserve">”</w:t>
      </w:r>
      <w:r>
        <w:t xml:space="preserve"> </w:t>
      </w:r>
      <w:r>
        <w:t xml:space="preserve">refer to those associated with, for instance, F-tests with numerator</w:t>
      </w:r>
      <w:r>
        <w:t xml:space="preserve"> </w:t>
      </w:r>
      <m:oMath>
        <m:r>
          <m:t>d</m:t>
        </m:r>
        <m:r>
          <m:t>f</m:t>
        </m:r>
        <m:r>
          <m:rPr>
            <m:sty m:val="p"/>
          </m:rPr>
          <m:t>&gt;</m:t>
        </m:r>
        <m:r>
          <m:t>1</m:t>
        </m:r>
      </m:oMath>
      <w:r>
        <w:t xml:space="preserve">, and Chi-square tests with</w:t>
      </w:r>
      <w:r>
        <w:t xml:space="preserve"> </w:t>
      </w:r>
      <m:oMath>
        <m:r>
          <m:t>d</m:t>
        </m:r>
        <m:r>
          <m:t>f</m:t>
        </m:r>
        <m:r>
          <m:rPr>
            <m:sty m:val="p"/>
          </m:rPr>
          <m:t>&gt;</m:t>
        </m:r>
        <m:r>
          <m:t>1</m:t>
        </m:r>
      </m:oMath>
      <w:r>
        <w:t xml:space="preserve">.</w:t>
      </w:r>
    </w:p>
  </w:footnote>
  <w:footnote w:id="51">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2">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3">
    <w:p>
      <w:pPr>
        <w:pStyle w:val="FootnoteText"/>
      </w:pPr>
      <w:r>
        <w:rPr>
          <w:rStyle w:val="FootnoteReference"/>
        </w:rPr>
        <w:footnoteRef/>
      </w:r>
      <w:r>
        <w:t xml:space="preserve"> </w:t>
      </w:r>
      <w:r>
        <w:t xml:space="preserve">“</w:t>
      </w:r>
      <w:r>
        <w:t xml:space="preserve">The current review proposes an empirical basis for gauging the size of social psychological effects. It indicates that a correlation coefficient of .10 is</w:t>
      </w:r>
      <w:r>
        <w:t xml:space="preserve"> </w:t>
      </w:r>
      <w:r>
        <w:t xml:space="preserve">‘</w:t>
      </w:r>
      <w:r>
        <w:t xml:space="preserve">small</w:t>
      </w:r>
      <w:r>
        <w:t xml:space="preserve">’</w:t>
      </w:r>
      <w:r>
        <w:t xml:space="preserve"> </w:t>
      </w:r>
      <w:r>
        <w:t xml:space="preserve">relative to most social psychological effects. Mean effects this small are found in roughly 30% of social psychological research literature. It indicates that a correlation coefficient of .20 is a medium-sized effect. Effects that small are found in roughly half of the relevant literature. A correlation coefficient of .30 is large relative to most social psychological effects. Less than 25% of mean effects are that large.</w:t>
      </w:r>
      <w:r>
        <w:t xml:space="preserve">”</w:t>
      </w:r>
    </w:p>
  </w:footnote>
  <w:footnote w:id="54">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5">
        <w:r>
          <w:rPr>
            <w:rStyle w:val="Hyperlink"/>
          </w:rPr>
          <w:t xml:space="preserve">here</w:t>
        </w:r>
      </w:hyperlink>
      <w:r>
        <w:t xml:space="preserve"> </w:t>
      </w:r>
      <w:r>
        <w:t xml:space="preserve">for controversies with this paper.</w:t>
      </w:r>
    </w:p>
  </w:footnote>
  <w:footnote w:id="56">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59">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hyperlink" Id="rId148" Target="http://daniellakens.blogspot.com/2014/06/calculating-confidence-intervals-for.html" TargetMode="External" /><Relationship Type="http://schemas.openxmlformats.org/officeDocument/2006/relationships/hyperlink" Id="rId115" Target="http://github.com/doomlab/MOTE" TargetMode="External" /><Relationship Type="http://schemas.openxmlformats.org/officeDocument/2006/relationships/hyperlink" Id="rId177" Target="https://CRAN.R-project.org/package=MAd" TargetMode="External" /><Relationship Type="http://schemas.openxmlformats.org/officeDocument/2006/relationships/hyperlink" Id="rId142" Target="https://CRAN.R-project.org/package=MBESS" TargetMode="External" /><Relationship Type="http://schemas.openxmlformats.org/officeDocument/2006/relationships/hyperlink" Id="rId179" Target="https://CRAN.R-project.org/package=psych" TargetMode="External" /><Relationship Type="http://schemas.openxmlformats.org/officeDocument/2006/relationships/hyperlink" Id="rId133" Target="https://cir.nii.ac.jp/crid/1130000795088566912" TargetMode="External" /><Relationship Type="http://schemas.openxmlformats.org/officeDocument/2006/relationships/hyperlink" Id="rId76"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75" Target="https://cran.r-project.org/package=TOSTER"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111" Target="https://declaredesign.org/paper.pdf" TargetMode="External" /><Relationship Type="http://schemas.openxmlformats.org/officeDocument/2006/relationships/hyperlink" Id="rId136" Target="https://discourse.datamethods.org/t/author-checklist/3407" TargetMode="External" /><Relationship Type="http://schemas.openxmlformats.org/officeDocument/2006/relationships/hyperlink" Id="rId150" Target="https://doi.org/10.1002/ejsp.2752" TargetMode="External" /><Relationship Type="http://schemas.openxmlformats.org/officeDocument/2006/relationships/hyperlink" Id="rId175"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54" Target="https://doi.org/10.1017/S0140525X00027308" TargetMode="External" /><Relationship Type="http://schemas.openxmlformats.org/officeDocument/2006/relationships/hyperlink" Id="rId169"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128" Target="https://doi.org/10.1037/a0024338" TargetMode="External" /><Relationship Type="http://schemas.openxmlformats.org/officeDocument/2006/relationships/hyperlink" Id="rId144" Target="https://doi.org/10.1037/a0028086" TargetMode="External" /><Relationship Type="http://schemas.openxmlformats.org/officeDocument/2006/relationships/hyperlink" Id="rId113" Target="https://doi.org/10.1037/a0038047" TargetMode="External" /><Relationship Type="http://schemas.openxmlformats.org/officeDocument/2006/relationships/hyperlink" Id="rId162" Target="https://doi.org/10.1080/00031305.2018.1549101" TargetMode="External" /><Relationship Type="http://schemas.openxmlformats.org/officeDocument/2006/relationships/hyperlink" Id="rId107" Target="https://doi.org/10.1111/j.2044-8317.1988.tb00901.x" TargetMode="External" /><Relationship Type="http://schemas.openxmlformats.org/officeDocument/2006/relationships/hyperlink" Id="rId122" Target="https://doi.org/10.1177/0146621618795933" TargetMode="External" /><Relationship Type="http://schemas.openxmlformats.org/officeDocument/2006/relationships/hyperlink" Id="rId160" Target="https://doi.org/10.1177/1548051815614321" TargetMode="External" /><Relationship Type="http://schemas.openxmlformats.org/officeDocument/2006/relationships/hyperlink" Id="rId124" Target="https://doi.org/10.1177/1948550617697177" TargetMode="External" /><Relationship Type="http://schemas.openxmlformats.org/officeDocument/2006/relationships/hyperlink" Id="rId130" Target="https://doi.org/10.1177/2515245919847202" TargetMode="External" /><Relationship Type="http://schemas.openxmlformats.org/officeDocument/2006/relationships/hyperlink" Id="rId158" Target="https://doi.org/10.1177/2515245920917961" TargetMode="External" /><Relationship Type="http://schemas.openxmlformats.org/officeDocument/2006/relationships/hyperlink" Id="rId173" Target="https://doi.org/10.18637/jss.v036.i03" TargetMode="External" /><Relationship Type="http://schemas.openxmlformats.org/officeDocument/2006/relationships/hyperlink" Id="rId109" Target="https://doi.org/10.21105/joss.02815" TargetMode="External" /><Relationship Type="http://schemas.openxmlformats.org/officeDocument/2006/relationships/hyperlink" Id="rId165" Target="https://doi.org/10.22237/jmasm/1257035100" TargetMode="External" /><Relationship Type="http://schemas.openxmlformats.org/officeDocument/2006/relationships/hyperlink" Id="rId138" Target="https://doi.org/10.3102/10769986006002107" TargetMode="External" /><Relationship Type="http://schemas.openxmlformats.org/officeDocument/2006/relationships/hyperlink" Id="rId117" Target="https://doi.org/10.31234/osf.io/ty8de" TargetMode="External" /><Relationship Type="http://schemas.openxmlformats.org/officeDocument/2006/relationships/hyperlink" Id="rId126" Target="https://doi.org/10.3758/BRM.41.4.1149" TargetMode="External" /><Relationship Type="http://schemas.openxmlformats.org/officeDocument/2006/relationships/hyperlink" Id="rId140" Target="https://doi.org/10.3758/s13423-013-0572-3" TargetMode="External" /><Relationship Type="http://schemas.openxmlformats.org/officeDocument/2006/relationships/hyperlink" Id="rId156" Target="https://doi.org/10.3758/s13423-015-0947-8" TargetMode="External" /><Relationship Type="http://schemas.openxmlformats.org/officeDocument/2006/relationships/hyperlink" Id="rId152" Target="https://doi.org/10.5281/zenodo.1249218" TargetMode="External" /><Relationship Type="http://schemas.openxmlformats.org/officeDocument/2006/relationships/hyperlink" Id="rId171" Target="https://doi.org/10.5281/zenodo.1480624"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105"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46" Target="https://www.frontiersin.org/articles/10.3389/fpsyg.2013.00863" TargetMode="External" /><Relationship Type="http://schemas.openxmlformats.org/officeDocument/2006/relationships/hyperlink" Id="rId167" Target="https://www.frontiersin.org/articles/10.3389/fpsyg.2019.00813" TargetMode="External" /><Relationship Type="http://schemas.openxmlformats.org/officeDocument/2006/relationships/hyperlink" Id="rId119"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48" Target="http://daniellakens.blogspot.com/2014/06/calculating-confidence-intervals-for.html" TargetMode="External" /><Relationship Type="http://schemas.openxmlformats.org/officeDocument/2006/relationships/hyperlink" Id="rId115" Target="http://github.com/doomlab/MOTE" TargetMode="External" /><Relationship Type="http://schemas.openxmlformats.org/officeDocument/2006/relationships/hyperlink" Id="rId177" Target="https://CRAN.R-project.org/package=MAd" TargetMode="External" /><Relationship Type="http://schemas.openxmlformats.org/officeDocument/2006/relationships/hyperlink" Id="rId142" Target="https://CRAN.R-project.org/package=MBESS" TargetMode="External" /><Relationship Type="http://schemas.openxmlformats.org/officeDocument/2006/relationships/hyperlink" Id="rId179" Target="https://CRAN.R-project.org/package=psych" TargetMode="External" /><Relationship Type="http://schemas.openxmlformats.org/officeDocument/2006/relationships/hyperlink" Id="rId133" Target="https://cir.nii.ac.jp/crid/1130000795088566912" TargetMode="External" /><Relationship Type="http://schemas.openxmlformats.org/officeDocument/2006/relationships/hyperlink" Id="rId76"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75" Target="https://cran.r-project.org/package=TOSTER"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111" Target="https://declaredesign.org/paper.pdf" TargetMode="External" /><Relationship Type="http://schemas.openxmlformats.org/officeDocument/2006/relationships/hyperlink" Id="rId136" Target="https://discourse.datamethods.org/t/author-checklist/3407" TargetMode="External" /><Relationship Type="http://schemas.openxmlformats.org/officeDocument/2006/relationships/hyperlink" Id="rId150" Target="https://doi.org/10.1002/ejsp.2752" TargetMode="External" /><Relationship Type="http://schemas.openxmlformats.org/officeDocument/2006/relationships/hyperlink" Id="rId175"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54" Target="https://doi.org/10.1017/S0140525X00027308" TargetMode="External" /><Relationship Type="http://schemas.openxmlformats.org/officeDocument/2006/relationships/hyperlink" Id="rId169"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128" Target="https://doi.org/10.1037/a0024338" TargetMode="External" /><Relationship Type="http://schemas.openxmlformats.org/officeDocument/2006/relationships/hyperlink" Id="rId144" Target="https://doi.org/10.1037/a0028086" TargetMode="External" /><Relationship Type="http://schemas.openxmlformats.org/officeDocument/2006/relationships/hyperlink" Id="rId113" Target="https://doi.org/10.1037/a0038047" TargetMode="External" /><Relationship Type="http://schemas.openxmlformats.org/officeDocument/2006/relationships/hyperlink" Id="rId162" Target="https://doi.org/10.1080/00031305.2018.1549101" TargetMode="External" /><Relationship Type="http://schemas.openxmlformats.org/officeDocument/2006/relationships/hyperlink" Id="rId107" Target="https://doi.org/10.1111/j.2044-8317.1988.tb00901.x" TargetMode="External" /><Relationship Type="http://schemas.openxmlformats.org/officeDocument/2006/relationships/hyperlink" Id="rId122" Target="https://doi.org/10.1177/0146621618795933" TargetMode="External" /><Relationship Type="http://schemas.openxmlformats.org/officeDocument/2006/relationships/hyperlink" Id="rId160" Target="https://doi.org/10.1177/1548051815614321" TargetMode="External" /><Relationship Type="http://schemas.openxmlformats.org/officeDocument/2006/relationships/hyperlink" Id="rId124" Target="https://doi.org/10.1177/1948550617697177" TargetMode="External" /><Relationship Type="http://schemas.openxmlformats.org/officeDocument/2006/relationships/hyperlink" Id="rId130" Target="https://doi.org/10.1177/2515245919847202" TargetMode="External" /><Relationship Type="http://schemas.openxmlformats.org/officeDocument/2006/relationships/hyperlink" Id="rId158" Target="https://doi.org/10.1177/2515245920917961" TargetMode="External" /><Relationship Type="http://schemas.openxmlformats.org/officeDocument/2006/relationships/hyperlink" Id="rId173" Target="https://doi.org/10.18637/jss.v036.i03" TargetMode="External" /><Relationship Type="http://schemas.openxmlformats.org/officeDocument/2006/relationships/hyperlink" Id="rId109" Target="https://doi.org/10.21105/joss.02815" TargetMode="External" /><Relationship Type="http://schemas.openxmlformats.org/officeDocument/2006/relationships/hyperlink" Id="rId165" Target="https://doi.org/10.22237/jmasm/1257035100" TargetMode="External" /><Relationship Type="http://schemas.openxmlformats.org/officeDocument/2006/relationships/hyperlink" Id="rId138" Target="https://doi.org/10.3102/10769986006002107" TargetMode="External" /><Relationship Type="http://schemas.openxmlformats.org/officeDocument/2006/relationships/hyperlink" Id="rId117" Target="https://doi.org/10.31234/osf.io/ty8de" TargetMode="External" /><Relationship Type="http://schemas.openxmlformats.org/officeDocument/2006/relationships/hyperlink" Id="rId126" Target="https://doi.org/10.3758/BRM.41.4.1149" TargetMode="External" /><Relationship Type="http://schemas.openxmlformats.org/officeDocument/2006/relationships/hyperlink" Id="rId140" Target="https://doi.org/10.3758/s13423-013-0572-3" TargetMode="External" /><Relationship Type="http://schemas.openxmlformats.org/officeDocument/2006/relationships/hyperlink" Id="rId156" Target="https://doi.org/10.3758/s13423-015-0947-8" TargetMode="External" /><Relationship Type="http://schemas.openxmlformats.org/officeDocument/2006/relationships/hyperlink" Id="rId152" Target="https://doi.org/10.5281/zenodo.1249218" TargetMode="External" /><Relationship Type="http://schemas.openxmlformats.org/officeDocument/2006/relationships/hyperlink" Id="rId171" Target="https://doi.org/10.5281/zenodo.1480624"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105"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46" Target="https://www.frontiersin.org/articles/10.3389/fpsyg.2013.00863" TargetMode="External" /><Relationship Type="http://schemas.openxmlformats.org/officeDocument/2006/relationships/hyperlink" Id="rId167" Target="https://www.frontiersin.org/articles/10.3389/fpsyg.2019.00813" TargetMode="External" /><Relationship Type="http://schemas.openxmlformats.org/officeDocument/2006/relationships/hyperlink" Id="rId119"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2023-10-14T05:21:15Z</dcterms:created>
  <dcterms:modified xsi:type="dcterms:W3CDTF">2023-10-14T05:21:15Z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