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3.png" ContentType="image/png"/>
  <Override PartName="/word/media/rId86.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Blair T. Johnson</w:t>
      </w:r>
      <w:r>
        <w:rPr>
          <w:vertAlign w:val="superscript"/>
        </w:rPr>
        <w:t xml:space="preserve">8</w:t>
      </w:r>
      <w:r>
        <w:t xml:space="preserve">, and Gilad Feldman</w:t>
      </w:r>
      <w:r>
        <w:rPr>
          <w:vertAlign w:val="superscript"/>
        </w:rPr>
        <w:t xml:space="preserve">9</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Department of Psychology, University of Connecticut</w:t>
      </w:r>
    </w:p>
    <w:p>
      <w:pPr>
        <w:pStyle w:val="Author"/>
      </w:pPr>
      <w:r>
        <w:rPr>
          <w:vertAlign w:val="superscript"/>
        </w:rPr>
        <w:t xml:space="preserve">9</w:t>
      </w:r>
      <w:r>
        <w:t xml:space="preserve">Department of Psychology, University of Hong Kong</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Department of Psychology, University of Hong Kong,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191"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63"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3"/>
    <w:bookmarkStart w:id="64"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4"/>
    <w:bookmarkStart w:id="77"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5">
        <w:r>
          <w:rPr>
            <w:rStyle w:val="Hyperlink"/>
          </w:rPr>
          <w:t xml:space="preserve">doomlab.shinyapps.io/mote/</w:t>
        </w:r>
      </w:hyperlink>
      <w:r>
        <w:t xml:space="preserve">). The CRAN project can be found here:</w:t>
      </w:r>
      <w:r>
        <w:t xml:space="preserve"> </w:t>
      </w:r>
      <w:hyperlink r:id="rId66">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7">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68">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69">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0">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1">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2">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3">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4">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(Daniel et al.,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5">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6">
        <w:r>
          <w:rPr>
            <w:rStyle w:val="Hyperlink"/>
          </w:rPr>
          <w:t xml:space="preserve">cran.r-project.org/package=DeclareDesign</w:t>
        </w:r>
      </w:hyperlink>
      <w:r>
        <w:t xml:space="preserve">.</w:t>
      </w:r>
    </w:p>
    <w:bookmarkEnd w:id="77"/>
    <w:bookmarkStart w:id="92"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78"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78"/>
    </w:p>
    <w:p>
      <w:pPr>
        <w:pStyle w:val="FirstParagraph"/>
      </w:pPr>
      <w:bookmarkStart w:id="79"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79"/>
    </w:p>
    <w:p>
      <w:pPr>
        <w:pStyle w:val="FirstParagraph"/>
      </w:pPr>
      <w:r>
        <w:t xml:space="preserve">Lastly, we will supply example R code so you can apply to your own data.</w:t>
      </w:r>
    </w:p>
    <w:bookmarkStart w:id="80"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0"/>
    <w:bookmarkStart w:id="81"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1"/>
    <w:bookmarkStart w:id="90"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5" w:name="fig-repeatedmeasures"/>
          <w:p>
            <w:pPr>
              <w:jc w:val="center"/>
            </w:pPr>
            <w:r>
              <w:drawing>
                <wp:inline>
                  <wp:extent cx="5943600" cy="5943600"/>
                  <wp:effectExtent b="0" l="0" r="0" t="0"/>
                  <wp:docPr descr="" title="" id="83" name="Picture"/>
                  <a:graphic>
                    <a:graphicData uri="http://schemas.openxmlformats.org/drawingml/2006/picture">
                      <pic:pic>
                        <pic:nvPicPr>
                          <pic:cNvPr descr="index_files/figure-docx/fig-repeatedmeasure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5"/>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89" w:name="fig-correlation-comp"/>
          <w:p>
            <w:pPr>
              <w:jc w:val="center"/>
            </w:pPr>
            <w:r>
              <w:drawing>
                <wp:inline>
                  <wp:extent cx="5943600" cy="5943600"/>
                  <wp:effectExtent b="0" l="0" r="0" t="0"/>
                  <wp:docPr descr="" title="" id="87" name="Picture"/>
                  <a:graphic>
                    <a:graphicData uri="http://schemas.openxmlformats.org/drawingml/2006/picture">
                      <pic:pic>
                        <pic:nvPicPr>
                          <pic:cNvPr descr="index_files/figure-docx/fig-correlation-comp-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89"/>
        </w:tc>
      </w:tr>
    </w:tbl>
    <w:bookmarkEnd w:id="90"/>
    <w:bookmarkStart w:id="91"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1"/>
    <w:bookmarkEnd w:id="92"/>
    <w:bookmarkStart w:id="97"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an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6" w:name="fig-cor-example"/>
          <w:p>
            <w:pPr>
              <w:jc w:val="center"/>
            </w:pPr>
            <w:r>
              <w:drawing>
                <wp:inline>
                  <wp:extent cx="5943600" cy="5486400"/>
                  <wp:effectExtent b="0" l="0" r="0" t="0"/>
                  <wp:docPr descr="" title="" id="94" name="Picture"/>
                  <a:graphic>
                    <a:graphicData uri="http://schemas.openxmlformats.org/drawingml/2006/picture">
                      <pic:pic>
                        <pic:nvPicPr>
                          <pic:cNvPr descr="index_files/figure-docx/fig-cor-example-1.png" id="95" name="Picture"/>
                          <pic:cNvPicPr>
                            <a:picLocks noChangeArrowheads="1" noChangeAspect="1"/>
                          </pic:cNvPicPr>
                        </pic:nvPicPr>
                        <pic:blipFill>
                          <a:blip r:embed="rId93"/>
                          <a:stretch>
                            <a:fillRect/>
                          </a:stretch>
                        </pic:blipFill>
                        <pic:spPr bwMode="auto">
                          <a:xfrm>
                            <a:off x="0" y="0"/>
                            <a:ext cx="59436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6"/>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r>
          <m:t>Z</m:t>
        </m:r>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w:t>
      </w:r>
    </w:p>
    <w:p>
      <w:pPr>
        <w:pStyle w:val="BodyText"/>
      </w:pPr>
      <m:oMathPara>
        <m:oMathParaPr>
          <m:jc m:val="center"/>
        </m:oMathParaPr>
        <m:oMath>
          <m:sSub>
            <m:e>
              <m:r>
                <m:t>Z</m:t>
              </m:r>
            </m:e>
            <m:sub>
              <m:r>
                <m:t>U</m:t>
              </m:r>
              <m:r>
                <m:t>P</m:t>
              </m:r>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m:oMathPara>
        <m:oMathParaPr>
          <m:jc m:val="center"/>
        </m:oMathParaPr>
        <m:oMath>
          <m:sSub>
            <m:e>
              <m:r>
                <m:t>Z</m:t>
              </m:r>
            </m:e>
            <m:sub>
              <m:r>
                <m:t>U</m:t>
              </m:r>
              <m:r>
                <m:t>P</m:t>
              </m:r>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m:oMathPara>
        <m:oMathParaPr>
          <m:jc m:val="center"/>
        </m:oMathParaPr>
        <m:oMath>
          <m:sSub>
            <m:e>
              <m:r>
                <m:t>r</m:t>
              </m:r>
            </m:e>
            <m:sub>
              <m:r>
                <m:t>U</m:t>
              </m:r>
              <m:r>
                <m:t>P</m:t>
              </m:r>
            </m:sub>
          </m:sSub>
          <m:r>
            <m:rPr>
              <m:sty m:val="p"/>
            </m:rPr>
            <m:t>=</m:t>
          </m:r>
          <m:r>
            <m:rPr>
              <m:nor/>
              <m:sty m:val="p"/>
            </m:rPr>
            <m:t>tanh</m:t>
          </m:r>
          <m:d>
            <m:dPr>
              <m:begChr m:val="("/>
              <m:endChr m:val=")"/>
              <m:sepChr m:val=""/>
              <m:grow/>
            </m:dPr>
            <m:e>
              <m:sSub>
                <m:e>
                  <m:r>
                    <m:t>Z</m:t>
                  </m:r>
                </m:e>
                <m:sub>
                  <m:r>
                    <m:t>U</m:t>
                  </m:r>
                  <m:r>
                    <m:t>P</m:t>
                  </m:r>
                </m:sub>
              </m:sSub>
            </m:e>
          </m:d>
        </m:oMath>
      </m:oMathPara>
    </w:p>
    <w:p>
      <w:pPr>
        <w:pStyle w:val="FirstParagraph"/>
      </w:pPr>
      <m:oMathPara>
        <m:oMathParaPr>
          <m:jc m:val="center"/>
        </m:oMathParaPr>
        <m:oMath>
          <m:sSub>
            <m:e>
              <m:r>
                <m:t>r</m:t>
              </m:r>
            </m:e>
            <m:sub>
              <m:r>
                <m:t>U</m:t>
              </m:r>
              <m:r>
                <m:t>P</m:t>
              </m:r>
            </m:sub>
          </m:sSub>
          <m:r>
            <m:rPr>
              <m:sty m:val="p"/>
            </m:rPr>
            <m:t>=</m:t>
          </m:r>
          <m:r>
            <m:rPr>
              <m:nor/>
              <m:sty m:val="p"/>
            </m:rPr>
            <m:t>tanh</m:t>
          </m:r>
          <m:d>
            <m:dPr>
              <m:begChr m:val="("/>
              <m:endChr m:val=")"/>
              <m:sepChr m:val=""/>
              <m:grow/>
            </m:dPr>
            <m:e>
              <m:sSub>
                <m:e>
                  <m:r>
                    <m:t>Z</m:t>
                  </m:r>
                </m:e>
                <m:sub>
                  <m:r>
                    <m:t>U</m:t>
                  </m:r>
                  <m:r>
                    <m:t>P</m:t>
                  </m:r>
                </m:sub>
              </m:sSub>
            </m:e>
          </m:d>
        </m:oMath>
      </m:oMathPara>
    </w:p>
    <w:p>
      <w:pPr>
        <w:pStyle w:val="FirstParagraph"/>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7"/>
    <w:bookmarkStart w:id="190"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99"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98"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98"/>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99"/>
    <w:bookmarkStart w:id="101"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0"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0"/>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 3$</w:t>
      </w:r>
      <w:r>
        <w:t xml:space="preserve">$4 continency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standard errors and corresponding 95% confidence intervals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sSub>
            <m:e>
              <m:r>
                <m:t>Z</m:t>
              </m:r>
            </m:e>
            <m:sub>
              <m:r>
                <m:rPr>
                  <m:nor/>
                  <m:sty m:val="p"/>
                </m:rPr>
                <m:t>Lower</m:t>
              </m:r>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m:oMathPara>
        <m:oMathParaPr>
          <m:jc m:val="center"/>
        </m:oMathParaPr>
        <m:oMath>
          <m:sSub>
            <m:e>
              <m:r>
                <m:t>Z</m:t>
              </m:r>
            </m:e>
            <m:sub>
              <m:r>
                <m:rPr>
                  <m:nor/>
                  <m:sty m:val="p"/>
                </m:rPr>
                <m:t>Upper</m:t>
              </m:r>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w:r>
        <w:t xml:space="preserve">Then we can backtransform the upper and lower bound back into Cramer’s</w:t>
      </w:r>
      <w:r>
        <w:t xml:space="preserve"> </w:t>
      </w:r>
      <m:oMath>
        <m:r>
          <m:t>V</m:t>
        </m:r>
      </m:oMath>
      <w:r>
        <w:t xml:space="preserve">, such that</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 </w:t>
      </w:r>
      <w:r>
        <w:t xml:space="preserve">and</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w:t>
      </w:r>
    </w:p>
    <w:p>
      <w:pPr>
        <w:pStyle w:val="BodyText"/>
      </w:pPr>
      <w:r>
        <w:t xml:space="preserve">Using the</w:t>
      </w:r>
      <w:r>
        <w:t xml:space="preserve"> </w:t>
      </w:r>
      <w:r>
        <w:rPr>
          <w:rStyle w:val="VerbatimChar"/>
        </w:rPr>
        <w:t xml:space="preserve">ufs</w:t>
      </w:r>
      <w:r>
        <w:t xml:space="preserve"> </w:t>
      </w:r>
      <w:r>
        <w:t xml:space="preserve">package</w:t>
      </w:r>
      <w:r>
        <w:t xml:space="preserve"> </w:t>
      </w:r>
      <w:r>
        <w:t xml:space="preserve">(Peters &amp;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1"/>
    <w:bookmarkStart w:id="102" w:name="cohens-h"/>
    <w:p>
      <w:pPr>
        <w:pStyle w:val="Heading3"/>
      </w:pPr>
      <w:r>
        <w:t xml:space="preserve">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as described previously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2"/>
    <w:bookmarkStart w:id="103" w:name="cohens-omega-omega"/>
    <w:p>
      <w:pPr>
        <w:pStyle w:val="Heading3"/>
      </w:pPr>
      <w:r>
        <w:t xml:space="preserve">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p>
    <w:p>
      <w:pPr>
        <w:pStyle w:val="SourceCode"/>
      </w:pPr>
      <w:r>
        <w:rPr>
          <w:rStyle w:val="VerbatimChar"/>
        </w:rPr>
        <w:t xml:space="preserve">Cohen's w |       95% CI</w:t>
      </w:r>
      <w:r>
        <w:br/>
      </w:r>
      <w:r>
        <w:rPr>
          <w:rStyle w:val="VerbatimChar"/>
        </w:rPr>
        <w:t xml:space="preserve">------------------------</w:t>
      </w:r>
      <w:r>
        <w:br/>
      </w:r>
      <w:r>
        <w:rPr>
          <w:rStyle w:val="VerbatimChar"/>
        </w:rPr>
        <w:t xml:space="preserve">0.45      | [0.28, 1.00]</w:t>
      </w:r>
      <w:r>
        <w:br/>
      </w:r>
      <w:r>
        <w:br/>
      </w:r>
      <w:r>
        <w:rPr>
          <w:rStyle w:val="VerbatimChar"/>
        </w:rPr>
        <w:t xml:space="preserve">- One-sided CIs: upper bound fixed at [1.00].</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h</m:t>
        </m:r>
      </m:oMath>
      <w:r>
        <w:t xml:space="preserve"> </w:t>
      </w:r>
      <w:r>
        <w:t xml:space="preserve">= .93 [0.52, 1.34].</w:t>
      </w:r>
    </w:p>
    <w:bookmarkEnd w:id="103"/>
    <w:bookmarkStart w:id="104" w:name="ben-shachars-fei-פ"/>
    <w:p>
      <w:pPr>
        <w:pStyle w:val="Heading3"/>
      </w:pPr>
      <w:r>
        <w:t xml:space="preserve">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104"/>
    <w:bookmarkStart w:id="106" w:name="odds-ratio"/>
    <w:p>
      <w:pPr>
        <w:pStyle w:val="Heading3"/>
      </w:pPr>
      <w:r>
        <w:t xml:space="preserve">Odds Ratio</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3</w:t>
        </w:r>
      </w:hyperlink>
      <w:r>
        <w:t xml:space="preserve">).</w:t>
      </w:r>
    </w:p>
    <w:bookmarkStart w:id="105" w:name="tbl-contingency-OR"/>
    <w:p>
      <w:pPr>
        <w:pStyle w:val="TableCaption"/>
      </w:pPr>
      <w:r>
        <w:t xml:space="preserve">Table 3: Contingency table between two binary variables</w:t>
      </w:r>
    </w:p>
    <w:tbl>
      <w:tblPr>
        <w:tblStyle w:val="Table"/>
        <w:tblW w:type="auto" w:w="0"/>
        <w:tblLook w:firstRow="1" w:lastRow="0" w:firstColumn="0" w:lastColumn="0" w:noHBand="0" w:noVBand="0" w:val="0020"/>
        <w:jc w:val="start"/>
        <w:tblCaption w:val="Table 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05"/>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them:</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06"/>
    <w:bookmarkStart w:id="107" w:name="risk-difference"/>
    <w:p>
      <w:pPr>
        <w:pStyle w:val="Heading3"/>
      </w:pPr>
      <w:r>
        <w:t xml:space="preserve">Risk Difference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 using the formulas described in</w:t>
      </w:r>
      <w:r>
        <w:t xml:space="preserve"> </w:t>
      </w:r>
      <w:hyperlink w:anchor="eq-ci-high">
        <w:r>
          <w:rPr>
            <w:rStyle w:val="Hyperlink"/>
          </w:rPr>
          <w:t xml:space="preserve">Equation 2</w:t>
        </w:r>
      </w:hyperlink>
      <w:r>
        <w:t xml:space="preserve"> </w:t>
      </w:r>
      <w:r>
        <w:t xml:space="preserve">and</w:t>
      </w:r>
      <w:r>
        <w:t xml:space="preserve"> </w:t>
      </w:r>
      <w:hyperlink w:anchor="eq-ci-low">
        <w:r>
          <w:rPr>
            <w:rStyle w:val="Hyperlink"/>
          </w:rPr>
          <w:t xml:space="preserve">Equation 1</w:t>
        </w:r>
      </w:hyperlink>
    </w:p>
    <w:p>
      <w:pPr>
        <w:pStyle w:val="BodyText"/>
      </w:pPr>
      <m:oMathPara>
        <m:oMathParaPr>
          <m:jc m:val="center"/>
        </m:oMathParaPr>
        <m:oMath>
          <m:r>
            <m:t>R</m:t>
          </m:r>
          <m:sSub>
            <m:e>
              <m:r>
                <m:t>D</m:t>
              </m:r>
            </m:e>
            <m:sub>
              <m:r>
                <m:t>L</m:t>
              </m:r>
              <m:r>
                <m:t>O</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m:oMathPara>
        <m:oMathParaPr>
          <m:jc m:val="center"/>
        </m:oMathParaPr>
        <m:oMath>
          <m:r>
            <m:t>R</m:t>
          </m:r>
          <m:sSub>
            <m:e>
              <m:r>
                <m:t>D</m:t>
              </m:r>
            </m:e>
            <m:sub>
              <m:r>
                <m:t>U</m:t>
              </m:r>
              <m:r>
                <m:t>P</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07"/>
    <w:bookmarkStart w:id="189" w:name="relative-risk"/>
    <w:p>
      <w:pPr>
        <w:pStyle w:val="Heading3"/>
      </w:pPr>
      <w:r>
        <w:t xml:space="preserve">Relative Risk</w:t>
      </w:r>
    </w:p>
    <w:bookmarkStart w:id="188" w:name="refs"/>
    <w:bookmarkStart w:id="109"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08">
        <w:r>
          <w:rPr>
            <w:rStyle w:val="Hyperlink"/>
          </w:rPr>
          <w:t xml:space="preserve">https://thuvienso.hoasen.edu.vn/handle/123456789/8327</w:t>
        </w:r>
      </w:hyperlink>
    </w:p>
    <w:bookmarkEnd w:id="109"/>
    <w:bookmarkStart w:id="111"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10">
        <w:r>
          <w:rPr>
            <w:rStyle w:val="Hyperlink"/>
          </w:rPr>
          <w:t xml:space="preserve">https://doi.org/10.1111/j.2044-8317.1988.tb00901.x</w:t>
        </w:r>
      </w:hyperlink>
    </w:p>
    <w:bookmarkEnd w:id="111"/>
    <w:bookmarkStart w:id="113"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12">
        <w:r>
          <w:rPr>
            <w:rStyle w:val="Hyperlink"/>
          </w:rPr>
          <w:t xml:space="preserve">https://doi.org/10.21105/joss.02815</w:t>
        </w:r>
      </w:hyperlink>
    </w:p>
    <w:bookmarkEnd w:id="113"/>
    <w:bookmarkStart w:id="115" w:name="ref-benshachar2023"/>
    <w:p>
      <w:pPr>
        <w:pStyle w:val="Bibliography"/>
      </w:pPr>
      <w:r>
        <w:t xml:space="preserve">Ben-Shachar, M. S., Patil, I., Thériault, R., Wiernik, B. M., &amp; Lüdecke, D. (2023). Phi, Fei, Fo, Fum: Effect Sizes for Categorical Data That Use the Chi-Squared Statistic.</w:t>
      </w:r>
      <w:r>
        <w:t xml:space="preserve"> </w:t>
      </w:r>
      <w:r>
        <w:rPr>
          <w:iCs/>
          <w:i/>
        </w:rPr>
        <w:t xml:space="preserve">Mathematics</w:t>
      </w:r>
      <w:r>
        <w:t xml:space="preserve">,</w:t>
      </w:r>
      <w:r>
        <w:t xml:space="preserve"> </w:t>
      </w:r>
      <w:r>
        <w:rPr>
          <w:iCs/>
          <w:i/>
        </w:rPr>
        <w:t xml:space="preserve">11</w:t>
      </w:r>
      <w:r>
        <w:t xml:space="preserve">(9), 1982.</w:t>
      </w:r>
      <w:r>
        <w:t xml:space="preserve"> </w:t>
      </w:r>
      <w:hyperlink r:id="rId114">
        <w:r>
          <w:rPr>
            <w:rStyle w:val="Hyperlink"/>
          </w:rPr>
          <w:t xml:space="preserve">https://doi.org/10.3390/math11091982</w:t>
        </w:r>
      </w:hyperlink>
    </w:p>
    <w:bookmarkEnd w:id="115"/>
    <w:bookmarkStart w:id="117"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16">
        <w:r>
          <w:rPr>
            <w:rStyle w:val="Hyperlink"/>
          </w:rPr>
          <w:t xml:space="preserve">https://declaredesign.org/paper.pdf</w:t>
        </w:r>
      </w:hyperlink>
    </w:p>
    <w:bookmarkEnd w:id="117"/>
    <w:bookmarkStart w:id="119"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18">
        <w:r>
          <w:rPr>
            <w:rStyle w:val="Hyperlink"/>
          </w:rPr>
          <w:t xml:space="preserve">https://doi.org/10.1037/a0038047</w:t>
        </w:r>
      </w:hyperlink>
    </w:p>
    <w:bookmarkEnd w:id="119"/>
    <w:bookmarkStart w:id="121"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20">
        <w:r>
          <w:rPr>
            <w:rStyle w:val="Hyperlink"/>
          </w:rPr>
          <w:t xml:space="preserve">http://github.com/doomlab/MOTE</w:t>
        </w:r>
      </w:hyperlink>
    </w:p>
    <w:bookmarkEnd w:id="121"/>
    <w:bookmarkStart w:id="123"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22">
        <w:r>
          <w:rPr>
            <w:rStyle w:val="Hyperlink"/>
          </w:rPr>
          <w:t xml:space="preserve">https://doi.org/10.31234/osf.io/ty8de</w:t>
        </w:r>
      </w:hyperlink>
    </w:p>
    <w:bookmarkEnd w:id="123"/>
    <w:bookmarkStart w:id="125"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24">
        <w:r>
          <w:rPr>
            <w:rStyle w:val="Hyperlink"/>
          </w:rPr>
          <w:t xml:space="preserve">https://www.semanticscholar.org/paper/It%27s-the-Effect-Size%2C-Stupid-What-effect-size-is-it-Coe/c5ac87df5d6e0e6b6de2f745284835c2a368b0f7</w:t>
        </w:r>
      </w:hyperlink>
    </w:p>
    <w:bookmarkEnd w:id="125"/>
    <w:bookmarkStart w:id="126"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26"/>
    <w:bookmarkStart w:id="128"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27">
        <w:r>
          <w:rPr>
            <w:rStyle w:val="Hyperlink"/>
          </w:rPr>
          <w:t xml:space="preserve">https://doi.org/10.1177/0146621618795933</w:t>
        </w:r>
      </w:hyperlink>
    </w:p>
    <w:bookmarkEnd w:id="128"/>
    <w:bookmarkStart w:id="130" w:name="ref-TOSTER"/>
    <w:p>
      <w:pPr>
        <w:pStyle w:val="Bibliography"/>
      </w:pPr>
      <w:r>
        <w:t xml:space="preserve">Daniel, Lakens, &amp; aut.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29">
        <w:r>
          <w:rPr>
            <w:rStyle w:val="Hyperlink"/>
          </w:rPr>
          <w:t xml:space="preserve">https://doi.org/10.1177/1948550617697177</w:t>
        </w:r>
      </w:hyperlink>
    </w:p>
    <w:bookmarkEnd w:id="130"/>
    <w:bookmarkStart w:id="132"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31">
        <w:r>
          <w:rPr>
            <w:rStyle w:val="Hyperlink"/>
          </w:rPr>
          <w:t xml:space="preserve">https://doi.org/10.3758/BRM.41.4.1149</w:t>
        </w:r>
      </w:hyperlink>
    </w:p>
    <w:bookmarkEnd w:id="132"/>
    <w:bookmarkStart w:id="134"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33">
        <w:r>
          <w:rPr>
            <w:rStyle w:val="Hyperlink"/>
          </w:rPr>
          <w:t xml:space="preserve">https://doi.org/10.1037/a0024338</w:t>
        </w:r>
      </w:hyperlink>
    </w:p>
    <w:bookmarkEnd w:id="134"/>
    <w:bookmarkStart w:id="136"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35">
        <w:r>
          <w:rPr>
            <w:rStyle w:val="Hyperlink"/>
          </w:rPr>
          <w:t xml:space="preserve">https://doi.org/10.1177/2515245919847202</w:t>
        </w:r>
      </w:hyperlink>
    </w:p>
    <w:bookmarkEnd w:id="136"/>
    <w:bookmarkStart w:id="137"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137"/>
    <w:bookmarkStart w:id="139"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38">
        <w:r>
          <w:rPr>
            <w:rStyle w:val="Hyperlink"/>
          </w:rPr>
          <w:t xml:space="preserve">https://cir.nii.ac.jp/crid/1130000795088566912</w:t>
        </w:r>
      </w:hyperlink>
    </w:p>
    <w:bookmarkEnd w:id="139"/>
    <w:bookmarkStart w:id="140"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38">
        <w:r>
          <w:rPr>
            <w:rStyle w:val="Hyperlink"/>
          </w:rPr>
          <w:t xml:space="preserve">https://cir.nii.ac.jp/crid/1130000795088566912</w:t>
        </w:r>
      </w:hyperlink>
    </w:p>
    <w:bookmarkEnd w:id="140"/>
    <w:bookmarkStart w:id="142"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41">
        <w:r>
          <w:rPr>
            <w:rStyle w:val="Hyperlink"/>
          </w:rPr>
          <w:t xml:space="preserve">https://discourse.datamethods.org/t/author-checklist/3407</w:t>
        </w:r>
      </w:hyperlink>
    </w:p>
    <w:bookmarkEnd w:id="142"/>
    <w:bookmarkStart w:id="144"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43">
        <w:r>
          <w:rPr>
            <w:rStyle w:val="Hyperlink"/>
          </w:rPr>
          <w:t xml:space="preserve">https://doi.org/10.3102/10769986006002107</w:t>
        </w:r>
      </w:hyperlink>
    </w:p>
    <w:bookmarkEnd w:id="144"/>
    <w:bookmarkStart w:id="146"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45">
        <w:r>
          <w:rPr>
            <w:rStyle w:val="Hyperlink"/>
          </w:rPr>
          <w:t xml:space="preserve">https://doi.org/10.3758/s13423-013-0572-3</w:t>
        </w:r>
      </w:hyperlink>
    </w:p>
    <w:bookmarkEnd w:id="146"/>
    <w:bookmarkStart w:id="148" w:name="ref-MBESS"/>
    <w:p>
      <w:pPr>
        <w:pStyle w:val="Bibliography"/>
      </w:pPr>
      <w:r>
        <w:t xml:space="preserve">Kelley, K. (2022).</w:t>
      </w:r>
      <w:r>
        <w:t xml:space="preserve"> </w:t>
      </w:r>
      <w:r>
        <w:rPr>
          <w:iCs/>
          <w:i/>
        </w:rPr>
        <w:t xml:space="preserve">MBESS: The MBESS r package</w:t>
      </w:r>
      <w:r>
        <w:t xml:space="preserve">.</w:t>
      </w:r>
      <w:r>
        <w:t xml:space="preserve"> </w:t>
      </w:r>
      <w:hyperlink r:id="rId147">
        <w:r>
          <w:rPr>
            <w:rStyle w:val="Hyperlink"/>
          </w:rPr>
          <w:t xml:space="preserve">https://CRAN.R-project.org/package=MBESS</w:t>
        </w:r>
      </w:hyperlink>
    </w:p>
    <w:bookmarkEnd w:id="148"/>
    <w:bookmarkStart w:id="150"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49">
        <w:r>
          <w:rPr>
            <w:rStyle w:val="Hyperlink"/>
          </w:rPr>
          <w:t xml:space="preserve">https://doi.org/10.1037/a0028086</w:t>
        </w:r>
      </w:hyperlink>
    </w:p>
    <w:bookmarkEnd w:id="150"/>
    <w:bookmarkStart w:id="152"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51">
        <w:r>
          <w:rPr>
            <w:rStyle w:val="Hyperlink"/>
          </w:rPr>
          <w:t xml:space="preserve">https://www.frontiersin.org/articles/10.3389/fpsyg.2013.00863</w:t>
        </w:r>
      </w:hyperlink>
    </w:p>
    <w:bookmarkEnd w:id="152"/>
    <w:bookmarkStart w:id="154" w:name="ref-lakens2014"/>
    <w:p>
      <w:pPr>
        <w:pStyle w:val="Bibliography"/>
      </w:pPr>
      <w:r>
        <w:t xml:space="preserve">Lakens, D. (2014).</w:t>
      </w:r>
      <w:r>
        <w:t xml:space="preserve"> </w:t>
      </w:r>
      <w:r>
        <w:rPr>
          <w:iCs/>
          <w:i/>
        </w:rPr>
        <w:t xml:space="preserve">The 20</w:t>
      </w:r>
      <w:r>
        <w:t xml:space="preserve">.</w:t>
      </w:r>
      <w:r>
        <w:t xml:space="preserve"> </w:t>
      </w:r>
      <w:hyperlink r:id="rId153">
        <w:r>
          <w:rPr>
            <w:rStyle w:val="Hyperlink"/>
          </w:rPr>
          <w:t xml:space="preserve">http://daniellakens.blogspot.com/2014/06/calculating-confidence-intervals-for.html</w:t>
        </w:r>
      </w:hyperlink>
    </w:p>
    <w:bookmarkEnd w:id="154"/>
    <w:bookmarkStart w:id="156"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55">
        <w:r>
          <w:rPr>
            <w:rStyle w:val="Hyperlink"/>
          </w:rPr>
          <w:t xml:space="preserve">https://doi.org/10.1002/ejsp.2752</w:t>
        </w:r>
      </w:hyperlink>
    </w:p>
    <w:bookmarkEnd w:id="156"/>
    <w:bookmarkStart w:id="158"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57">
        <w:r>
          <w:rPr>
            <w:rStyle w:val="Hyperlink"/>
          </w:rPr>
          <w:t xml:space="preserve">https://doi.org/10.5281/zenodo.1249218</w:t>
        </w:r>
      </w:hyperlink>
    </w:p>
    <w:bookmarkEnd w:id="158"/>
    <w:bookmarkStart w:id="160"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59">
        <w:r>
          <w:rPr>
            <w:rStyle w:val="Hyperlink"/>
          </w:rPr>
          <w:t xml:space="preserve">https://doi.org/10.1017/S0140525X00027308</w:t>
        </w:r>
      </w:hyperlink>
    </w:p>
    <w:bookmarkEnd w:id="160"/>
    <w:bookmarkStart w:id="162"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61">
        <w:r>
          <w:rPr>
            <w:rStyle w:val="Hyperlink"/>
          </w:rPr>
          <w:t xml:space="preserve">https://doi.org/10.3758/s13423-015-0947-8</w:t>
        </w:r>
      </w:hyperlink>
    </w:p>
    <w:bookmarkEnd w:id="162"/>
    <w:bookmarkStart w:id="164"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63">
        <w:r>
          <w:rPr>
            <w:rStyle w:val="Hyperlink"/>
          </w:rPr>
          <w:t xml:space="preserve">https://doi.org/10.1177/2515245920917961</w:t>
        </w:r>
      </w:hyperlink>
    </w:p>
    <w:bookmarkEnd w:id="164"/>
    <w:bookmarkStart w:id="166"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65">
        <w:r>
          <w:rPr>
            <w:rStyle w:val="Hyperlink"/>
          </w:rPr>
          <w:t xml:space="preserve">https://doi.org/10.1177/1548051815614321</w:t>
        </w:r>
      </w:hyperlink>
    </w:p>
    <w:bookmarkEnd w:id="166"/>
    <w:bookmarkStart w:id="168" w:name="ref-ufs"/>
    <w:p>
      <w:pPr>
        <w:pStyle w:val="Bibliography"/>
      </w:pPr>
      <w:r>
        <w:t xml:space="preserve">Peters, G.-J. Y., &amp; Gruijters, S. (2023).</w:t>
      </w:r>
      <w:r>
        <w:t xml:space="preserve"> </w:t>
      </w:r>
      <w:r>
        <w:rPr>
          <w:iCs/>
          <w:i/>
        </w:rPr>
        <w:t xml:space="preserve">Ufs: A collection of utilities</w:t>
      </w:r>
      <w:r>
        <w:t xml:space="preserve">.</w:t>
      </w:r>
      <w:r>
        <w:t xml:space="preserve"> </w:t>
      </w:r>
      <w:hyperlink r:id="rId167">
        <w:r>
          <w:rPr>
            <w:rStyle w:val="Hyperlink"/>
          </w:rPr>
          <w:t xml:space="preserve">https://ufs.opens.science</w:t>
        </w:r>
      </w:hyperlink>
    </w:p>
    <w:bookmarkEnd w:id="168"/>
    <w:bookmarkStart w:id="170"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169">
        <w:r>
          <w:rPr>
            <w:rStyle w:val="Hyperlink"/>
          </w:rPr>
          <w:t xml:space="preserve">https://doi.org/10.1080/00031305.2018.1549101</w:t>
        </w:r>
      </w:hyperlink>
    </w:p>
    <w:bookmarkEnd w:id="170"/>
    <w:bookmarkStart w:id="171"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171"/>
    <w:bookmarkStart w:id="173"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172">
        <w:r>
          <w:rPr>
            <w:rStyle w:val="Hyperlink"/>
          </w:rPr>
          <w:t xml:space="preserve">https://doi.org/10.22237/jmasm/1257035100</w:t>
        </w:r>
      </w:hyperlink>
    </w:p>
    <w:bookmarkEnd w:id="173"/>
    <w:bookmarkStart w:id="175"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74">
        <w:r>
          <w:rPr>
            <w:rStyle w:val="Hyperlink"/>
          </w:rPr>
          <w:t xml:space="preserve">https://www.frontiersin.org/articles/10.3389/fpsyg.2019.00813</w:t>
        </w:r>
      </w:hyperlink>
    </w:p>
    <w:bookmarkEnd w:id="175"/>
    <w:bookmarkStart w:id="177"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176">
        <w:r>
          <w:rPr>
            <w:rStyle w:val="Hyperlink"/>
          </w:rPr>
          <w:t xml:space="preserve">https://doi.org/10.1037/1082-989X.9.2.164</w:t>
        </w:r>
      </w:hyperlink>
    </w:p>
    <w:bookmarkEnd w:id="177"/>
    <w:bookmarkStart w:id="179"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178">
        <w:r>
          <w:rPr>
            <w:rStyle w:val="Hyperlink"/>
          </w:rPr>
          <w:t xml:space="preserve">https://doi.org/10.5281/zenodo.1480624</w:t>
        </w:r>
      </w:hyperlink>
    </w:p>
    <w:bookmarkEnd w:id="179"/>
    <w:bookmarkStart w:id="181"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180">
        <w:r>
          <w:rPr>
            <w:rStyle w:val="Hyperlink"/>
          </w:rPr>
          <w:t xml:space="preserve">https://doi.org/10.18637/jss.v036.i03</w:t>
        </w:r>
      </w:hyperlink>
    </w:p>
    <w:bookmarkEnd w:id="181"/>
    <w:bookmarkStart w:id="183"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182">
        <w:r>
          <w:rPr>
            <w:rStyle w:val="Hyperlink"/>
          </w:rPr>
          <w:t xml:space="preserve">https://doi.org/10.1007/s11229-022-03560-x</w:t>
        </w:r>
      </w:hyperlink>
    </w:p>
    <w:bookmarkEnd w:id="183"/>
    <w:bookmarkStart w:id="185"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184">
        <w:r>
          <w:rPr>
            <w:rStyle w:val="Hyperlink"/>
          </w:rPr>
          <w:t xml:space="preserve">https://CRAN.R-project.org/package=MAd</w:t>
        </w:r>
      </w:hyperlink>
    </w:p>
    <w:bookmarkEnd w:id="185"/>
    <w:bookmarkStart w:id="187"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186">
        <w:r>
          <w:rPr>
            <w:rStyle w:val="Hyperlink"/>
          </w:rPr>
          <w:t xml:space="preserve">https://CRAN.R-project.org/package=psych</w:t>
        </w:r>
      </w:hyperlink>
    </w:p>
    <w:bookmarkEnd w:id="187"/>
    <w:bookmarkEnd w:id="188"/>
    <w:bookmarkEnd w:id="189"/>
    <w:bookmarkEnd w:id="190"/>
    <w:bookmarkEnd w:id="19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hyperlink" Id="rId153" Target="http://daniellakens.blogspot.com/2014/06/calculating-confidence-intervals-for.html" TargetMode="External" /><Relationship Type="http://schemas.openxmlformats.org/officeDocument/2006/relationships/hyperlink" Id="rId120" Target="http://github.com/doomlab/MOTE" TargetMode="External" /><Relationship Type="http://schemas.openxmlformats.org/officeDocument/2006/relationships/hyperlink" Id="rId184" Target="https://CRAN.R-project.org/package=MAd" TargetMode="External" /><Relationship Type="http://schemas.openxmlformats.org/officeDocument/2006/relationships/hyperlink" Id="rId147" Target="https://CRAN.R-project.org/package=MBESS" TargetMode="External" /><Relationship Type="http://schemas.openxmlformats.org/officeDocument/2006/relationships/hyperlink" Id="rId186" Target="https://CRAN.R-project.org/package=psych" TargetMode="External" /><Relationship Type="http://schemas.openxmlformats.org/officeDocument/2006/relationships/hyperlink" Id="rId138" Target="https://cir.nii.ac.jp/crid/1130000795088566912" TargetMode="External" /><Relationship Type="http://schemas.openxmlformats.org/officeDocument/2006/relationships/hyperlink" Id="rId76"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75" Target="https://cran.r-project.org/package=TOSTER"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116" Target="https://declaredesign.org/paper.pdf" TargetMode="External" /><Relationship Type="http://schemas.openxmlformats.org/officeDocument/2006/relationships/hyperlink" Id="rId141" Target="https://discourse.datamethods.org/t/author-checklist/3407" TargetMode="External" /><Relationship Type="http://schemas.openxmlformats.org/officeDocument/2006/relationships/hyperlink" Id="rId155" Target="https://doi.org/10.1002/ejsp.2752" TargetMode="External" /><Relationship Type="http://schemas.openxmlformats.org/officeDocument/2006/relationships/hyperlink" Id="rId182"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59" Target="https://doi.org/10.1017/S0140525X00027308" TargetMode="External" /><Relationship Type="http://schemas.openxmlformats.org/officeDocument/2006/relationships/hyperlink" Id="rId17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133" Target="https://doi.org/10.1037/a0024338" TargetMode="External" /><Relationship Type="http://schemas.openxmlformats.org/officeDocument/2006/relationships/hyperlink" Id="rId149" Target="https://doi.org/10.1037/a0028086" TargetMode="External" /><Relationship Type="http://schemas.openxmlformats.org/officeDocument/2006/relationships/hyperlink" Id="rId118" Target="https://doi.org/10.1037/a0038047" TargetMode="External" /><Relationship Type="http://schemas.openxmlformats.org/officeDocument/2006/relationships/hyperlink" Id="rId169" Target="https://doi.org/10.1080/00031305.2018.1549101" TargetMode="External" /><Relationship Type="http://schemas.openxmlformats.org/officeDocument/2006/relationships/hyperlink" Id="rId110" Target="https://doi.org/10.1111/j.2044-8317.1988.tb00901.x" TargetMode="External" /><Relationship Type="http://schemas.openxmlformats.org/officeDocument/2006/relationships/hyperlink" Id="rId127" Target="https://doi.org/10.1177/0146621618795933" TargetMode="External" /><Relationship Type="http://schemas.openxmlformats.org/officeDocument/2006/relationships/hyperlink" Id="rId165" Target="https://doi.org/10.1177/1548051815614321" TargetMode="External" /><Relationship Type="http://schemas.openxmlformats.org/officeDocument/2006/relationships/hyperlink" Id="rId129" Target="https://doi.org/10.1177/1948550617697177" TargetMode="External" /><Relationship Type="http://schemas.openxmlformats.org/officeDocument/2006/relationships/hyperlink" Id="rId135" Target="https://doi.org/10.1177/2515245919847202" TargetMode="External" /><Relationship Type="http://schemas.openxmlformats.org/officeDocument/2006/relationships/hyperlink" Id="rId163" Target="https://doi.org/10.1177/2515245920917961" TargetMode="External" /><Relationship Type="http://schemas.openxmlformats.org/officeDocument/2006/relationships/hyperlink" Id="rId180" Target="https://doi.org/10.18637/jss.v036.i03" TargetMode="External" /><Relationship Type="http://schemas.openxmlformats.org/officeDocument/2006/relationships/hyperlink" Id="rId112" Target="https://doi.org/10.21105/joss.02815" TargetMode="External" /><Relationship Type="http://schemas.openxmlformats.org/officeDocument/2006/relationships/hyperlink" Id="rId172" Target="https://doi.org/10.22237/jmasm/1257035100" TargetMode="External" /><Relationship Type="http://schemas.openxmlformats.org/officeDocument/2006/relationships/hyperlink" Id="rId143" Target="https://doi.org/10.3102/10769986006002107" TargetMode="External" /><Relationship Type="http://schemas.openxmlformats.org/officeDocument/2006/relationships/hyperlink" Id="rId122" Target="https://doi.org/10.31234/osf.io/ty8de" TargetMode="External" /><Relationship Type="http://schemas.openxmlformats.org/officeDocument/2006/relationships/hyperlink" Id="rId114" Target="https://doi.org/10.3390/math11091982" TargetMode="External" /><Relationship Type="http://schemas.openxmlformats.org/officeDocument/2006/relationships/hyperlink" Id="rId131" Target="https://doi.org/10.3758/BRM.41.4.1149" TargetMode="External" /><Relationship Type="http://schemas.openxmlformats.org/officeDocument/2006/relationships/hyperlink" Id="rId145" Target="https://doi.org/10.3758/s13423-013-0572-3" TargetMode="External" /><Relationship Type="http://schemas.openxmlformats.org/officeDocument/2006/relationships/hyperlink" Id="rId161" Target="https://doi.org/10.3758/s13423-015-0947-8" TargetMode="External" /><Relationship Type="http://schemas.openxmlformats.org/officeDocument/2006/relationships/hyperlink" Id="rId157" Target="https://doi.org/10.5281/zenodo.1249218" TargetMode="External" /><Relationship Type="http://schemas.openxmlformats.org/officeDocument/2006/relationships/hyperlink" Id="rId178" Target="https://doi.org/10.5281/zenodo.1480624"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108"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67" Target="https://ufs.opens.science" TargetMode="External" /><Relationship Type="http://schemas.openxmlformats.org/officeDocument/2006/relationships/hyperlink" Id="rId151" Target="https://www.frontiersin.org/articles/10.3389/fpsyg.2013.00863" TargetMode="External" /><Relationship Type="http://schemas.openxmlformats.org/officeDocument/2006/relationships/hyperlink" Id="rId174" Target="https://www.frontiersin.org/articles/10.3389/fpsyg.2019.00813" TargetMode="External" /><Relationship Type="http://schemas.openxmlformats.org/officeDocument/2006/relationships/hyperlink" Id="rId124"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53" Target="http://daniellakens.blogspot.com/2014/06/calculating-confidence-intervals-for.html" TargetMode="External" /><Relationship Type="http://schemas.openxmlformats.org/officeDocument/2006/relationships/hyperlink" Id="rId120" Target="http://github.com/doomlab/MOTE" TargetMode="External" /><Relationship Type="http://schemas.openxmlformats.org/officeDocument/2006/relationships/hyperlink" Id="rId184" Target="https://CRAN.R-project.org/package=MAd" TargetMode="External" /><Relationship Type="http://schemas.openxmlformats.org/officeDocument/2006/relationships/hyperlink" Id="rId147" Target="https://CRAN.R-project.org/package=MBESS" TargetMode="External" /><Relationship Type="http://schemas.openxmlformats.org/officeDocument/2006/relationships/hyperlink" Id="rId186" Target="https://CRAN.R-project.org/package=psych" TargetMode="External" /><Relationship Type="http://schemas.openxmlformats.org/officeDocument/2006/relationships/hyperlink" Id="rId138" Target="https://cir.nii.ac.jp/crid/1130000795088566912" TargetMode="External" /><Relationship Type="http://schemas.openxmlformats.org/officeDocument/2006/relationships/hyperlink" Id="rId76"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75" Target="https://cran.r-project.org/package=TOSTER"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116" Target="https://declaredesign.org/paper.pdf" TargetMode="External" /><Relationship Type="http://schemas.openxmlformats.org/officeDocument/2006/relationships/hyperlink" Id="rId141" Target="https://discourse.datamethods.org/t/author-checklist/3407" TargetMode="External" /><Relationship Type="http://schemas.openxmlformats.org/officeDocument/2006/relationships/hyperlink" Id="rId155" Target="https://doi.org/10.1002/ejsp.2752" TargetMode="External" /><Relationship Type="http://schemas.openxmlformats.org/officeDocument/2006/relationships/hyperlink" Id="rId182"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59" Target="https://doi.org/10.1017/S0140525X00027308" TargetMode="External" /><Relationship Type="http://schemas.openxmlformats.org/officeDocument/2006/relationships/hyperlink" Id="rId17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133" Target="https://doi.org/10.1037/a0024338" TargetMode="External" /><Relationship Type="http://schemas.openxmlformats.org/officeDocument/2006/relationships/hyperlink" Id="rId149" Target="https://doi.org/10.1037/a0028086" TargetMode="External" /><Relationship Type="http://schemas.openxmlformats.org/officeDocument/2006/relationships/hyperlink" Id="rId118" Target="https://doi.org/10.1037/a0038047" TargetMode="External" /><Relationship Type="http://schemas.openxmlformats.org/officeDocument/2006/relationships/hyperlink" Id="rId169" Target="https://doi.org/10.1080/00031305.2018.1549101" TargetMode="External" /><Relationship Type="http://schemas.openxmlformats.org/officeDocument/2006/relationships/hyperlink" Id="rId110" Target="https://doi.org/10.1111/j.2044-8317.1988.tb00901.x" TargetMode="External" /><Relationship Type="http://schemas.openxmlformats.org/officeDocument/2006/relationships/hyperlink" Id="rId127" Target="https://doi.org/10.1177/0146621618795933" TargetMode="External" /><Relationship Type="http://schemas.openxmlformats.org/officeDocument/2006/relationships/hyperlink" Id="rId165" Target="https://doi.org/10.1177/1548051815614321" TargetMode="External" /><Relationship Type="http://schemas.openxmlformats.org/officeDocument/2006/relationships/hyperlink" Id="rId129" Target="https://doi.org/10.1177/1948550617697177" TargetMode="External" /><Relationship Type="http://schemas.openxmlformats.org/officeDocument/2006/relationships/hyperlink" Id="rId135" Target="https://doi.org/10.1177/2515245919847202" TargetMode="External" /><Relationship Type="http://schemas.openxmlformats.org/officeDocument/2006/relationships/hyperlink" Id="rId163" Target="https://doi.org/10.1177/2515245920917961" TargetMode="External" /><Relationship Type="http://schemas.openxmlformats.org/officeDocument/2006/relationships/hyperlink" Id="rId180" Target="https://doi.org/10.18637/jss.v036.i03" TargetMode="External" /><Relationship Type="http://schemas.openxmlformats.org/officeDocument/2006/relationships/hyperlink" Id="rId112" Target="https://doi.org/10.21105/joss.02815" TargetMode="External" /><Relationship Type="http://schemas.openxmlformats.org/officeDocument/2006/relationships/hyperlink" Id="rId172" Target="https://doi.org/10.22237/jmasm/1257035100" TargetMode="External" /><Relationship Type="http://schemas.openxmlformats.org/officeDocument/2006/relationships/hyperlink" Id="rId143" Target="https://doi.org/10.3102/10769986006002107" TargetMode="External" /><Relationship Type="http://schemas.openxmlformats.org/officeDocument/2006/relationships/hyperlink" Id="rId122" Target="https://doi.org/10.31234/osf.io/ty8de" TargetMode="External" /><Relationship Type="http://schemas.openxmlformats.org/officeDocument/2006/relationships/hyperlink" Id="rId114" Target="https://doi.org/10.3390/math11091982" TargetMode="External" /><Relationship Type="http://schemas.openxmlformats.org/officeDocument/2006/relationships/hyperlink" Id="rId131" Target="https://doi.org/10.3758/BRM.41.4.1149" TargetMode="External" /><Relationship Type="http://schemas.openxmlformats.org/officeDocument/2006/relationships/hyperlink" Id="rId145" Target="https://doi.org/10.3758/s13423-013-0572-3" TargetMode="External" /><Relationship Type="http://schemas.openxmlformats.org/officeDocument/2006/relationships/hyperlink" Id="rId161" Target="https://doi.org/10.3758/s13423-015-0947-8" TargetMode="External" /><Relationship Type="http://schemas.openxmlformats.org/officeDocument/2006/relationships/hyperlink" Id="rId157" Target="https://doi.org/10.5281/zenodo.1249218" TargetMode="External" /><Relationship Type="http://schemas.openxmlformats.org/officeDocument/2006/relationships/hyperlink" Id="rId178" Target="https://doi.org/10.5281/zenodo.1480624"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108"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67" Target="https://ufs.opens.science" TargetMode="External" /><Relationship Type="http://schemas.openxmlformats.org/officeDocument/2006/relationships/hyperlink" Id="rId151" Target="https://www.frontiersin.org/articles/10.3389/fpsyg.2013.00863" TargetMode="External" /><Relationship Type="http://schemas.openxmlformats.org/officeDocument/2006/relationships/hyperlink" Id="rId174" Target="https://www.frontiersin.org/articles/10.3389/fpsyg.2019.00813" TargetMode="External" /><Relationship Type="http://schemas.openxmlformats.org/officeDocument/2006/relationships/hyperlink" Id="rId124"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2023-10-15T16:19:38Z</dcterms:created>
  <dcterms:modified xsi:type="dcterms:W3CDTF">2023-10-15T16:19:38Z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