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95.png" ContentType="image/png"/>
  <Override PartName="/word/media/rId8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Aaron R. Caldwell</w:t>
      </w:r>
      <w:r>
        <w:rPr>
          <w:vertAlign w:val="superscript"/>
        </w:rPr>
        <w:t xml:space="preserve">8</w:t>
      </w:r>
      <w:r>
        <w:t xml:space="preserve">, Blair T. Johnson</w:t>
      </w:r>
      <w:r>
        <w:rPr>
          <w:vertAlign w:val="superscript"/>
        </w:rPr>
        <w:t xml:space="preserve">1</w:t>
      </w:r>
      <w:r>
        <w:t xml:space="preserve">, and Gilad Feldman</w:t>
      </w:r>
      <w:r>
        <w:rPr>
          <w:vertAlign w:val="superscript"/>
        </w:rPr>
        <w:t xml:space="preserve">9</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Chinese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Fay W. Boozman College of Public Health, University of Arkansas for Medical Sciences</w:t>
      </w:r>
    </w:p>
    <w:p>
      <w:pPr>
        <w:pStyle w:val="Author"/>
      </w:pPr>
      <w:r>
        <w:rPr>
          <w:vertAlign w:val="superscript"/>
        </w:rPr>
        <w:t xml:space="preserve">9</w:t>
      </w:r>
      <w:r>
        <w:t xml:space="preserve">Department of Psychology, University of Hong Kong</w:t>
      </w:r>
    </w:p>
    <w:p>
      <w:pPr>
        <w:pStyle w:val="BodyText"/>
      </w:pPr>
    </w:p>
    <w:bookmarkEnd w:id="20"/>
    <w:bookmarkStart w:id="40"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Aaron R. Caldwell</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https://orcid.org/0000-0002-4541-6283</w:t>
      </w:r>
    </w:p>
    <w:p>
      <w:pPr>
        <w:pStyle w:val="AuthorNote"/>
      </w:pPr>
      <w:r>
        <w:t xml:space="preserve">Gilad Feldman</w:t>
      </w:r>
      <w:r>
        <w:t xml:space="preserve"> </w:t>
      </w:r>
      <w:r>
        <w:drawing>
          <wp:inline>
            <wp:extent cx="152400" cy="152400"/>
            <wp:effectExtent b="0" l="0" r="0" t="0"/>
            <wp:docPr descr="Orch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Department of Psychology, University of Hong Kong, Email: gfeldman@hku.hk</w:t>
      </w:r>
    </w:p>
    <w:bookmarkEnd w:id="40"/>
    <w:p>
      <w:r>
        <w:br w:type="page"/>
      </w:r>
    </w:p>
    <w:bookmarkStart w:id="41"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41"/>
    <w:p>
      <w:r>
        <w:br w:type="page"/>
      </w:r>
    </w:p>
    <w:bookmarkStart w:id="226"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2">
        <w:r>
          <w:rPr>
            <w:rStyle w:val="Hyperlink"/>
          </w:rPr>
          <w:t xml:space="preserve">https://mgto.org/effectsizeguide</w:t>
        </w:r>
      </w:hyperlink>
      <w:r>
        <w:t xml:space="preserve">. A similar guide on power analysis can be found at:</w:t>
      </w:r>
      <w:r>
        <w:t xml:space="preserve"> </w:t>
      </w:r>
      <w:hyperlink r:id="rId43">
        <w:r>
          <w:rPr>
            <w:rStyle w:val="Hyperlink"/>
          </w:rPr>
          <w:t xml:space="preserve">https://mgto.org/poweranalysisguide</w:t>
        </w:r>
      </w:hyperlink>
      <w:r>
        <w:t xml:space="preserve">. This guide is shared under the</w:t>
      </w:r>
      <w:r>
        <w:t xml:space="preserve"> </w:t>
      </w:r>
      <w:hyperlink r:id="rId44">
        <w:r>
          <w:rPr>
            <w:rStyle w:val="Hyperlink"/>
          </w:rPr>
          <w:t xml:space="preserve">Attribution-NonCommercial-ShareAlike 4.0 International (CC BY-NC-SA 4.0)</w:t>
        </w:r>
      </w:hyperlink>
      <w:r>
        <w:t xml:space="preserve"> </w:t>
      </w:r>
      <w:r>
        <w:t xml:space="preserve">license.</w:t>
      </w:r>
    </w:p>
    <w:bookmarkStart w:id="47"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5"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5"/>
    <w:bookmarkStart w:id="46"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6"/>
    <w:bookmarkEnd w:id="47"/>
    <w:bookmarkStart w:id="49"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8"/>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9"/>
    <w:bookmarkStart w:id="59"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50">
        <w:r>
          <w:rPr>
            <w:rStyle w:val="Hyperlink"/>
          </w:rPr>
          <w:t xml:space="preserve">this</w:t>
        </w:r>
      </w:hyperlink>
      <w:r>
        <w:t xml:space="preserve"> </w:t>
      </w:r>
      <w:r>
        <w:t xml:space="preserve">and</w:t>
      </w:r>
      <w:r>
        <w:t xml:space="preserve"> </w:t>
      </w:r>
      <w:hyperlink r:id="rId51">
        <w:r>
          <w:rPr>
            <w:rStyle w:val="Hyperlink"/>
          </w:rPr>
          <w:t xml:space="preserve">this</w:t>
        </w:r>
      </w:hyperlink>
      <w:r>
        <w:t xml:space="preserve">; see</w:t>
      </w:r>
      <w:r>
        <w:t xml:space="preserve"> </w:t>
      </w:r>
      <w:hyperlink r:id="rId52">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3"/>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4"/>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5"/>
            </w:r>
            <w:r>
              <w:rPr>
                <w:rStyle w:val="FootnoteReference"/>
              </w:rPr>
              <w:footnoteReference w:id="56"/>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8"/>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9"/>
    <w:bookmarkStart w:id="64" w:name="reporting-effect-sizes"/>
    <w:p>
      <w:pPr>
        <w:pStyle w:val="Heading2"/>
      </w:pPr>
      <w:r>
        <w:t xml:space="preserve">Reporting Effect Sizes</w:t>
      </w:r>
    </w:p>
    <w:bookmarkStart w:id="60"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60"/>
    <w:bookmarkStart w:id="62"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61"/>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2"/>
    <w:bookmarkStart w:id="63"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3"/>
    <w:bookmarkEnd w:id="64"/>
    <w:bookmarkStart w:id="65"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5"/>
    <w:bookmarkStart w:id="66"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6"/>
    <w:bookmarkStart w:id="79"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7">
        <w:r>
          <w:rPr>
            <w:rStyle w:val="Hyperlink"/>
          </w:rPr>
          <w:t xml:space="preserve">doomlab.shinyapps.io/mote/</w:t>
        </w:r>
      </w:hyperlink>
      <w:r>
        <w:t xml:space="preserve">). The CRAN project can be found here:</w:t>
      </w:r>
      <w:r>
        <w:t xml:space="preserve"> </w:t>
      </w:r>
      <w:hyperlink r:id="rId68">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et al.,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9">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70">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71">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2">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3">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&amp;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4">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75">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76">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(Daniel et al., 2017)</w:t>
      </w:r>
      <w:r>
        <w:t xml:space="preserve">: This package is used for equivalence testing. It contains many functions to test for differences in effect sizes along with other useful functions for effect size comparisons. The CRAN project can be found here:</w:t>
      </w:r>
      <w:r>
        <w:t xml:space="preserve"> </w:t>
      </w:r>
      <w:hyperlink r:id="rId77">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8">
        <w:r>
          <w:rPr>
            <w:rStyle w:val="Hyperlink"/>
          </w:rPr>
          <w:t xml:space="preserve">cran.r-project.org/package=DeclareDesign</w:t>
        </w:r>
      </w:hyperlink>
      <w:r>
        <w:t xml:space="preserve">.</w:t>
      </w:r>
    </w:p>
    <w:bookmarkEnd w:id="79"/>
    <w:bookmarkStart w:id="94" w:name="X98183e3b3beca1733b0791a5a1ee093888c85d3"/>
    <w:p>
      <w:pPr>
        <w:pStyle w:val="Heading2"/>
      </w:pPr>
      <w:r>
        <w:t xml:space="preserve">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Caldwell, n.d.; Cohen, 1988; Glass et al., 1981; Lakens, 2013)</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w:bookmarkStart w:id="80" w:name="eq-ci-low"/>
      <m:oMathPara>
        <m:oMathParaPr>
          <m:jc m:val="center"/>
        </m:oMathParaPr>
        <m:oMath>
          <m:r>
            <m:rPr>
              <m:nor/>
              <m:sty m:val="p"/>
            </m:rPr>
            <m:t>Lower Bound</m:t>
          </m:r>
          <m:r>
            <m:rPr>
              <m:sty m:val="p"/>
            </m:rPr>
            <m:t>=</m:t>
          </m:r>
          <m:r>
            <m:t>d</m:t>
          </m:r>
          <m:r>
            <m:rPr>
              <m:sty m:val="p"/>
            </m:rPr>
            <m:t>−</m:t>
          </m:r>
          <m:r>
            <m:t>1.96</m:t>
          </m:r>
          <m:r>
            <m:rPr>
              <m:sty m:val="p"/>
            </m:rPr>
            <m:t>×</m:t>
          </m:r>
          <m:r>
            <m:t>S</m:t>
          </m:r>
          <m:r>
            <m:t>E</m:t>
          </m:r>
          <m:r>
            <m:t>  </m:t>
          </m:r>
          <m:d>
            <m:dPr>
              <m:begChr m:val="("/>
              <m:endChr m:val=")"/>
              <m:sepChr m:val=""/>
              <m:grow/>
            </m:dPr>
            <m:e>
              <m:r>
                <m:t>1</m:t>
              </m:r>
            </m:e>
          </m:d>
        </m:oMath>
      </m:oMathPara>
      <w:bookmarkEnd w:id="80"/>
    </w:p>
    <w:p>
      <w:pPr>
        <w:pStyle w:val="FirstParagraph"/>
      </w:pPr>
      <w:bookmarkStart w:id="81" w:name="eq-ci-high"/>
      <m:oMathPara>
        <m:oMathParaPr>
          <m:jc m:val="center"/>
        </m:oMathParaPr>
        <m:oMath>
          <m:r>
            <m:rPr>
              <m:nor/>
              <m:sty m:val="p"/>
            </m:rPr>
            <m:t>Upper Bound</m:t>
          </m:r>
          <m:r>
            <m:rPr>
              <m:sty m:val="p"/>
            </m:rPr>
            <m:t>=</m:t>
          </m:r>
          <m:r>
            <m:t>d</m:t>
          </m:r>
          <m:r>
            <m:rPr>
              <m:sty m:val="p"/>
            </m:rPr>
            <m:t>+</m:t>
          </m:r>
          <m:r>
            <m:t>1.96</m:t>
          </m:r>
          <m:r>
            <m:rPr>
              <m:sty m:val="p"/>
            </m:rPr>
            <m:t>×</m:t>
          </m:r>
          <m:r>
            <m:t>S</m:t>
          </m:r>
          <m:r>
            <m:t>E</m:t>
          </m:r>
          <m:r>
            <m:t>  </m:t>
          </m:r>
          <m:d>
            <m:dPr>
              <m:begChr m:val="("/>
              <m:endChr m:val=")"/>
              <m:sepChr m:val=""/>
              <m:grow/>
            </m:dPr>
            <m:e>
              <m:r>
                <m:t>2</m:t>
              </m:r>
            </m:e>
          </m:d>
        </m:oMath>
      </m:oMathPara>
      <w:bookmarkEnd w:id="81"/>
    </w:p>
    <w:p>
      <w:pPr>
        <w:pStyle w:val="FirstParagraph"/>
      </w:pPr>
      <w:r>
        <w:t xml:space="preserve">Lastly, we will supply example R code so you can apply to your own data.</w:t>
      </w:r>
    </w:p>
    <w:bookmarkStart w:id="82"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82"/>
    <w:bookmarkStart w:id="83" w:name="two-groups-design"/>
    <w:p>
      <w:pPr>
        <w:pStyle w:val="Heading3"/>
      </w:pPr>
      <w:r>
        <w:t xml:space="preserve">Two Groups Design</w:t>
      </w:r>
    </w:p>
    <w:p>
      <w:pPr>
        <w:pStyle w:val="Heading4"/>
        <w:rPr>
          <w:vanish/>
          <w:specVanish/>
        </w:rPr>
      </w:pPr>
      <w:r>
        <w:t>Standardize by Pooled Standard Deviation (d_p).</w:t>
      </w:r>
      <w:r>
        <w:t xml:space="preserve"> </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p>
      <w:pPr>
        <w:pStyle w:val="Heading4"/>
        <w:rPr>
          <w:vanish/>
          <w:specVanish/>
        </w:rPr>
      </w:pPr>
      <w:r>
        <w:t>Standardize by Control Group Standard Deviation (d_{\Delta}).</w:t>
      </w:r>
      <w:r>
        <w:t xml:space="preserve"> </w:t>
      </w:r>
    </w:p>
    <w:p>
      <w:pPr>
        <w:pStyle w:val="BodyText"/>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83"/>
    <w:bookmarkStart w:id="92"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7" w:name="fig-repeatedmeasures"/>
          <w:p>
            <w:pPr>
              <w:jc w:val="center"/>
            </w:pPr>
            <w:r>
              <w:drawing>
                <wp:inline>
                  <wp:extent cx="5943600" cy="5943600"/>
                  <wp:effectExtent b="0" l="0" r="0" t="0"/>
                  <wp:docPr descr="" title="" id="85" name="Picture"/>
                  <a:graphic>
                    <a:graphicData uri="http://schemas.openxmlformats.org/drawingml/2006/picture">
                      <pic:pic>
                        <pic:nvPicPr>
                          <pic:cNvPr descr="index_files/figure-docx/fig-repeatedmeasures-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7"/>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BodyText"/>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p>
      <w:pPr>
        <w:pStyle w:val="Heading4"/>
        <w:rPr>
          <w:vanish/>
          <w:specVanish/>
        </w:rPr>
      </w:pPr>
      <w:r>
        <w:t>Becker’s d (d_b).</w:t>
      </w:r>
      <w:r>
        <w:t xml:space="preserve"> </w:t>
      </w:r>
    </w:p>
    <w:p>
      <w:pPr>
        <w:pStyle w:val="BodyText"/>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a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p>
      <w:pPr>
        <w:pStyle w:val="Heading4"/>
        <w:rPr>
          <w:vanish/>
          <w:specVanish/>
        </w:rPr>
      </w:pPr>
      <w:r>
        <w:t>Comparing Repeated Measures d values.</w:t>
      </w:r>
      <w:r>
        <w:t xml:space="preserve"> </w:t>
      </w:r>
    </w:p>
    <w:p>
      <w:pPr>
        <w:pStyle w:val="BodyText"/>
      </w:pPr>
      <w:hyperlink w:anchor="fig-correlation-comp">
        <w:r>
          <w:rPr>
            <w:rStyle w:val="Hyperlink"/>
          </w:rPr>
          <w:t xml:space="preserve">Figure 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2</w:t>
        </w:r>
      </w:hyperlink>
      <w:r>
        <w:t xml:space="preserve">:</w:t>
      </w:r>
    </w:p>
    <w:p>
      <w:pPr>
        <w:numPr>
          <w:ilvl w:val="0"/>
          <w:numId w:val="1004"/>
        </w:numPr>
        <w:pStyle w:val="Compact"/>
      </w:pPr>
      <w:r>
        <w:t xml:space="preserve">High correlation:</w:t>
      </w:r>
    </w:p>
    <w:p>
      <w:pPr>
        <w:numPr>
          <w:ilvl w:val="1"/>
          <w:numId w:val="1005"/>
        </w:numPr>
        <w:pStyle w:val="Compact"/>
      </w:pPr>
      <m:oMath>
        <m:sSub>
          <m:e>
            <m:r>
              <m:t>d</m:t>
            </m:r>
          </m:e>
          <m:sub>
            <m:r>
              <m:t>z</m:t>
            </m:r>
          </m:sub>
        </m:sSub>
        <m:r>
          <m:rPr>
            <m:sty m:val="p"/>
          </m:rPr>
          <m:t>=</m:t>
        </m:r>
        <m:r>
          <m:t>1.24</m:t>
        </m:r>
      </m:oMath>
    </w:p>
    <w:p>
      <w:pPr>
        <w:numPr>
          <w:ilvl w:val="1"/>
          <w:numId w:val="1005"/>
        </w:numPr>
        <w:pStyle w:val="Compact"/>
      </w:pPr>
      <m:oMath>
        <m:sSub>
          <m:e>
            <m:r>
              <m:t>d</m:t>
            </m:r>
          </m:e>
          <m:sub>
            <m:r>
              <m:t>r</m:t>
            </m:r>
            <m:r>
              <m:t>m</m:t>
            </m:r>
          </m:sub>
        </m:sSub>
        <m:r>
          <m:rPr>
            <m:sty m:val="p"/>
          </m:rPr>
          <m:t>=</m:t>
        </m:r>
        <m:r>
          <m:t>0.39</m:t>
        </m:r>
      </m:oMath>
    </w:p>
    <w:p>
      <w:pPr>
        <w:numPr>
          <w:ilvl w:val="1"/>
          <w:numId w:val="1005"/>
        </w:numPr>
        <w:pStyle w:val="Compact"/>
      </w:pPr>
      <m:oMath>
        <m:sSub>
          <m:e>
            <m:r>
              <m:t>d</m:t>
            </m:r>
          </m:e>
          <m:sub>
            <m:r>
              <m:t>a</m:t>
            </m:r>
            <m:r>
              <m:t>v</m:t>
            </m:r>
          </m:sub>
        </m:sSub>
        <m:r>
          <m:rPr>
            <m:sty m:val="p"/>
          </m:rPr>
          <m:t>=</m:t>
        </m:r>
        <m:r>
          <m:t>0.43</m:t>
        </m:r>
      </m:oMath>
    </w:p>
    <w:p>
      <w:pPr>
        <w:numPr>
          <w:ilvl w:val="1"/>
          <w:numId w:val="1005"/>
        </w:numPr>
        <w:pStyle w:val="Compact"/>
      </w:pPr>
      <m:oMath>
        <m:sSub>
          <m:e>
            <m:r>
              <m:t>d</m:t>
            </m:r>
          </m:e>
          <m:sub>
            <m:r>
              <m:t>b</m:t>
            </m:r>
          </m:sub>
        </m:sSub>
        <m:r>
          <m:rPr>
            <m:sty m:val="p"/>
          </m:rPr>
          <m:t>=</m:t>
        </m:r>
        <m:r>
          <m:t>0.40</m:t>
        </m:r>
      </m:oMath>
    </w:p>
    <w:p>
      <w:pPr>
        <w:numPr>
          <w:ilvl w:val="0"/>
          <w:numId w:val="1004"/>
        </w:numPr>
        <w:pStyle w:val="Compact"/>
      </w:pPr>
      <w:r>
        <w:t xml:space="preserve">Low correlation:</w:t>
      </w:r>
    </w:p>
    <w:p>
      <w:pPr>
        <w:numPr>
          <w:ilvl w:val="1"/>
          <w:numId w:val="1006"/>
        </w:numPr>
        <w:pStyle w:val="Compact"/>
      </w:pPr>
      <m:oMath>
        <m:sSub>
          <m:e>
            <m:r>
              <m:t>d</m:t>
            </m:r>
          </m:e>
          <m:sub>
            <m:r>
              <m:t>z</m:t>
            </m:r>
          </m:sub>
        </m:sSub>
        <m:r>
          <m:rPr>
            <m:sty m:val="p"/>
          </m:rPr>
          <m:t>=</m:t>
        </m:r>
        <m:r>
          <m:t>0.31</m:t>
        </m:r>
      </m:oMath>
    </w:p>
    <w:p>
      <w:pPr>
        <w:numPr>
          <w:ilvl w:val="1"/>
          <w:numId w:val="1006"/>
        </w:numPr>
        <w:pStyle w:val="Compact"/>
      </w:pPr>
      <m:oMath>
        <m:sSub>
          <m:e>
            <m:r>
              <m:t>d</m:t>
            </m:r>
          </m:e>
          <m:sub>
            <m:r>
              <m:t>r</m:t>
            </m:r>
            <m:r>
              <m:t>m</m:t>
            </m:r>
          </m:sub>
        </m:sSub>
        <m:r>
          <m:rPr>
            <m:sty m:val="p"/>
          </m:rPr>
          <m:t>=</m:t>
        </m:r>
        <m:r>
          <m:t>0.43</m:t>
        </m:r>
      </m:oMath>
    </w:p>
    <w:p>
      <w:pPr>
        <w:numPr>
          <w:ilvl w:val="1"/>
          <w:numId w:val="1006"/>
        </w:numPr>
        <w:pStyle w:val="Compact"/>
      </w:pPr>
      <m:oMath>
        <m:sSub>
          <m:e>
            <m:r>
              <m:t>d</m:t>
            </m:r>
          </m:e>
          <m:sub>
            <m:r>
              <m:t>a</m:t>
            </m:r>
            <m:r>
              <m:t>v</m:t>
            </m:r>
          </m:sub>
        </m:sSub>
        <m:r>
          <m:rPr>
            <m:sty m:val="p"/>
          </m:rPr>
          <m:t>=</m:t>
        </m:r>
        <m:r>
          <m:t>0.43</m:t>
        </m:r>
      </m:oMath>
    </w:p>
    <w:p>
      <w:pPr>
        <w:numPr>
          <w:ilvl w:val="1"/>
          <w:numId w:val="1006"/>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91" w:name="fig-correlation-comp"/>
          <w:p>
            <w:pPr>
              <w:jc w:val="center"/>
            </w:pPr>
            <w:r>
              <w:drawing>
                <wp:inline>
                  <wp:extent cx="5943600" cy="5943600"/>
                  <wp:effectExtent b="0" l="0" r="0" t="0"/>
                  <wp:docPr descr="" title="" id="89" name="Picture"/>
                  <a:graphic>
                    <a:graphicData uri="http://schemas.openxmlformats.org/drawingml/2006/picture">
                      <pic:pic>
                        <pic:nvPicPr>
                          <pic:cNvPr descr="index_files/figure-docx/fig-correlation-comp-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displaying simulated data of a repeated measures design, the x-axis shows the condition (e.g., pre-test and post-test) and y-axis is the scores. Lines connect the change within subject from one condition to the next.</w:t>
            </w:r>
          </w:p>
          <w:bookmarkEnd w:id="91"/>
        </w:tc>
      </w:tr>
    </w:tbl>
    <w:bookmarkEnd w:id="92"/>
    <w:bookmarkStart w:id="93" w:name="small-sample-bias-in-d-values"/>
    <w:p>
      <w:pPr>
        <w:pStyle w:val="Heading3"/>
      </w:pPr>
      <w:r>
        <w:t xml:space="preserve">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7"/>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7"/>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7"/>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7"/>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 as well using</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3"/>
    <w:bookmarkEnd w:id="94"/>
    <w:bookmarkStart w:id="99" w:name="Xd66ac7d3670ee7ff99efbb3673e9bae8cf091e0"/>
    <w:p>
      <w:pPr>
        <w:pStyle w:val="Heading2"/>
      </w:pPr>
      <w:r>
        <w:t xml:space="preserve">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3</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98" w:name="fig-cor-example"/>
          <w:p>
            <w:pPr>
              <w:jc w:val="center"/>
            </w:pPr>
            <w:r>
              <w:drawing>
                <wp:inline>
                  <wp:extent cx="5943600" cy="5486400"/>
                  <wp:effectExtent b="0" l="0" r="0" t="0"/>
                  <wp:docPr descr="" title="" id="96" name="Picture"/>
                  <a:graphic>
                    <a:graphicData uri="http://schemas.openxmlformats.org/drawingml/2006/picture">
                      <pic:pic>
                        <pic:nvPicPr>
                          <pic:cNvPr descr="index_files/figure-docx/fig-cor-example-1.png" id="97" name="Picture"/>
                          <pic:cNvPicPr>
                            <a:picLocks noChangeArrowheads="1" noChangeAspect="1"/>
                          </pic:cNvPicPr>
                        </pic:nvPicPr>
                        <pic:blipFill>
                          <a:blip r:embed="rId95"/>
                          <a:stretch>
                            <a:fillRect/>
                          </a:stretch>
                        </pic:blipFill>
                        <pic:spPr bwMode="auto">
                          <a:xfrm>
                            <a:off x="0" y="0"/>
                            <a:ext cx="59436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Simulated data from a bivariate normal distribution displaying 6 different correlations, r = 0, .20, .40, .60, .80, and 1.00.</w:t>
            </w:r>
          </w:p>
          <w:bookmarkEnd w:id="98"/>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r>
                    <m:t>1</m:t>
                  </m:r>
                  <m:r>
                    <m:rPr>
                      <m:sty m:val="p"/>
                    </m:rPr>
                    <m:t>−</m:t>
                  </m:r>
                  <m:sSup>
                    <m:e>
                      <m:r>
                        <m:t>r</m:t>
                      </m:r>
                    </m:e>
                    <m:sup>
                      <m:r>
                        <m:t>2</m:t>
                      </m:r>
                    </m:sup>
                  </m:sSup>
                </m:num>
                <m:den>
                  <m:r>
                    <m:t>n</m:t>
                  </m:r>
                  <m:r>
                    <m:rPr>
                      <m:sty m:val="p"/>
                    </m:rPr>
                    <m:t>−</m:t>
                  </m:r>
                  <m:r>
                    <m:t>2</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w:t>
      </w:r>
      <w:r>
        <w:t xml:space="preserve"> </w:t>
      </w:r>
      <w:r>
        <w:rPr>
          <w:iCs/>
          <w:i/>
        </w:rPr>
        <w:t xml:space="preserve">is</w:t>
      </w:r>
      <w:r>
        <w:t xml:space="preserve"> </w:t>
      </w:r>
      <w:r>
        <w:t xml:space="preserve">symmetric and normal. This asymmetric does not allow us to calculate the confidence intervals like how we did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Instead, to obtain the confidence intervals of</w:t>
      </w:r>
      <w:r>
        <w:t xml:space="preserve"> </w:t>
      </w:r>
      <m:oMath>
        <m:r>
          <m:t>r</m:t>
        </m:r>
      </m:oMath>
      <w:r>
        <w:t xml:space="preserve">, we first need to apply a Fisher’s Z transformation. A Fisher’s Z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r>
          <m:t>Z</m:t>
        </m:r>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w:t>
      </w:r>
    </w:p>
    <w:p>
      <w:pPr>
        <w:pStyle w:val="BodyText"/>
      </w:pPr>
      <m:oMathPara>
        <m:oMathParaPr>
          <m:jc m:val="center"/>
        </m:oMathParaPr>
        <m:oMath>
          <m:r>
            <m:t>C</m:t>
          </m:r>
          <m:sSub>
            <m:e>
              <m:r>
                <m:t>I</m:t>
              </m:r>
            </m:e>
            <m:sub>
              <m:sSub>
                <m:e>
                  <m:r>
                    <m:t>Z</m:t>
                  </m:r>
                </m:e>
                <m:sub>
                  <m:r>
                    <m:t>r</m:t>
                  </m:r>
                </m:sub>
              </m:sSub>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m:oMathPara>
        <m:oMathParaPr>
          <m:jc m:val="center"/>
        </m:oMathParaPr>
        <m:oMath>
          <m:sSub>
            <m:e>
              <m:r>
                <m:t>r</m:t>
              </m:r>
            </m:e>
            <m:sub>
              <m:r>
                <m:t>L</m:t>
              </m:r>
              <m:r>
                <m:t>O</m:t>
              </m:r>
            </m:sub>
          </m:sSub>
          <m:r>
            <m:rPr>
              <m:sty m:val="p"/>
            </m:rPr>
            <m:t>=</m:t>
          </m:r>
          <m:r>
            <m:rPr>
              <m:nor/>
              <m:sty m:val="p"/>
            </m:rPr>
            <m:t>tanh</m:t>
          </m:r>
          <m:d>
            <m:dPr>
              <m:begChr m:val="("/>
              <m:endChr m:val=")"/>
              <m:sepChr m:val=""/>
              <m:grow/>
            </m:dPr>
            <m:e>
              <m:sSub>
                <m:e>
                  <m:r>
                    <m:t>Z</m:t>
                  </m:r>
                </m:e>
                <m:sub>
                  <m:r>
                    <m:t>L</m:t>
                  </m:r>
                  <m:r>
                    <m:t>O</m:t>
                  </m:r>
                </m:sub>
              </m:sSub>
            </m:e>
          </m:d>
        </m:oMath>
      </m:oMathPara>
    </w:p>
    <w:p>
      <w:pPr>
        <w:pStyle w:val="FirstParagraph"/>
      </w:pPr>
      <m:oMathPara>
        <m:oMathParaPr>
          <m:jc m:val="center"/>
        </m:oMathParaPr>
        <m:oMath>
          <m:sSub>
            <m:e>
              <m:r>
                <m:t>r</m:t>
              </m:r>
            </m:e>
            <m:sub>
              <m:r>
                <m:t>U</m:t>
              </m:r>
              <m:r>
                <m:t>P</m:t>
              </m:r>
            </m:sub>
          </m:sSub>
          <m:r>
            <m:rPr>
              <m:sty m:val="p"/>
            </m:rPr>
            <m:t>=</m:t>
          </m:r>
          <m:r>
            <m:rPr>
              <m:nor/>
              <m:sty m:val="p"/>
            </m:rPr>
            <m:t>tanh</m:t>
          </m:r>
          <m:d>
            <m:dPr>
              <m:begChr m:val="("/>
              <m:endChr m:val=")"/>
              <m:sepChr m:val=""/>
              <m:grow/>
            </m:dPr>
            <m:e>
              <m:sSub>
                <m:e>
                  <m:r>
                    <m:t>Z</m:t>
                  </m:r>
                </m:e>
                <m:sub>
                  <m:r>
                    <m:t>U</m:t>
                  </m:r>
                  <m:r>
                    <m:t>P</m:t>
                  </m:r>
                </m:sub>
              </m:sSub>
            </m:e>
          </m:d>
        </m:oMath>
      </m:oMathPara>
    </w:p>
    <w:p>
      <w:pPr>
        <w:pStyle w:val="FirstParagraph"/>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99"/>
    <w:bookmarkStart w:id="111" w:name="effect-sizes-for-categorical-variables"/>
    <w:p>
      <w:pPr>
        <w:pStyle w:val="Heading2"/>
      </w:pPr>
      <w:r>
        <w:t xml:space="preserve">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01" w:name="phi-coefficient-phi"/>
    <w:p>
      <w:pPr>
        <w:pStyle w:val="Heading3"/>
      </w:pPr>
      <w:r>
        <w:t xml:space="preserve">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w:t>
        </w:r>
      </w:hyperlink>
      <w:r>
        <w:t xml:space="preserve">.</w:t>
      </w:r>
    </w:p>
    <w:bookmarkStart w:id="100" w:name="tbl-contingency"/>
    <w:p>
      <w:pPr>
        <w:pStyle w:val="TableCaption"/>
      </w:pPr>
      <w:r>
        <w:t xml:space="preserve">Table 1: Contingency table between two binary variables</w:t>
      </w:r>
    </w:p>
    <w:tbl>
      <w:tblPr>
        <w:tblStyle w:val="Table"/>
        <w:tblW w:type="auto" w:w="0"/>
        <w:tblLook w:firstRow="1" w:lastRow="0" w:firstColumn="0" w:lastColumn="0" w:noHBand="0" w:noVBand="0" w:val="0020"/>
        <w:jc w:val="start"/>
        <w:tblCaption w:val="Table 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00"/>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(psych)</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w:t>
      </w:r>
      <w:r>
        <w:br/>
      </w:r>
      <w:r>
        <w:br/>
      </w:r>
      <w:r>
        <w:rPr>
          <w:rStyle w:val="NormalTok"/>
        </w:rPr>
        <w:t xml:space="preserve">phi_coefficient</w:t>
      </w:r>
    </w:p>
    <w:p>
      <w:pPr>
        <w:pStyle w:val="SourceCode"/>
      </w:pPr>
      <w:r>
        <w:rPr>
          <w:rStyle w:val="VerbatimChar"/>
        </w:rPr>
        <w:t xml:space="preserve">[1] 0.51</w:t>
      </w:r>
    </w:p>
    <w:p>
      <w:pPr>
        <w:pStyle w:val="FirstParagraph"/>
      </w:pPr>
      <w:r>
        <w:t xml:space="preserve">In our example we obtained a phi coefficient of</w:t>
      </w:r>
      <w:r>
        <w:t xml:space="preserve"> </w:t>
      </w:r>
      <m:oMath>
        <m:r>
          <m:t>ϕ</m:t>
        </m:r>
      </m:oMath>
      <w:r>
        <w:t xml:space="preserve"> </w:t>
      </w:r>
      <w:r>
        <w:t xml:space="preserve">= .51.</w:t>
      </w:r>
    </w:p>
    <w:bookmarkEnd w:id="101"/>
    <w:bookmarkStart w:id="103" w:name="cramers-v"/>
    <w:p>
      <w:pPr>
        <w:pStyle w:val="Heading3"/>
      </w:pPr>
      <w:r>
        <w:t xml:space="preserve">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02" w:name="tbl-contingency-2"/>
    <w:p>
      <w:pPr>
        <w:pStyle w:val="TableCaption"/>
      </w:pPr>
      <w:r>
        <w:t xml:space="preserve">Table 2: Contingency table between two categorical variables</w:t>
      </w:r>
    </w:p>
    <w:tbl>
      <w:tblPr>
        <w:tblStyle w:val="Table"/>
        <w:tblW w:type="auto" w:w="0"/>
        <w:tblLook w:firstRow="1" w:lastRow="0" w:firstColumn="0" w:lastColumn="0" w:noHBand="0" w:noVBand="0" w:val="0020"/>
        <w:jc w:val="start"/>
        <w:tblCaption w:val="Table 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02"/>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 3$</w:t>
      </w:r>
      <w:r>
        <w:t xml:space="preserve">$4 continency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standard errors and corresponding 95% confidence intervals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sSub>
                <m:e>
                  <m:r>
                    <m:t>Z</m:t>
                  </m:r>
                </m:e>
                <m:sub>
                  <m:r>
                    <m:t>V</m:t>
                  </m:r>
                </m:sub>
              </m:sSub>
            </m:sub>
          </m:sSub>
          <m:r>
            <m:rPr>
              <m:sty m:val="p"/>
            </m:rPr>
            <m:t>=</m:t>
          </m:r>
          <m:sSub>
            <m:e>
              <m:r>
                <m:t>Z</m:t>
              </m:r>
            </m:e>
            <m:sub>
              <m:r>
                <m:t>V</m:t>
              </m:r>
            </m:sub>
          </m:sSub>
          <m:r>
            <m:rPr>
              <m:sty m:val="p"/>
            </m:rPr>
            <m:t>±</m:t>
          </m:r>
          <m:r>
            <m:t>1.96</m:t>
          </m:r>
          <m:r>
            <m:rPr>
              <m:sty m:val="p"/>
            </m:rPr>
            <m:t>×</m:t>
          </m:r>
          <m:r>
            <m:t>S</m:t>
          </m:r>
          <m:sSub>
            <m:e>
              <m:r>
                <m:t>E</m:t>
              </m:r>
            </m:e>
            <m:sub>
              <m:sSub>
                <m:e>
                  <m:r>
                    <m:t>Z</m:t>
                  </m:r>
                </m:e>
                <m:sub>
                  <m:r>
                    <m:t>V</m:t>
                  </m:r>
                </m:sub>
              </m:sSub>
            </m:sub>
          </m:sSub>
        </m:oMath>
      </m:oMathPara>
    </w:p>
    <w:p>
      <w:pPr>
        <w:pStyle w:val="FirstParagraph"/>
      </w:pPr>
      <w:r>
        <w:t xml:space="preserve">Then we can backtransform the upper and lower bound back into Cramer’s</w:t>
      </w:r>
      <w:r>
        <w:t xml:space="preserve"> </w:t>
      </w:r>
      <m:oMath>
        <m:r>
          <m:t>V</m:t>
        </m:r>
      </m:oMath>
      <w:r>
        <w:t xml:space="preserve">, such that</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 </w:t>
      </w:r>
      <w:r>
        <w:t xml:space="preserve">and</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w:t>
      </w:r>
    </w:p>
    <w:p>
      <w:pPr>
        <w:pStyle w:val="BodyText"/>
      </w:pPr>
      <w:r>
        <w:t xml:space="preserve">Using the</w:t>
      </w:r>
      <w:r>
        <w:t xml:space="preserve"> </w:t>
      </w:r>
      <w:r>
        <w:rPr>
          <w:rStyle w:val="VerbatimChar"/>
        </w:rPr>
        <w:t xml:space="preserve">ufs</w:t>
      </w:r>
      <w:r>
        <w:t xml:space="preserve"> </w:t>
      </w:r>
      <w:r>
        <w:t xml:space="preserve">package</w:t>
      </w:r>
      <w:r>
        <w:t xml:space="preserve"> </w:t>
      </w:r>
      <w:r>
        <w:t xml:space="preserve">(Peters &amp;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03"/>
    <w:bookmarkStart w:id="104" w:name="cohens-h"/>
    <w:p>
      <w:pPr>
        <w:pStyle w:val="Heading3"/>
      </w:pPr>
      <w:r>
        <w:t xml:space="preserve">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as described previously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04"/>
    <w:bookmarkStart w:id="105" w:name="cohens-omega-omega"/>
    <w:p>
      <w:pPr>
        <w:pStyle w:val="Heading3"/>
      </w:pPr>
      <w:r>
        <w:t xml:space="preserve">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h</m:t>
        </m:r>
      </m:oMath>
      <w:r>
        <w:t xml:space="preserve"> </w:t>
      </w:r>
      <w:r>
        <w:t xml:space="preserve">= .93 [0.52, 1.34].</w:t>
      </w:r>
    </w:p>
    <w:bookmarkEnd w:id="105"/>
    <w:bookmarkStart w:id="106" w:name="ben-shachars-fei-פ"/>
    <w:p>
      <w:pPr>
        <w:pStyle w:val="Heading3"/>
      </w:pPr>
      <w:r>
        <w:t xml:space="preserve">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106"/>
    <w:bookmarkStart w:id="108" w:name="odds-ratio-or"/>
    <w:p>
      <w:pPr>
        <w:pStyle w:val="Heading3"/>
      </w:pPr>
      <w:r>
        <w:t xml:space="preserve">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3</w:t>
        </w:r>
      </w:hyperlink>
      <w:r>
        <w:t xml:space="preserve">).</w:t>
      </w:r>
    </w:p>
    <w:bookmarkStart w:id="107" w:name="tbl-contingency-OR"/>
    <w:p>
      <w:pPr>
        <w:pStyle w:val="TableCaption"/>
      </w:pPr>
      <w:r>
        <w:t xml:space="preserve">Table 3: Contingency table between two binary variables</w:t>
      </w:r>
    </w:p>
    <w:tbl>
      <w:tblPr>
        <w:tblStyle w:val="Table"/>
        <w:tblW w:type="auto" w:w="0"/>
        <w:tblLook w:firstRow="1" w:lastRow="0" w:firstColumn="0" w:lastColumn="0" w:noHBand="0" w:noVBand="0" w:val="0020"/>
        <w:jc w:val="start"/>
        <w:tblCaption w:val="Table 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07"/>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 upper and lower bounds:</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08"/>
    <w:bookmarkStart w:id="109" w:name="risk-difference-rd"/>
    <w:p>
      <w:pPr>
        <w:pStyle w:val="Heading3"/>
      </w:pPr>
      <w:r>
        <w:t xml:space="preserve">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09"/>
    <w:bookmarkStart w:id="110" w:name="relative-risk-rr"/>
    <w:p>
      <w:pPr>
        <w:pStyle w:val="Heading3"/>
      </w:pPr>
      <w:r>
        <w:t xml:space="preserve">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by adapting</w:t>
      </w:r>
      <w:r>
        <w:t xml:space="preserve"> </w:t>
      </w:r>
      <w:r>
        <w:rPr>
          <w:bCs/>
          <w:b/>
        </w:rPr>
        <w:t xml:space="preserve">?@eq-ci</w:t>
      </w:r>
      <w:r>
        <w:t xml:space="preserve">,</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VerbatimChar"/>
        </w:rPr>
        <w:t xml:space="preserve">     RR RRlow RRhigh</w:t>
      </w:r>
      <w:r>
        <w:br/>
      </w:r>
      <w:r>
        <w:rPr>
          <w:rStyle w:val="VerbatimChar"/>
        </w:rPr>
        <w:t xml:space="preserve">1 0.511 0.323  0.699</w:t>
      </w:r>
    </w:p>
    <w:bookmarkEnd w:id="110"/>
    <w:bookmarkEnd w:id="111"/>
    <w:bookmarkStart w:id="118" w:name="effect-sizes-for-anovas"/>
    <w:p>
      <w:pPr>
        <w:pStyle w:val="Heading2"/>
      </w:pPr>
      <w:r>
        <w:t xml:space="preserve">Effect Sizes for ANOVAs</w:t>
      </w:r>
    </w:p>
    <w:p>
      <w:pPr>
        <w:pStyle w:val="FirstParagraph"/>
      </w:pPr>
      <w:r>
        <w:t xml:space="preserve">ANOVA (Analysis of Variance) is a statistical method used to compare means across multiple groups.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12" w:name="eta-squared-eta2"/>
    <w:p>
      <w:pPr>
        <w:pStyle w:val="Heading3"/>
      </w:pPr>
      <w:r>
        <w:t xml:space="preserve">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 (i.e., resampling the observed data points to construct a sampling distribution around</w:t>
      </w:r>
      <w:r>
        <w:t xml:space="preserve"> </w:t>
      </w:r>
      <m:oMath>
        <m:sSup>
          <m:e>
            <m:r>
              <m:t>η</m:t>
            </m:r>
          </m:e>
          <m:sup>
            <m:r>
              <m:t>2</m:t>
            </m:r>
          </m:sup>
        </m:sSup>
      </m:oMath>
      <w:r>
        <w:t xml:space="preserve">; see</w:t>
      </w:r>
      <w:r>
        <w:t xml:space="preserve"> </w:t>
      </w:r>
      <w:r>
        <w:t xml:space="preserve">Kirby and Gerlanc (2013)</w:t>
      </w:r>
      <w:r>
        <w:t xml:space="preserve">) 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12"/>
    <w:bookmarkStart w:id="113" w:name="partial-eta-squared-eta2_p"/>
    <w:p>
      <w:pPr>
        <w:pStyle w:val="Heading3"/>
      </w:pPr>
      <w:r>
        <w:t xml:space="preserve">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08"/>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08"/>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13"/>
    <w:bookmarkStart w:id="114" w:name="generalized-eta-squared-eta2_g"/>
    <w:p>
      <w:pPr>
        <w:pStyle w:val="Heading3"/>
      </w:pPr>
      <w:r>
        <w:t xml:space="preserve">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generalized eta-squared by using the</w:t>
      </w:r>
      <w:r>
        <w:t xml:space="preserve"> </w:t>
      </w:r>
      <w:r>
        <w:rPr>
          <w:rStyle w:val="VerbatimChar"/>
        </w:rPr>
        <w:t xml:space="preserve">generalized=TRUE</w:t>
      </w:r>
      <w:r>
        <w:t xml:space="preserve"> </w:t>
      </w:r>
      <w:r>
        <w:t xml:space="preserve">argument.</w:t>
      </w:r>
    </w:p>
    <w:bookmarkEnd w:id="114"/>
    <w:bookmarkStart w:id="115" w:name="Xc42d082a42e3ae846c458ca93bfeb52673c8518"/>
    <w:p>
      <w:pPr>
        <w:pStyle w:val="Heading3"/>
      </w:pPr>
      <w:r>
        <w:t xml:space="preserve">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15"/>
    <w:bookmarkStart w:id="116" w:name="cohens-f"/>
    <w:p>
      <w:pPr>
        <w:pStyle w:val="Heading3"/>
      </w:pPr>
      <w:r>
        <w:t xml:space="preserve">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16"/>
    <w:bookmarkStart w:id="117" w:name="reporting-anova-results"/>
    <w:p>
      <w:pPr>
        <w:pStyle w:val="Heading3"/>
      </w:pPr>
      <w:r>
        <w:t xml:space="preserve">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17"/>
    <w:bookmarkEnd w:id="118"/>
    <w:bookmarkStart w:id="122" w:name="Xd4cef7d6f3af9f58defc820acbbdd77c96ef1cf"/>
    <w:p>
      <w:pPr>
        <w:pStyle w:val="Heading2"/>
      </w:pPr>
      <w:r>
        <w:t xml:space="preserve">Converting between Effect Sizes and Test Statistics</w:t>
      </w:r>
    </w:p>
    <w:p>
      <w:pPr>
        <w:pStyle w:val="FirstParagraph"/>
      </w:pPr>
      <w:r>
        <w:t xml:space="preserve">If raw data is unavailable and the necessary summary statistics are not reported, we can convert various statistics to effect size estimates. This section will focus on converting to three common effect sizes: Cohen’s</w:t>
      </w:r>
      <w:r>
        <w:t xml:space="preserve"> </w:t>
      </w:r>
      <m:oMath>
        <m:r>
          <m:t>d</m:t>
        </m:r>
      </m:oMath>
      <w:r>
        <w:t xml:space="preserve"> </w:t>
      </w:r>
      <w:r>
        <w:t xml:space="preserve">values, Pearson correlations, and odds-ratios</w:t>
      </w:r>
    </w:p>
    <w:bookmarkStart w:id="119" w:name="converting-to-cohens-d"/>
    <w:p>
      <w:pPr>
        <w:pStyle w:val="Heading3"/>
      </w:pPr>
      <w:r>
        <w:t xml:space="preserve">Converting to Cohen’s</w:t>
      </w:r>
      <w:r>
        <w:t xml:space="preserve"> </w:t>
      </w:r>
      <m:oMath>
        <m:r>
          <m:t>d</m:t>
        </m:r>
      </m:oMath>
    </w:p>
    <w:p>
      <w:pPr>
        <w:pStyle w:val="Heading4"/>
        <w:rPr>
          <w:vanish/>
          <w:specVanish/>
        </w:rPr>
      </w:pPr>
      <w:r>
        <w:t>From Independent Samples t-statistic.</w:t>
      </w:r>
      <w:r>
        <w:t xml:space="preserve"> </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p>
      <w:pPr>
        <w:pStyle w:val="Heading4"/>
        <w:rPr>
          <w:vanish/>
          <w:specVanish/>
        </w:rPr>
      </w:pPr>
      <w:r>
        <w:t>From Paired Sample t-statistic.</w:t>
      </w:r>
      <w:r>
        <w:t xml:space="preserve"> </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VerbatimChar"/>
        </w:rPr>
        <w:t xml:space="preserve">d    |       95% CI</w:t>
      </w:r>
      <w:r>
        <w:br/>
      </w:r>
      <w:r>
        <w:rPr>
          <w:rStyle w:val="VerbatimChar"/>
        </w:rPr>
        <w:t xml:space="preserve">-------------------</w:t>
      </w:r>
      <w:r>
        <w:br/>
      </w:r>
      <w:r>
        <w:rPr>
          <w:rStyle w:val="VerbatimChar"/>
        </w:rPr>
        <w:t xml:space="preserve">0.35 | [0.13, 0.56]</w:t>
      </w:r>
    </w:p>
    <w:p>
      <w:pPr>
        <w:pStyle w:val="Heading4"/>
        <w:rPr>
          <w:vanish/>
          <w:specVanish/>
        </w:rPr>
      </w:pPr>
      <w:r>
        <w:t>From Pearson Correlation.</w:t>
      </w:r>
      <w:r>
        <w:t xml:space="preserve"> </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VerbatimChar"/>
        </w:rPr>
        <w:t xml:space="preserve">[1] 1.148913</w:t>
      </w:r>
    </w:p>
    <w:p>
      <w:pPr>
        <w:pStyle w:val="Heading4"/>
        <w:rPr>
          <w:vanish/>
          <w:specVanish/>
        </w:rPr>
      </w:pPr>
      <w:r>
        <w:t>From Odds-Ratio.</w:t>
      </w:r>
      <w:r>
        <w:t xml:space="preserve"> </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VerbatimChar"/>
        </w:rPr>
        <w:t xml:space="preserve">[1] 0.2086429</w:t>
      </w:r>
    </w:p>
    <w:bookmarkEnd w:id="119"/>
    <w:bookmarkStart w:id="120" w:name="converting-to-pearson-correlation"/>
    <w:p>
      <w:pPr>
        <w:pStyle w:val="Heading3"/>
      </w:pPr>
      <w:r>
        <w:t xml:space="preserve">Converting to Pearson Correlation</w:t>
      </w:r>
    </w:p>
    <w:p>
      <w:pPr>
        <w:pStyle w:val="Heading4"/>
        <w:rPr>
          <w:vanish/>
          <w:specVanish/>
        </w:rPr>
      </w:pPr>
      <w:r>
        <w:t>From t-statistic.</w:t>
      </w:r>
      <w:r>
        <w:t xml:space="preserve"> </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p>
      <w:pPr>
        <w:pStyle w:val="Heading4"/>
        <w:rPr>
          <w:vanish/>
          <w:specVanish/>
        </w:rPr>
      </w:pPr>
      <w:r>
        <w:t>From Cohen’s d.</w:t>
      </w:r>
      <w:r>
        <w:t xml:space="preserve"> </w:t>
      </w:r>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VerbatimChar"/>
        </w:rPr>
        <w:t xml:space="preserve">[1] 0.2858532</w:t>
      </w:r>
    </w:p>
    <w:p>
      <w:pPr>
        <w:pStyle w:val="Heading4"/>
        <w:rPr>
          <w:vanish/>
          <w:specVanish/>
        </w:rPr>
      </w:pPr>
      <w:r>
        <w:t>From Odds-Ratio.</w:t>
      </w:r>
      <w:r>
        <w:t xml:space="preserve"> </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VerbatimChar"/>
        </w:rPr>
        <w:t xml:space="preserve">[1] 0.2124017</w:t>
      </w:r>
    </w:p>
    <w:bookmarkEnd w:id="120"/>
    <w:bookmarkStart w:id="121" w:name="converting-to-odds-ratio"/>
    <w:p>
      <w:pPr>
        <w:pStyle w:val="Heading3"/>
      </w:pPr>
      <w:r>
        <w:t xml:space="preserve">Converting to Odds-Ratio</w:t>
      </w:r>
    </w:p>
    <w:p>
      <w:pPr>
        <w:pStyle w:val="Heading4"/>
        <w:rPr>
          <w:vanish/>
          <w:specVanish/>
        </w:rPr>
      </w:pPr>
      <w:r>
        <w:t>From Cohen’s d.</w:t>
      </w:r>
      <w:r>
        <w:t xml:space="preserve"> </w:t>
      </w:r>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VerbatimChar"/>
        </w:rPr>
        <w:t xml:space="preserve">[1] 2.969162</w:t>
      </w:r>
    </w:p>
    <w:p>
      <w:pPr>
        <w:pStyle w:val="Heading4"/>
        <w:rPr>
          <w:vanish/>
          <w:specVanish/>
        </w:rPr>
      </w:pPr>
      <w:r>
        <w:t>From a Pearson Correlation.</w:t>
      </w:r>
      <w:r>
        <w:t xml:space="preserve"> </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VerbatimChar"/>
        </w:rPr>
        <w:t xml:space="preserve">[1] 4.870584</w:t>
      </w:r>
    </w:p>
    <w:bookmarkEnd w:id="121"/>
    <w:bookmarkEnd w:id="122"/>
    <w:bookmarkStart w:id="129" w:name="non-parametric-tests"/>
    <w:p>
      <w:pPr>
        <w:pStyle w:val="Heading2"/>
      </w:pPr>
      <w:r>
        <w:t xml:space="preserve">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rPr>
          <w:rStyle w:val="FootnoteReference"/>
        </w:rPr>
        <w:footnoteReference w:id="123"/>
      </w:r>
      <w:r>
        <w:t xml:space="preserve">. Rather one can consider than as rank based or proportional odds tests.</w:t>
      </w:r>
    </w:p>
    <w:p>
      <w:pPr>
        <w:pStyle w:val="BodyText"/>
      </w:pPr>
      <w:r>
        <w:t xml:space="preserve">If the scores you are analyzing are not metric (i.e., ordinal) due to the use of a Likert-Scale and you still use parametric tests such as t-tests, you run the risk of a high false-positive probability (e.g., Liddel &amp; Kruschke, 2018). Note that in German, scale anchors have been developed that are very similar to Likert-Scale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25" w:name="wilcoxon-mann-whitney-tests"/>
    <w:p>
      <w:pPr>
        <w:pStyle w:val="Heading3"/>
      </w:pPr>
      <w:r>
        <w:t xml:space="preserve">Wilcoxon-Mann-Whitney tests</w:t>
      </w:r>
    </w:p>
    <w:p>
      <w:pPr>
        <w:pStyle w:val="FirstParagraph"/>
      </w:pPr>
      <w:r>
        <w:t xml:space="preserve">A non-parametric alternative to the t-test is the Wilcoxon-Mann-Whitney (WMW) group of tests. When comparing two independent samples this is called a Wilcoxon rank-sum test, but sometimes to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rPr>
          <w:rStyle w:val="FootnoteReference"/>
        </w:rPr>
        <w:footnoteReference w:id="124"/>
      </w:r>
      <w:r>
        <w:t xml:space="preserve">.</w:t>
      </w:r>
    </w:p>
    <w:p>
      <w:pPr>
        <w:pStyle w:val="SourceCode"/>
      </w:pPr>
      <w:r>
        <w:rPr>
          <w:rStyle w:val="VerbatimChar"/>
        </w:rPr>
        <w:t xml:space="preserve">function (package, help, pos = 2, lib.loc = NULL, character.only = FALSE, </w:t>
      </w:r>
      <w:r>
        <w:br/>
      </w:r>
      <w:r>
        <w:rPr>
          <w:rStyle w:val="VerbatimChar"/>
        </w:rPr>
        <w:t xml:space="preserve">    logical.return = FALSE, warn.conflicts, quietly = FALSE, </w:t>
      </w:r>
      <w:r>
        <w:br/>
      </w:r>
      <w:r>
        <w:rPr>
          <w:rStyle w:val="VerbatimChar"/>
        </w:rPr>
        <w:t xml:space="preserve">    verbose = getOption("verbose"), mask.ok, exclude, include.only, </w:t>
      </w:r>
      <w:r>
        <w:br/>
      </w:r>
      <w:r>
        <w:rPr>
          <w:rStyle w:val="VerbatimChar"/>
        </w:rPr>
        <w:t xml:space="preserve">    attach.required = missing(include.only)) </w:t>
      </w:r>
      <w:r>
        <w:br/>
      </w:r>
      <w:r>
        <w:rPr>
          <w:rStyle w:val="VerbatimChar"/>
        </w:rPr>
        <w:t xml:space="preserve">{</w:t>
      </w:r>
      <w:r>
        <w:br/>
      </w:r>
      <w:r>
        <w:rPr>
          <w:rStyle w:val="VerbatimChar"/>
        </w:rPr>
        <w:t xml:space="preserve">    if (!missing(package)) {</w:t>
      </w:r>
      <w:r>
        <w:br/>
      </w:r>
      <w:r>
        <w:rPr>
          <w:rStyle w:val="VerbatimChar"/>
        </w:rPr>
        <w:t xml:space="preserve">        package &lt;- package_name(enquo(package), character.only = character.only)</w:t>
      </w:r>
      <w:r>
        <w:br/>
      </w:r>
      <w:r>
        <w:rPr>
          <w:rStyle w:val="VerbatimChar"/>
        </w:rPr>
        <w:t xml:space="preserve">        conflicts_reset()</w:t>
      </w:r>
      <w:r>
        <w:br/>
      </w:r>
      <w:r>
        <w:rPr>
          <w:rStyle w:val="VerbatimChar"/>
        </w:rPr>
        <w:t xml:space="preserve">        on.exit(conflicts_register())</w:t>
      </w:r>
      <w:r>
        <w:br/>
      </w:r>
      <w:r>
        <w:rPr>
          <w:rStyle w:val="VerbatimChar"/>
        </w:rPr>
        <w:t xml:space="preserve">        on_detach(package, function() conflicts_remove(package))</w:t>
      </w:r>
      <w:r>
        <w:br/>
      </w:r>
      <w:r>
        <w:rPr>
          <w:rStyle w:val="VerbatimChar"/>
        </w:rPr>
        <w:t xml:space="preserve">        library(package, pos = pos, lib.loc = lib.loc, character.only = TRUE, </w:t>
      </w:r>
      <w:r>
        <w:br/>
      </w:r>
      <w:r>
        <w:rPr>
          <w:rStyle w:val="VerbatimChar"/>
        </w:rPr>
        <w:t xml:space="preserve">            logical.return = logical.return, warn.conflicts = FALSE, </w:t>
      </w:r>
      <w:r>
        <w:br/>
      </w:r>
      <w:r>
        <w:rPr>
          <w:rStyle w:val="VerbatimChar"/>
        </w:rPr>
        <w:t xml:space="preserve">            quietly = quietly, verbose = verbose, mask.ok = mask.ok, </w:t>
      </w:r>
      <w:r>
        <w:br/>
      </w:r>
      <w:r>
        <w:rPr>
          <w:rStyle w:val="VerbatimChar"/>
        </w:rPr>
        <w:t xml:space="preserve">            exclude = exclude, include.only = include.only, attach.required = attach.required)</w:t>
      </w:r>
      <w:r>
        <w:br/>
      </w:r>
      <w:r>
        <w:rPr>
          <w:rStyle w:val="VerbatimChar"/>
        </w:rPr>
        <w:t xml:space="preserve">    }</w:t>
      </w:r>
      <w:r>
        <w:br/>
      </w:r>
      <w:r>
        <w:rPr>
          <w:rStyle w:val="VerbatimChar"/>
        </w:rPr>
        <w:t xml:space="preserve">    else if (!missing(help)) {</w:t>
      </w:r>
      <w:r>
        <w:br/>
      </w:r>
      <w:r>
        <w:rPr>
          <w:rStyle w:val="VerbatimChar"/>
        </w:rPr>
        <w:t xml:space="preserve">        help &lt;- package_name(enquo(help), character.only = character.only)</w:t>
      </w:r>
      <w:r>
        <w:br/>
      </w:r>
      <w:r>
        <w:rPr>
          <w:rStyle w:val="VerbatimChar"/>
        </w:rPr>
        <w:t xml:space="preserve">        library(help = help, character.only = TRUE)</w:t>
      </w:r>
      <w:r>
        <w:br/>
      </w:r>
      <w:r>
        <w:rPr>
          <w:rStyle w:val="VerbatimChar"/>
        </w:rPr>
        <w:t xml:space="preserve">    }</w:t>
      </w:r>
      <w:r>
        <w:br/>
      </w:r>
      <w:r>
        <w:rPr>
          <w:rStyle w:val="VerbatimChar"/>
        </w:rPr>
        <w:t xml:space="preserve">    else {</w:t>
      </w:r>
      <w:r>
        <w:br/>
      </w:r>
      <w:r>
        <w:rPr>
          <w:rStyle w:val="VerbatimChar"/>
        </w:rPr>
        <w:t xml:space="preserve">        library(lib.loc = lib.loc, logical.return = logical.return)</w:t>
      </w:r>
      <w:r>
        <w:br/>
      </w:r>
      <w:r>
        <w:rPr>
          <w:rStyle w:val="VerbatimChar"/>
        </w:rPr>
        <w:t xml:space="preserve">    }</w:t>
      </w:r>
      <w:r>
        <w:br/>
      </w:r>
      <w:r>
        <w:rPr>
          <w:rStyle w:val="VerbatimChar"/>
        </w:rPr>
        <w:t xml:space="preserve">}</w:t>
      </w:r>
      <w:r>
        <w:br/>
      </w:r>
      <w:r>
        <w:rPr>
          <w:rStyle w:val="VerbatimChar"/>
        </w:rPr>
        <w:t xml:space="preserve">&lt;bytecode: 0x143463fb8&gt;</w:t>
      </w:r>
      <w:r>
        <w:br/>
      </w:r>
      <w:r>
        <w:rPr>
          <w:rStyle w:val="VerbatimChar"/>
        </w:rPr>
        <w:t xml:space="preserve">&lt;environment: namespace:conflicted&gt;</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5"/>
    <w:bookmarkStart w:id="128" w:name="brunner-munzel-tests"/>
    <w:p>
      <w:pPr>
        <w:pStyle w:val="Heading3"/>
      </w:pPr>
      <w:r>
        <w:t xml:space="preserve">Brunner-Munzel Tests</w:t>
      </w:r>
    </w:p>
    <w:p>
      <w:pPr>
        <w:pStyle w:val="FirstParagraph"/>
      </w:pPr>
      <w:r>
        <w:t xml:space="preserve">Brunner-Munzel’s tests can be used instead of the WMW tests. The primary reason is the interpretation of the test</w:t>
      </w:r>
      <w:r>
        <w:rPr>
          <w:rStyle w:val="FootnoteReference"/>
        </w:rPr>
        <w:footnoteReference w:id="126"/>
      </w:r>
      <w:r>
        <w:t xml:space="preserve">. 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27"/>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However, the</w:t>
      </w:r>
      <w:r>
        <w:t xml:space="preserve"> </w:t>
      </w:r>
      <w:r>
        <w:rPr>
          <w:rStyle w:val="VerbatimChar"/>
        </w:rPr>
        <w:t xml:space="preserve">TOSTER</w:t>
      </w:r>
      <w:r>
        <w:t xml:space="preserve"> </w:t>
      </w:r>
      <w:r>
        <w:t xml:space="preserve">R package does provide coverage.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8"/>
    <w:bookmarkEnd w:id="129"/>
    <w:bookmarkStart w:id="135" w:name="rank-based-effect-sizes"/>
    <w:p>
      <w:pPr>
        <w:pStyle w:val="Heading2"/>
      </w:pPr>
      <w:r>
        <w:t xml:space="preserve">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30" w:name="rank-biserial-correlation"/>
    <w:p>
      <w:pPr>
        <w:pStyle w:val="Heading3"/>
      </w:pPr>
      <w:r>
        <w:t xml:space="preserve">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p>
      <w:pPr>
        <w:pStyle w:val="Heading4"/>
        <w:rPr>
          <w:vanish/>
          <w:specVanish/>
        </w:rPr>
      </w:pPr>
      <w:r>
        <w:t>Paired Samples Calculation.</w:t>
      </w:r>
      <w:r>
        <w:t xml:space="preserve"> </w:t>
      </w:r>
    </w:p>
    <w:p>
      <w:pPr>
        <w:numPr>
          <w:ilvl w:val="0"/>
          <w:numId w:val="1009"/>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0"/>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1"/>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2"/>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3"/>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4"/>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5"/>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Two Sample Calculation.</w:t>
      </w:r>
      <w:r>
        <w:t xml:space="preserve"> </w:t>
      </w:r>
    </w:p>
    <w:p>
      <w:pPr>
        <w:numPr>
          <w:ilvl w:val="0"/>
          <w:numId w:val="1016"/>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7"/>
        </w:numPr>
        <w:pStyle w:val="Compact"/>
      </w:pPr>
      <w:r>
        <w:t xml:space="preserve">Calculate the rank sums from each group</w:t>
      </w:r>
    </w:p>
    <w:p>
      <w:pPr>
        <w:pStyle w:val="FirstParagraph"/>
      </w:pPr>
      <m:oMathPara>
        <m:oMathParaPr>
          <m:jc m:val="center"/>
        </m:oMathParaPr>
        <m:oMath>
          <m:sSub>
            <m:e>
              <m:r>
                <m:t>R</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R</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18"/>
        </w:numPr>
        <w:pStyle w:val="Compact"/>
      </w:pPr>
      <w:r>
        <w:t xml:space="preserve">Calculate the product of sample sizes</w:t>
      </w:r>
    </w:p>
    <w:p>
      <w:pPr>
        <w:pStyle w:val="FirstParagraph"/>
      </w:pPr>
      <m:oMathPara>
        <m:oMathParaPr>
          <m:jc m:val="center"/>
        </m:oMathParaPr>
        <m:oMath>
          <m:r>
            <m:t>S</m:t>
          </m:r>
          <m:r>
            <m:rPr>
              <m:sty m:val="p"/>
            </m:rPr>
            <m:t>=</m:t>
          </m:r>
          <m:sSub>
            <m:e>
              <m:r>
                <m:t>n</m:t>
              </m:r>
            </m:e>
            <m:sub>
              <m:r>
                <m:t>x</m:t>
              </m:r>
            </m:sub>
          </m:sSub>
          <m:r>
            <m:rPr>
              <m:sty m:val="p"/>
            </m:rPr>
            <m:t>⋅</m:t>
          </m:r>
          <m:sSub>
            <m:e>
              <m:r>
                <m:t>n</m:t>
              </m:r>
            </m:e>
            <m:sub>
              <m:r>
                <m:t>y</m:t>
              </m:r>
            </m:sub>
          </m:sSub>
        </m:oMath>
      </m:oMathPara>
    </w:p>
    <w:p>
      <w:pPr>
        <w:numPr>
          <w:ilvl w:val="0"/>
          <w:numId w:val="1019"/>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x</m:t>
                  </m:r>
                </m:sub>
              </m:sSub>
            </m:num>
            <m:den>
              <m:r>
                <m:t>S</m:t>
              </m:r>
            </m:den>
          </m:f>
          <m:r>
            <m:rPr>
              <m:sty m:val="p"/>
            </m:rPr>
            <m:t>−</m:t>
          </m:r>
          <m:f>
            <m:fPr>
              <m:type m:val="bar"/>
            </m:fPr>
            <m:num>
              <m:sSub>
                <m:e>
                  <m:r>
                    <m:t>U</m:t>
                  </m:r>
                </m:e>
                <m:sub>
                  <m:r>
                    <m:t>y</m:t>
                  </m:r>
                </m:sub>
              </m:sSub>
            </m:num>
            <m:den>
              <m:r>
                <m:t>S</m:t>
              </m:r>
            </m:den>
          </m:f>
        </m:oMath>
      </m:oMathPara>
    </w:p>
    <w:p>
      <w:pPr>
        <w:numPr>
          <w:ilvl w:val="0"/>
          <w:numId w:val="1020"/>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1"/>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2"/>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3"/>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Calculation in R.</w:t>
      </w:r>
      <w:r>
        <w:t xml:space="preserve"> </w:t>
      </w:r>
    </w:p>
    <w:p>
      <w:pPr>
        <w:pStyle w:val="FirstParagraph"/>
      </w:pPr>
      <w:r>
        <w:t xml:space="preserve">In R, we can use</w:t>
      </w:r>
      <w:r>
        <w:t xml:space="preserve"> </w:t>
      </w:r>
      <w:r>
        <w:rPr>
          <w:rStyle w:val="VerbatimChar"/>
        </w:rPr>
        <w:t xml:space="preserve">brunner_munzel</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30"/>
    <w:bookmarkStart w:id="131" w:name="concordance-probability"/>
    <w:p>
      <w:pPr>
        <w:pStyle w:val="Heading3"/>
      </w:pPr>
      <w:r>
        <w:t xml:space="preserve">Concordance Probability</w:t>
      </w:r>
    </w:p>
    <w:p>
      <w:pPr>
        <w:pStyle w:val="FirstParagraph"/>
      </w:pPr>
      <w:r>
        <w:t xml:space="preserve">In the two sample case, concordance probability is the probability that a randomly chosen subject from the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(z) will have a positive (+) sign plus 0.5 times the probability of a tie (no/zero difference). The concordance probability can go by many names. It is also referred to as the c-index, the non-parametric probability of superiority, or the non-parametric common language effect size (CLES).</w:t>
      </w:r>
    </w:p>
    <w:p>
      <w:pPr>
        <w:pStyle w:val="Heading4"/>
        <w:rPr>
          <w:vanish/>
          <w:specVanish/>
        </w:rPr>
      </w:pPr>
      <w:r>
        <w:t>Calculation.</w:t>
      </w:r>
      <w:r>
        <w:t xml:space="preserve"> </w:t>
      </w:r>
    </w:p>
    <w:p>
      <w:pPr>
        <w:pStyle w:val="BodyText"/>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p>
      <w:pPr>
        <w:pStyle w:val="Heading4"/>
        <w:rPr>
          <w:vanish/>
          <w:specVanish/>
        </w:rPr>
      </w:pPr>
      <w:r>
        <w:t>Calculation in R.</w:t>
      </w:r>
      <w:r>
        <w:t xml:space="preserve"> </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VerbatimChar"/>
        </w:rPr>
        <w:t xml:space="preserve">             estimate  lower.ci  upper.ci conf.level</w:t>
      </w:r>
      <w:r>
        <w:br/>
      </w:r>
      <w:r>
        <w:rPr>
          <w:rStyle w:val="VerbatimChar"/>
        </w:rPr>
        <w:t xml:space="preserve">Concordance 0.2738095 0.1084217 0.5389723       0.95</w:t>
      </w:r>
    </w:p>
    <w:bookmarkEnd w:id="131"/>
    <w:bookmarkStart w:id="134" w:name="wilcoxin-mann-whitney-odds"/>
    <w:p>
      <w:pPr>
        <w:pStyle w:val="Heading3"/>
      </w:pPr>
      <w:r>
        <w:t xml:space="preserve">Wilcoxin-Mann-Whitney Odds</w:t>
      </w:r>
    </w:p>
    <w:p>
      <w:pPr>
        <w:pStyle w:val="FirstParagraph"/>
      </w:pPr>
      <w:r>
        <w:t xml:space="preserve">The Wilcoxon-Mann-Whitney odds</w:t>
      </w:r>
      <w:r>
        <w:rPr>
          <w:rStyle w:val="FootnoteReference"/>
        </w:rPr>
        <w:footnoteReference w:id="132"/>
      </w:r>
      <w:r>
        <w:t xml:space="preserve">, also known as the</w:t>
      </w:r>
      <w:r>
        <w:t xml:space="preserve"> </w:t>
      </w:r>
      <w:r>
        <w:t xml:space="preserve">“</w:t>
      </w:r>
      <w:r>
        <w:t xml:space="preserve">Generalized Odds Ratio</w:t>
      </w:r>
      <w:r>
        <w:t xml:space="preserve">”</w:t>
      </w:r>
      <w:r>
        <w:rPr>
          <w:rStyle w:val="FootnoteReference"/>
        </w:rPr>
        <w:footnoteReference w:id="133"/>
      </w:r>
      <w:r>
        <w:t xml:space="preserve">, essentially transforms the concordance probability into an odds ratio.</w:t>
      </w:r>
    </w:p>
    <w:p>
      <w:pPr>
        <w:pStyle w:val="Heading4"/>
        <w:rPr>
          <w:vanish/>
          <w:specVanish/>
        </w:rPr>
      </w:pPr>
      <w:r>
        <w:t>Calculation.</w:t>
      </w:r>
      <w:r>
        <w:t xml:space="preserve"> </w:t>
      </w:r>
    </w:p>
    <w:p>
      <w:pPr>
        <w:pStyle w:val="BodyText"/>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p>
      <w:pPr>
        <w:pStyle w:val="Heading4"/>
        <w:rPr>
          <w:vanish/>
          <w:specVanish/>
        </w:rPr>
      </w:pPr>
      <w:r>
        <w:t>Calculation in R.</w:t>
      </w:r>
      <w:r>
        <w:t xml:space="preserve"> </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VerbatimChar"/>
        </w:rPr>
        <w:t xml:space="preserve">          estimate  lower.ci upper.ci conf.level</w:t>
      </w:r>
      <w:r>
        <w:br/>
      </w:r>
      <w:r>
        <w:rPr>
          <w:rStyle w:val="VerbatimChar"/>
        </w:rPr>
        <w:t xml:space="preserve">WMW Odds 0.3770492 0.1216064 1.169067       0.95</w:t>
      </w:r>
    </w:p>
    <w:bookmarkEnd w:id="134"/>
    <w:bookmarkEnd w:id="135"/>
    <w:bookmarkStart w:id="225" w:name="X8530fee810eec45b0fe25f69e5b10cfab209663"/>
    <w:p>
      <w:pPr>
        <w:pStyle w:val="Heading2"/>
      </w:pPr>
      <w:r>
        <w:t xml:space="preserve">Artifacts and Bias in Effect Size Estimates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Many artifact corrections can be complex and therefore readers are referred to other resources listed below:</w:t>
      </w:r>
    </w:p>
    <w:p>
      <w:pPr>
        <w:numPr>
          <w:ilvl w:val="0"/>
          <w:numId w:val="1024"/>
        </w:numPr>
      </w:pPr>
      <w:r>
        <w:t xml:space="preserve">Jané (2023)</w:t>
      </w:r>
      <w:r>
        <w:t xml:space="preserve"> </w:t>
      </w:r>
      <w:r>
        <w:t xml:space="preserve">: An open-access textbook that contains equations and R code for various types of artifact corrections.</w:t>
      </w:r>
    </w:p>
    <w:p>
      <w:pPr>
        <w:numPr>
          <w:ilvl w:val="0"/>
          <w:numId w:val="1024"/>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24"/>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24"/>
        </w:numPr>
      </w:pPr>
      <w:r>
        <w:t xml:space="preserve">Dahlke and Wiernik (2019)</w:t>
      </w:r>
      <w:r>
        <w:t xml:space="preserve"> </w:t>
      </w:r>
      <w:r>
        <w:t xml:space="preserve">: An R package for conducting artifact correction meta-analyses. Contains all the functions one would need to correct effect sizes for artifacts in R.</w:t>
      </w:r>
    </w:p>
    <w:bookmarkStart w:id="224" w:name="refs"/>
    <w:bookmarkStart w:id="137"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136">
        <w:r>
          <w:rPr>
            <w:rStyle w:val="Hyperlink"/>
          </w:rPr>
          <w:t xml:space="preserve">https://thuvienso.hoasen.edu.vn/handle/123456789/8327</w:t>
        </w:r>
      </w:hyperlink>
    </w:p>
    <w:bookmarkEnd w:id="137"/>
    <w:bookmarkStart w:id="139" w:name="ref-becker1988"/>
    <w:p>
      <w:pPr>
        <w:pStyle w:val="Bibliography"/>
      </w:pPr>
      <w:r>
        <w:t xml:space="preserve">Becker, B. J. (1988). Synthesizing standardized mean-change measures - UConn library.</w:t>
      </w:r>
      <w:r>
        <w:t xml:space="preserve"> </w:t>
      </w:r>
      <w:r>
        <w:rPr>
          <w:iCs/>
          <w:i/>
        </w:rPr>
        <w:t xml:space="preserve">British Journal of Mathematical and Statistical Psychology</w:t>
      </w:r>
      <w:r>
        <w:t xml:space="preserve">,</w:t>
      </w:r>
      <w:r>
        <w:t xml:space="preserve"> </w:t>
      </w:r>
      <w:r>
        <w:rPr>
          <w:iCs/>
          <w:i/>
        </w:rPr>
        <w:t xml:space="preserve">41</w:t>
      </w:r>
      <w:r>
        <w:t xml:space="preserve">(2), 257278. https://doi.org/</w:t>
      </w:r>
      <w:hyperlink r:id="rId138">
        <w:r>
          <w:rPr>
            <w:rStyle w:val="Hyperlink"/>
          </w:rPr>
          <w:t xml:space="preserve">https://doi.org/10.1111/j.2044-8317.1988.tb00901.x</w:t>
        </w:r>
      </w:hyperlink>
    </w:p>
    <w:bookmarkEnd w:id="139"/>
    <w:bookmarkStart w:id="141" w:name="ref-effectsize"/>
    <w:p>
      <w:pPr>
        <w:pStyle w:val="Bibliography"/>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140">
        <w:r>
          <w:rPr>
            <w:rStyle w:val="Hyperlink"/>
          </w:rPr>
          <w:t xml:space="preserve">https://doi.org/10.21105/joss.02815</w:t>
        </w:r>
      </w:hyperlink>
    </w:p>
    <w:bookmarkEnd w:id="141"/>
    <w:bookmarkStart w:id="143" w:name="ref-benshachar2023"/>
    <w:p>
      <w:pPr>
        <w:pStyle w:val="Bibliography"/>
      </w:pPr>
      <w:r>
        <w:t xml:space="preserve">Ben-Shachar, M. S., Patil, I., Thériault, R., Wiernik, B. M., &amp; Lüdecke, D. (2023). Phi, Fei, Fo, Fum: Effect Sizes for Categorical Data That Use the Chi-Squared Statistic.</w:t>
      </w:r>
      <w:r>
        <w:t xml:space="preserve"> </w:t>
      </w:r>
      <w:r>
        <w:rPr>
          <w:iCs/>
          <w:i/>
        </w:rPr>
        <w:t xml:space="preserve">Mathematics</w:t>
      </w:r>
      <w:r>
        <w:t xml:space="preserve">,</w:t>
      </w:r>
      <w:r>
        <w:t xml:space="preserve"> </w:t>
      </w:r>
      <w:r>
        <w:rPr>
          <w:iCs/>
          <w:i/>
        </w:rPr>
        <w:t xml:space="preserve">11</w:t>
      </w:r>
      <w:r>
        <w:t xml:space="preserve">(9), 1982.</w:t>
      </w:r>
      <w:r>
        <w:t xml:space="preserve"> </w:t>
      </w:r>
      <w:hyperlink r:id="rId142">
        <w:r>
          <w:rPr>
            <w:rStyle w:val="Hyperlink"/>
          </w:rPr>
          <w:t xml:space="preserve">https://doi.org/10.3390/math11091982</w:t>
        </w:r>
      </w:hyperlink>
    </w:p>
    <w:bookmarkEnd w:id="143"/>
    <w:bookmarkStart w:id="145" w:name="ref-DeclareDesign"/>
    <w:p>
      <w:pPr>
        <w:pStyle w:val="Bibliography"/>
      </w:pPr>
      <w:r>
        <w:t xml:space="preserve">Blair, G., Cooper, J., Coppock, A., &amp; Humphreys, M. (2019). Declaring and diagnosing research designs.</w:t>
      </w:r>
      <w:r>
        <w:t xml:space="preserve"> </w:t>
      </w:r>
      <w:r>
        <w:rPr>
          <w:iCs/>
          <w:i/>
        </w:rPr>
        <w:t xml:space="preserve">American Political Science Review</w:t>
      </w:r>
      <w:r>
        <w:t xml:space="preserve">,</w:t>
      </w:r>
      <w:r>
        <w:t xml:space="preserve"> </w:t>
      </w:r>
      <w:r>
        <w:rPr>
          <w:iCs/>
          <w:i/>
        </w:rPr>
        <w:t xml:space="preserve">113</w:t>
      </w:r>
      <w:r>
        <w:t xml:space="preserve">, 838–859.</w:t>
      </w:r>
      <w:r>
        <w:t xml:space="preserve"> </w:t>
      </w:r>
      <w:hyperlink r:id="rId144">
        <w:r>
          <w:rPr>
            <w:rStyle w:val="Hyperlink"/>
          </w:rPr>
          <w:t xml:space="preserve">https://declaredesign.org/paper.pdf</w:t>
        </w:r>
      </w:hyperlink>
    </w:p>
    <w:bookmarkEnd w:id="145"/>
    <w:bookmarkStart w:id="147"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146">
        <w:r>
          <w:rPr>
            <w:rStyle w:val="Hyperlink"/>
          </w:rPr>
          <w:t xml:space="preserve">https://doi.org/10.1037/a0038047</w:t>
        </w:r>
      </w:hyperlink>
    </w:p>
    <w:bookmarkEnd w:id="147"/>
    <w:bookmarkStart w:id="149" w:name="ref-MOTE"/>
    <w:p>
      <w:pPr>
        <w:pStyle w:val="Bibliography"/>
      </w:pPr>
      <w:r>
        <w:t xml:space="preserve">Buchanan, E. M., Gillenwaters, A., Scofield, J. E., &amp; Valentine, K. D.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48">
        <w:r>
          <w:rPr>
            <w:rStyle w:val="Hyperlink"/>
          </w:rPr>
          <w:t xml:space="preserve">http://github.com/doomlab/MOTE</w:t>
        </w:r>
      </w:hyperlink>
    </w:p>
    <w:bookmarkEnd w:id="149"/>
    <w:bookmarkStart w:id="151" w:name="ref-caldwell"/>
    <w:p>
      <w:pPr>
        <w:pStyle w:val="Bibliography"/>
      </w:pPr>
      <w:r>
        <w:t xml:space="preserve">Caldwell, A. R. (n.d.).</w:t>
      </w:r>
      <w:r>
        <w:t xml:space="preserve"> </w:t>
      </w:r>
      <w:r>
        <w:rPr>
          <w:iCs/>
          <w:i/>
        </w:rPr>
        <w:t xml:space="preserve">Exploring equivalence testing with the updated TOSTER r package</w:t>
      </w:r>
      <w:r>
        <w:t xml:space="preserve">.</w:t>
      </w:r>
      <w:r>
        <w:t xml:space="preserve"> </w:t>
      </w:r>
      <w:hyperlink r:id="rId150">
        <w:r>
          <w:rPr>
            <w:rStyle w:val="Hyperlink"/>
          </w:rPr>
          <w:t xml:space="preserve">https://doi.org/10.31234/osf.io/ty8de</w:t>
        </w:r>
      </w:hyperlink>
    </w:p>
    <w:bookmarkEnd w:id="151"/>
    <w:bookmarkStart w:id="153"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152">
        <w:r>
          <w:rPr>
            <w:rStyle w:val="Hyperlink"/>
          </w:rPr>
          <w:t xml:space="preserve">https://www.semanticscholar.org/paper/It%27s-the-Effect-Size%2C-Stupid-What-effect-size-is-it-Coe/c5ac87df5d6e0e6b6de2f745284835c2a368b0f7</w:t>
        </w:r>
      </w:hyperlink>
    </w:p>
    <w:bookmarkEnd w:id="153"/>
    <w:bookmarkStart w:id="154"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154"/>
    <w:bookmarkStart w:id="156" w:name="ref-psychmeta"/>
    <w:p>
      <w:pPr>
        <w:pStyle w:val="Bibliography"/>
      </w:pPr>
      <w:r>
        <w:t xml:space="preserve">Dahlke, J. A., &amp; Wiernik, B. M. (2019).</w:t>
      </w:r>
      <w:r>
        <w:t xml:space="preserve"> </w:t>
      </w:r>
      <w:r>
        <w:t xml:space="preserve">psychmeta</w:t>
      </w:r>
      <w:r>
        <w:t xml:space="preserve">: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155">
        <w:r>
          <w:rPr>
            <w:rStyle w:val="Hyperlink"/>
          </w:rPr>
          <w:t xml:space="preserve">https://doi.org/10.1177/0146621618795933</w:t>
        </w:r>
      </w:hyperlink>
    </w:p>
    <w:bookmarkEnd w:id="156"/>
    <w:bookmarkStart w:id="158" w:name="ref-TOSTER"/>
    <w:p>
      <w:pPr>
        <w:pStyle w:val="Bibliography"/>
      </w:pPr>
      <w:r>
        <w:t xml:space="preserve">Daniel, Lakens, &amp; aut.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57">
        <w:r>
          <w:rPr>
            <w:rStyle w:val="Hyperlink"/>
          </w:rPr>
          <w:t xml:space="preserve">https://doi.org/10.1177/1948550617697177</w:t>
        </w:r>
      </w:hyperlink>
    </w:p>
    <w:bookmarkEnd w:id="158"/>
    <w:bookmarkStart w:id="160" w:name="ref-faul2009"/>
    <w:p>
      <w:pPr>
        <w:pStyle w:val="Bibliography"/>
      </w:pPr>
      <w:r>
        <w:t xml:space="preserve">Faul, F., Erdfelder, E., Buchner, A., &amp; Lang, A.-G. (2009). Statistical power analyses using G*Power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159">
        <w:r>
          <w:rPr>
            <w:rStyle w:val="Hyperlink"/>
          </w:rPr>
          <w:t xml:space="preserve">https://doi.org/10.3758/BRM.41.4.1149</w:t>
        </w:r>
      </w:hyperlink>
    </w:p>
    <w:bookmarkEnd w:id="160"/>
    <w:bookmarkStart w:id="162"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161">
        <w:r>
          <w:rPr>
            <w:rStyle w:val="Hyperlink"/>
          </w:rPr>
          <w:t xml:space="preserve">https://doi.org/10.1037/a0024338</w:t>
        </w:r>
      </w:hyperlink>
    </w:p>
    <w:bookmarkEnd w:id="162"/>
    <w:bookmarkStart w:id="164"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163">
        <w:r>
          <w:rPr>
            <w:rStyle w:val="Hyperlink"/>
          </w:rPr>
          <w:t xml:space="preserve">https://doi.org/10.1177/2515245919847202</w:t>
        </w:r>
      </w:hyperlink>
    </w:p>
    <w:bookmarkEnd w:id="164"/>
    <w:bookmarkStart w:id="165"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51">
        <w:r>
          <w:rPr>
            <w:rStyle w:val="Hyperlink"/>
          </w:rPr>
          <w:t xml:space="preserve">https://doi.org/10.1016/j.paid.2016.06.069</w:t>
        </w:r>
      </w:hyperlink>
    </w:p>
    <w:bookmarkEnd w:id="165"/>
    <w:bookmarkStart w:id="167" w:name="ref-glass1981"/>
    <w:p>
      <w:pPr>
        <w:pStyle w:val="Bibliography"/>
      </w:pPr>
      <w:r>
        <w:t xml:space="preserve">Glass, G. V. (1981). Meta-analysis in social research.</w:t>
      </w:r>
      <w:r>
        <w:t xml:space="preserve"> </w:t>
      </w:r>
      <w:r>
        <w:rPr>
          <w:iCs/>
          <w:i/>
        </w:rPr>
        <w:t xml:space="preserve">(No Title)</w:t>
      </w:r>
      <w:r>
        <w:t xml:space="preserve">.</w:t>
      </w:r>
      <w:r>
        <w:t xml:space="preserve"> </w:t>
      </w:r>
      <w:hyperlink r:id="rId166">
        <w:r>
          <w:rPr>
            <w:rStyle w:val="Hyperlink"/>
          </w:rPr>
          <w:t xml:space="preserve">https://cir.nii.ac.jp/crid/1130000795088566912</w:t>
        </w:r>
      </w:hyperlink>
    </w:p>
    <w:bookmarkEnd w:id="167"/>
    <w:bookmarkStart w:id="168"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166">
        <w:r>
          <w:rPr>
            <w:rStyle w:val="Hyperlink"/>
          </w:rPr>
          <w:t xml:space="preserve">https://cir.nii.ac.jp/crid/1130000795088566912</w:t>
        </w:r>
      </w:hyperlink>
    </w:p>
    <w:bookmarkEnd w:id="168"/>
    <w:bookmarkStart w:id="170"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169">
        <w:r>
          <w:rPr>
            <w:rStyle w:val="Hyperlink"/>
          </w:rPr>
          <w:t xml:space="preserve">https://discourse.datamethods.org/t/author-checklist/3407</w:t>
        </w:r>
      </w:hyperlink>
    </w:p>
    <w:bookmarkEnd w:id="170"/>
    <w:bookmarkStart w:id="172" w:name="ref-hedges1981"/>
    <w:p>
      <w:pPr>
        <w:pStyle w:val="Bibliography"/>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w:t>
      </w:r>
      <w:r>
        <w:t xml:space="preserve"> </w:t>
      </w:r>
      <w:hyperlink r:id="rId171">
        <w:r>
          <w:rPr>
            <w:rStyle w:val="Hyperlink"/>
          </w:rPr>
          <w:t xml:space="preserve">https://doi.org/10.3102/10769986006002107</w:t>
        </w:r>
      </w:hyperlink>
    </w:p>
    <w:bookmarkEnd w:id="172"/>
    <w:bookmarkStart w:id="174"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73">
        <w:r>
          <w:rPr>
            <w:rStyle w:val="Hyperlink"/>
          </w:rPr>
          <w:t xml:space="preserve">https://doi.org/10.3758/s13423-013-0572-3</w:t>
        </w:r>
      </w:hyperlink>
    </w:p>
    <w:bookmarkEnd w:id="174"/>
    <w:bookmarkStart w:id="175" w:name="ref-hunter1990"/>
    <w:p>
      <w:pPr>
        <w:pStyle w:val="Bibliography"/>
      </w:pPr>
      <w:r>
        <w:t xml:space="preserve">Hunter, J. E., &amp; Schmidt, F. L. (1990).</w:t>
      </w:r>
      <w:r>
        <w:t xml:space="preserve"> </w:t>
      </w:r>
      <w:r>
        <w:rPr>
          <w:iCs/>
          <w:i/>
        </w:rPr>
        <w:t xml:space="preserve">Methods of meta-analysis: correcting error and bias in research findings</w:t>
      </w:r>
      <w:r>
        <w:t xml:space="preserve">. Sage Publications.</w:t>
      </w:r>
    </w:p>
    <w:bookmarkEnd w:id="175"/>
    <w:bookmarkStart w:id="177" w:name="ref-MatthewBJane2023"/>
    <w:p>
      <w:pPr>
        <w:pStyle w:val="Bibliography"/>
      </w:pPr>
      <w:r>
        <w:t xml:space="preserve">Jané, M. B. (2023).</w:t>
      </w:r>
      <w:r>
        <w:t xml:space="preserve"> </w:t>
      </w:r>
      <w:r>
        <w:rPr>
          <w:iCs/>
          <w:i/>
        </w:rPr>
        <w:t xml:space="preserve">Artifact corrections for effect sizes: Implementation in r and application to meta-analysis</w:t>
      </w:r>
      <w:r>
        <w:t xml:space="preserve">. (n.p.).</w:t>
      </w:r>
      <w:r>
        <w:t xml:space="preserve"> </w:t>
      </w:r>
      <w:hyperlink r:id="rId176">
        <w:r>
          <w:rPr>
            <w:rStyle w:val="Hyperlink"/>
          </w:rPr>
          <w:t xml:space="preserve">https://matthewbjane.quarto.pub/artifact-corrections-for-effect-sizes/</w:t>
        </w:r>
      </w:hyperlink>
    </w:p>
    <w:bookmarkEnd w:id="177"/>
    <w:bookmarkStart w:id="179" w:name="ref-MBESS"/>
    <w:p>
      <w:pPr>
        <w:pStyle w:val="Bibliography"/>
      </w:pPr>
      <w:r>
        <w:t xml:space="preserve">Kelley, K. (2022).</w:t>
      </w:r>
      <w:r>
        <w:t xml:space="preserve"> </w:t>
      </w:r>
      <w:r>
        <w:rPr>
          <w:iCs/>
          <w:i/>
        </w:rPr>
        <w:t xml:space="preserve">MBESS: The MBESS r package</w:t>
      </w:r>
      <w:r>
        <w:t xml:space="preserve">.</w:t>
      </w:r>
      <w:r>
        <w:t xml:space="preserve"> </w:t>
      </w:r>
      <w:hyperlink r:id="rId178">
        <w:r>
          <w:rPr>
            <w:rStyle w:val="Hyperlink"/>
          </w:rPr>
          <w:t xml:space="preserve">https://CRAN.R-project.org/package=MBESS</w:t>
        </w:r>
      </w:hyperlink>
    </w:p>
    <w:bookmarkEnd w:id="179"/>
    <w:bookmarkStart w:id="181"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80">
        <w:r>
          <w:rPr>
            <w:rStyle w:val="Hyperlink"/>
          </w:rPr>
          <w:t xml:space="preserve">https://doi.org/10.1037/a0028086</w:t>
        </w:r>
      </w:hyperlink>
    </w:p>
    <w:bookmarkEnd w:id="181"/>
    <w:bookmarkStart w:id="182" w:name="ref-BootES"/>
    <w:p>
      <w:pPr>
        <w:pStyle w:val="Bibliography"/>
      </w:pPr>
      <w:r>
        <w:t xml:space="preserve">Kirby, K. N., &amp; Gerlanc, D. (2013). BootES: An r package for bootstrap confidence intervals on effect sizes.</w:t>
      </w:r>
      <w:r>
        <w:t xml:space="preserve"> </w:t>
      </w:r>
      <w:r>
        <w:rPr>
          <w:iCs/>
          <w:i/>
        </w:rPr>
        <w:t xml:space="preserve">Behavior Research Methods</w:t>
      </w:r>
      <w:r>
        <w:t xml:space="preserve">,</w:t>
      </w:r>
      <w:r>
        <w:t xml:space="preserve"> </w:t>
      </w:r>
      <w:r>
        <w:rPr>
          <w:iCs/>
          <w:i/>
        </w:rPr>
        <w:t xml:space="preserve">45</w:t>
      </w:r>
      <w:r>
        <w:t xml:space="preserve">, 905–927.</w:t>
      </w:r>
    </w:p>
    <w:bookmarkEnd w:id="182"/>
    <w:bookmarkStart w:id="184"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83">
        <w:r>
          <w:rPr>
            <w:rStyle w:val="Hyperlink"/>
          </w:rPr>
          <w:t xml:space="preserve">https://www.frontiersin.org/articles/10.3389/fpsyg.2013.00863</w:t>
        </w:r>
      </w:hyperlink>
    </w:p>
    <w:bookmarkEnd w:id="184"/>
    <w:bookmarkStart w:id="186" w:name="ref-lakens2014"/>
    <w:p>
      <w:pPr>
        <w:pStyle w:val="Bibliography"/>
      </w:pPr>
      <w:r>
        <w:t xml:space="preserve">Lakens, D. (2014).</w:t>
      </w:r>
      <w:r>
        <w:t xml:space="preserve"> </w:t>
      </w:r>
      <w:r>
        <w:rPr>
          <w:iCs/>
          <w:i/>
        </w:rPr>
        <w:t xml:space="preserve">The 20</w:t>
      </w:r>
      <w:r>
        <w:t xml:space="preserve">.</w:t>
      </w:r>
      <w:r>
        <w:t xml:space="preserve"> </w:t>
      </w:r>
      <w:hyperlink r:id="rId185">
        <w:r>
          <w:rPr>
            <w:rStyle w:val="Hyperlink"/>
          </w:rPr>
          <w:t xml:space="preserve">http://daniellakens.blogspot.com/2014/06/calculating-confidence-intervals-for.html</w:t>
        </w:r>
      </w:hyperlink>
    </w:p>
    <w:bookmarkEnd w:id="186"/>
    <w:bookmarkStart w:id="188"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87">
        <w:r>
          <w:rPr>
            <w:rStyle w:val="Hyperlink"/>
          </w:rPr>
          <w:t xml:space="preserve">https://doi.org/10.1002/ejsp.2752</w:t>
        </w:r>
      </w:hyperlink>
    </w:p>
    <w:bookmarkEnd w:id="188"/>
    <w:bookmarkStart w:id="190" w:name="ref-esc"/>
    <w:p>
      <w:pPr>
        <w:pStyle w:val="Bibliography"/>
      </w:pPr>
      <w:r>
        <w:t xml:space="preserve">Lüdecke, D. (2019).</w:t>
      </w:r>
      <w:r>
        <w:t xml:space="preserve"> </w:t>
      </w:r>
      <w:r>
        <w:rPr>
          <w:iCs/>
          <w:i/>
        </w:rPr>
        <w:t xml:space="preserve">Esc: Effect size computation for meta analysis (version 0.5.1)</w:t>
      </w:r>
      <w:r>
        <w:t xml:space="preserve">.</w:t>
      </w:r>
      <w:r>
        <w:t xml:space="preserve"> </w:t>
      </w:r>
      <w:hyperlink r:id="rId189">
        <w:r>
          <w:rPr>
            <w:rStyle w:val="Hyperlink"/>
          </w:rPr>
          <w:t xml:space="preserve">https://doi.org/10.5281/zenodo.1249218</w:t>
        </w:r>
      </w:hyperlink>
    </w:p>
    <w:bookmarkEnd w:id="190"/>
    <w:bookmarkStart w:id="192"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91">
        <w:r>
          <w:rPr>
            <w:rStyle w:val="Hyperlink"/>
          </w:rPr>
          <w:t xml:space="preserve">https://doi.org/10.1017/S0140525X00027308</w:t>
        </w:r>
      </w:hyperlink>
    </w:p>
    <w:bookmarkEnd w:id="192"/>
    <w:bookmarkStart w:id="194"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93">
        <w:r>
          <w:rPr>
            <w:rStyle w:val="Hyperlink"/>
          </w:rPr>
          <w:t xml:space="preserve">https://doi.org/10.3758/s13423-015-0947-8</w:t>
        </w:r>
      </w:hyperlink>
    </w:p>
    <w:bookmarkEnd w:id="194"/>
    <w:bookmarkStart w:id="196" w:name="ref-olkin1995"/>
    <w:p>
      <w:pPr>
        <w:pStyle w:val="Bibliography"/>
      </w:pPr>
      <w:r>
        <w:t xml:space="preserve">Olkin, I., &amp; Finn, J. D. (1995). Correlations redux.</w:t>
      </w:r>
      <w:r>
        <w:t xml:space="preserve"> </w:t>
      </w:r>
      <w:r>
        <w:rPr>
          <w:iCs/>
          <w:i/>
        </w:rPr>
        <w:t xml:space="preserve">Psychological Bulletin</w:t>
      </w:r>
      <w:r>
        <w:t xml:space="preserve">,</w:t>
      </w:r>
      <w:r>
        <w:t xml:space="preserve"> </w:t>
      </w:r>
      <w:r>
        <w:rPr>
          <w:iCs/>
          <w:i/>
        </w:rPr>
        <w:t xml:space="preserve">118</w:t>
      </w:r>
      <w:r>
        <w:t xml:space="preserve">(1), 155–164.</w:t>
      </w:r>
      <w:r>
        <w:t xml:space="preserve"> </w:t>
      </w:r>
      <w:hyperlink r:id="rId195">
        <w:r>
          <w:rPr>
            <w:rStyle w:val="Hyperlink"/>
          </w:rPr>
          <w:t xml:space="preserve">https://doi.org/10.1037/0033-2909.118.1.155</w:t>
        </w:r>
      </w:hyperlink>
    </w:p>
    <w:bookmarkEnd w:id="196"/>
    <w:bookmarkStart w:id="198"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197">
        <w:r>
          <w:rPr>
            <w:rStyle w:val="Hyperlink"/>
          </w:rPr>
          <w:t xml:space="preserve">https://doi.org/10.1177/2515245920917961</w:t>
        </w:r>
      </w:hyperlink>
    </w:p>
    <w:bookmarkEnd w:id="198"/>
    <w:bookmarkStart w:id="200"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199">
        <w:r>
          <w:rPr>
            <w:rStyle w:val="Hyperlink"/>
          </w:rPr>
          <w:t xml:space="preserve">https://doi.org/10.1177/1548051815614321</w:t>
        </w:r>
      </w:hyperlink>
    </w:p>
    <w:bookmarkEnd w:id="200"/>
    <w:bookmarkStart w:id="202" w:name="ref-ufs"/>
    <w:p>
      <w:pPr>
        <w:pStyle w:val="Bibliography"/>
      </w:pPr>
      <w:r>
        <w:t xml:space="preserve">Peters, G.-J. Y., &amp; Gruijters, S. (2023).</w:t>
      </w:r>
      <w:r>
        <w:t xml:space="preserve"> </w:t>
      </w:r>
      <w:r>
        <w:rPr>
          <w:iCs/>
          <w:i/>
        </w:rPr>
        <w:t xml:space="preserve">Ufs: A collection of utilities</w:t>
      </w:r>
      <w:r>
        <w:t xml:space="preserve">.</w:t>
      </w:r>
      <w:r>
        <w:t xml:space="preserve"> </w:t>
      </w:r>
      <w:hyperlink r:id="rId201">
        <w:r>
          <w:rPr>
            <w:rStyle w:val="Hyperlink"/>
          </w:rPr>
          <w:t xml:space="preserve">https://ufs.opens.science</w:t>
        </w:r>
      </w:hyperlink>
    </w:p>
    <w:bookmarkEnd w:id="202"/>
    <w:bookmarkStart w:id="204"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203">
        <w:r>
          <w:rPr>
            <w:rStyle w:val="Hyperlink"/>
          </w:rPr>
          <w:t xml:space="preserve">https://doi.org/10.1080/00031305.2018.1549101</w:t>
        </w:r>
      </w:hyperlink>
    </w:p>
    <w:bookmarkEnd w:id="204"/>
    <w:bookmarkStart w:id="205"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50">
        <w:r>
          <w:rPr>
            <w:rStyle w:val="Hyperlink"/>
          </w:rPr>
          <w:t xml:space="preserve">https://doi.org/10.1037/1089-2680.7.4.331</w:t>
        </w:r>
      </w:hyperlink>
    </w:p>
    <w:bookmarkEnd w:id="205"/>
    <w:bookmarkStart w:id="207"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206">
        <w:r>
          <w:rPr>
            <w:rStyle w:val="Hyperlink"/>
          </w:rPr>
          <w:t xml:space="preserve">https://doi.org/10.22237/jmasm/1257035100</w:t>
        </w:r>
      </w:hyperlink>
    </w:p>
    <w:bookmarkEnd w:id="207"/>
    <w:bookmarkStart w:id="209"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208">
        <w:r>
          <w:rPr>
            <w:rStyle w:val="Hyperlink"/>
          </w:rPr>
          <w:t xml:space="preserve">https://www.frontiersin.org/articles/10.3389/fpsyg.2019.00813</w:t>
        </w:r>
      </w:hyperlink>
    </w:p>
    <w:bookmarkEnd w:id="209"/>
    <w:bookmarkStart w:id="211"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210">
        <w:r>
          <w:rPr>
            <w:rStyle w:val="Hyperlink"/>
          </w:rPr>
          <w:t xml:space="preserve">https://doi.org/10.1037/1082-989X.9.2.164</w:t>
        </w:r>
      </w:hyperlink>
    </w:p>
    <w:bookmarkEnd w:id="211"/>
    <w:bookmarkStart w:id="213" w:name="ref-effsize"/>
    <w:p>
      <w:pPr>
        <w:pStyle w:val="Bibliography"/>
      </w:pPr>
      <w:r>
        <w:t xml:space="preserve">Torchiano, M. (2020).</w:t>
      </w:r>
      <w:r>
        <w:t xml:space="preserve"> </w:t>
      </w:r>
      <w:r>
        <w:rPr>
          <w:iCs/>
          <w:i/>
        </w:rPr>
        <w:t xml:space="preserve">Effsize: Efficient effect size computation</w:t>
      </w:r>
      <w:r>
        <w:t xml:space="preserve">.</w:t>
      </w:r>
      <w:r>
        <w:t xml:space="preserve"> </w:t>
      </w:r>
      <w:hyperlink r:id="rId212">
        <w:r>
          <w:rPr>
            <w:rStyle w:val="Hyperlink"/>
          </w:rPr>
          <w:t xml:space="preserve">https://doi.org/10.5281/zenodo.1480624</w:t>
        </w:r>
      </w:hyperlink>
    </w:p>
    <w:bookmarkEnd w:id="213"/>
    <w:bookmarkStart w:id="215" w:name="ref-metafor"/>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14">
        <w:r>
          <w:rPr>
            <w:rStyle w:val="Hyperlink"/>
          </w:rPr>
          <w:t xml:space="preserve">https://doi.org/10.18637/jss.v036.i03</w:t>
        </w:r>
      </w:hyperlink>
    </w:p>
    <w:bookmarkEnd w:id="215"/>
    <w:bookmarkStart w:id="217"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216">
        <w:r>
          <w:rPr>
            <w:rStyle w:val="Hyperlink"/>
          </w:rPr>
          <w:t xml:space="preserve">https://doi.org/10.1007/s11229-022-03560-x</w:t>
        </w:r>
      </w:hyperlink>
    </w:p>
    <w:bookmarkEnd w:id="217"/>
    <w:bookmarkStart w:id="219" w:name="ref-MAd"/>
    <w:p>
      <w:pPr>
        <w:pStyle w:val="Bibliography"/>
      </w:pPr>
      <w:r>
        <w:t xml:space="preserve">W. T. Hoyt, A. C. D. R. &amp;. (2014). MAd: Meta-analysis with mean differences. In</w:t>
      </w:r>
      <w:r>
        <w:t xml:space="preserve"> </w:t>
      </w:r>
      <w:r>
        <w:rPr>
          <w:iCs/>
          <w:i/>
        </w:rPr>
        <w:t xml:space="preserve">R Package</w:t>
      </w:r>
      <w:r>
        <w:t xml:space="preserve">.</w:t>
      </w:r>
      <w:r>
        <w:t xml:space="preserve"> </w:t>
      </w:r>
      <w:hyperlink r:id="rId218">
        <w:r>
          <w:rPr>
            <w:rStyle w:val="Hyperlink"/>
          </w:rPr>
          <w:t xml:space="preserve">https://CRAN.R-project.org/package=MAd</w:t>
        </w:r>
      </w:hyperlink>
    </w:p>
    <w:bookmarkEnd w:id="219"/>
    <w:bookmarkStart w:id="221" w:name="ref-wiernik2020"/>
    <w:p>
      <w:pPr>
        <w:pStyle w:val="Bibliography"/>
      </w:pPr>
      <w:r>
        <w:t xml:space="preserve">Wiernik, B. M., &amp; Dahlke, J. A. (2020). Obtaining Unbiased Results in Meta-Analysis: The Importance of Correcting for Statistical Artifacts.</w:t>
      </w:r>
      <w:r>
        <w:t xml:space="preserve"> </w:t>
      </w:r>
      <w:r>
        <w:rPr>
          <w:iCs/>
          <w:i/>
        </w:rPr>
        <w:t xml:space="preserve">Advances in Methods and Practices in Psychological Science</w:t>
      </w:r>
      <w:r>
        <w:t xml:space="preserve">,</w:t>
      </w:r>
      <w:r>
        <w:t xml:space="preserve"> </w:t>
      </w:r>
      <w:r>
        <w:rPr>
          <w:iCs/>
          <w:i/>
        </w:rPr>
        <w:t xml:space="preserve">3</w:t>
      </w:r>
      <w:r>
        <w:t xml:space="preserve">(1), 94–123.</w:t>
      </w:r>
      <w:r>
        <w:t xml:space="preserve"> </w:t>
      </w:r>
      <w:hyperlink r:id="rId220">
        <w:r>
          <w:rPr>
            <w:rStyle w:val="Hyperlink"/>
          </w:rPr>
          <w:t xml:space="preserve">https://doi.org/10.1177/2515245919885611</w:t>
        </w:r>
      </w:hyperlink>
    </w:p>
    <w:bookmarkEnd w:id="221"/>
    <w:bookmarkStart w:id="223" w:name="ref-psych"/>
    <w:p>
      <w:pPr>
        <w:pStyle w:val="Bibliography"/>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222">
        <w:r>
          <w:rPr>
            <w:rStyle w:val="Hyperlink"/>
          </w:rPr>
          <w:t xml:space="preserve">https://CRAN.R-project.org/package=psych</w:t>
        </w:r>
      </w:hyperlink>
    </w:p>
    <w:bookmarkEnd w:id="223"/>
    <w:bookmarkEnd w:id="224"/>
    <w:bookmarkEnd w:id="225"/>
    <w:bookmarkEnd w:id="226"/>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53">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4">
    <w:p>
      <w:pPr>
        <w:pStyle w:val="FootnoteText"/>
      </w:pPr>
      <w:r>
        <w:rPr>
          <w:rStyle w:val="FootnoteReference"/>
        </w:rPr>
        <w:footnoteRef/>
      </w:r>
      <w:r>
        <w:t xml:space="preserve"> </w:t>
      </w:r>
      <w:r>
        <w:t xml:space="preserve">1) Brunner, E., Munzel, U. (2000). The Nonparametric Behrens-Fisher Problem: Asymptotic Theory and a Small Sample Approximation. Biometrical Journal 42, 17 -25. 2) 2) Neubert, K., Brunner, E., (2006). A Studentized Permutation Test for the Nonparametric Behrens-Fisher Problem. Computational Statistics and Data Analysis. 3) Munzel, U., Brunner, E. (2002). An Exact Paired Rank Test. Biometrical Journal 44, 584-593.</w:t>
      </w:r>
    </w:p>
  </w:footnote>
  <w:footnote w:id="55">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56">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7">
        <w:r>
          <w:rPr>
            <w:rStyle w:val="Hyperlink"/>
          </w:rPr>
          <w:t xml:space="preserve">here</w:t>
        </w:r>
      </w:hyperlink>
      <w:r>
        <w:t xml:space="preserve"> </w:t>
      </w:r>
      <w:r>
        <w:t xml:space="preserve">for controversies with this paper.</w:t>
      </w:r>
    </w:p>
  </w:footnote>
  <w:footnote w:id="58">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61">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123">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4">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6">
    <w:p>
      <w:pPr>
        <w:pStyle w:val="FootnoteText"/>
      </w:pPr>
      <w:r>
        <w:rPr>
          <w:rStyle w:val="FootnoteReference"/>
        </w:rPr>
        <w:footnoteRef/>
      </w:r>
      <w:r>
        <w:t xml:space="preserve"> </w:t>
      </w:r>
      <w:r>
        <w:t xml:space="preserve">1) Brunner, E., Munzel, U. (2000). The Nonparametric Behrens-Fisher Problem: Asymptotic Theory and a Small Sample Approximation. Biometrical Journal 42, 17 -25. 2) 2) Neubert, K., Brunner, E., (2006). A Studentized Permutation Test for the Nonparametric Behrens-Fisher Problem. Computational Statistics and Data Analysis. 3) Munzel, U., Brunner, E. (2002). An Exact Paired Rank Test. Biometrical Journal 44, 584-593.</w:t>
      </w:r>
    </w:p>
  </w:footnote>
  <w:footnote w:id="127">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132">
    <w:p>
      <w:pPr>
        <w:pStyle w:val="FootnoteText"/>
      </w:pPr>
      <w:r>
        <w:rPr>
          <w:rStyle w:val="FootnoteReference"/>
        </w:rPr>
        <w:footnoteRef/>
      </w:r>
      <w:r>
        <w:t xml:space="preserve"> </w:t>
      </w:r>
      <w:r>
        <w:t xml:space="preserve">O’Brien, Ralph G, and John Castelloe. 2006.</w:t>
      </w:r>
      <w:r>
        <w:t xml:space="preserve"> </w:t>
      </w:r>
      <w:r>
        <w:t xml:space="preserve">“</w:t>
      </w:r>
      <w:r>
        <w:t xml:space="preserve">Exploiting the Link Between the Wilcoxon-Mann-Whitney Test and a Simple Odds Statistic,</w:t>
      </w:r>
      <w:r>
        <w:t xml:space="preserve">”</w:t>
      </w:r>
      <w:r>
        <w:t xml:space="preserve"> </w:t>
      </w:r>
      <w:r>
        <w:t xml:space="preserve">209–31.</w:t>
      </w:r>
    </w:p>
  </w:footnote>
  <w:footnote w:id="133">
    <w:p>
      <w:pPr>
        <w:pStyle w:val="FootnoteText"/>
      </w:pPr>
      <w:r>
        <w:rPr>
          <w:rStyle w:val="FootnoteReference"/>
        </w:rPr>
        <w:footnoteRef/>
      </w:r>
      <w:r>
        <w:t xml:space="preserve"> </w:t>
      </w:r>
      <w:r>
        <w:t xml:space="preserve">Agresti, Alan. 1980.</w:t>
      </w:r>
      <w:r>
        <w:t xml:space="preserve"> </w:t>
      </w:r>
      <w:r>
        <w:t xml:space="preserve">“</w:t>
      </w:r>
      <w:r>
        <w:t xml:space="preserve">Generalized Odds Ratios for Ordinal Data.</w:t>
      </w:r>
      <w:r>
        <w:t xml:space="preserve">”</w:t>
      </w:r>
      <w:r>
        <w:t xml:space="preserve"> </w:t>
      </w:r>
      <w:r>
        <w:t xml:space="preserve">Biometrics, 59–67. https://doi.org/10.2307/2530495.</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95" Target="media/rId95.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8" Target="http://github.com/doomlab/MOTE" TargetMode="External" /><Relationship Type="http://schemas.openxmlformats.org/officeDocument/2006/relationships/hyperlink" Id="rId218"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2" Target="https://CRAN.R-project.org/package=psych" TargetMode="External" /><Relationship Type="http://schemas.openxmlformats.org/officeDocument/2006/relationships/hyperlink" Id="rId166"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4" Target="https://declaredesign.org/paper.pdf" TargetMode="External" /><Relationship Type="http://schemas.openxmlformats.org/officeDocument/2006/relationships/hyperlink" Id="rId169" Target="https://discourse.datamethods.org/t/author-checklist/3407" TargetMode="External" /><Relationship Type="http://schemas.openxmlformats.org/officeDocument/2006/relationships/hyperlink" Id="rId187" Target="https://doi.org/10.1002/ejsp.2752" TargetMode="External" /><Relationship Type="http://schemas.openxmlformats.org/officeDocument/2006/relationships/hyperlink" Id="rId216" Target="https://doi.org/10.1007/s11229-022-03560-x" TargetMode="External" /><Relationship Type="http://schemas.openxmlformats.org/officeDocument/2006/relationships/hyperlink" Id="rId51" Target="https://doi.org/10.1016/j.paid.2016.06.069" TargetMode="External" /><Relationship Type="http://schemas.openxmlformats.org/officeDocument/2006/relationships/hyperlink" Id="rId191" Target="https://doi.org/10.1017/S0140525X00027308" TargetMode="External" /><Relationship Type="http://schemas.openxmlformats.org/officeDocument/2006/relationships/hyperlink" Id="rId195" Target="https://doi.org/10.1037/0033-2909.118.1.155" TargetMode="External" /><Relationship Type="http://schemas.openxmlformats.org/officeDocument/2006/relationships/hyperlink" Id="rId210"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1"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6" Target="https://doi.org/10.1037/a0038047" TargetMode="External" /><Relationship Type="http://schemas.openxmlformats.org/officeDocument/2006/relationships/hyperlink" Id="rId203" Target="https://doi.org/10.1080/00031305.2018.1549101" TargetMode="External" /><Relationship Type="http://schemas.openxmlformats.org/officeDocument/2006/relationships/hyperlink" Id="rId138"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199" Target="https://doi.org/10.1177/1548051815614321" TargetMode="External" /><Relationship Type="http://schemas.openxmlformats.org/officeDocument/2006/relationships/hyperlink" Id="rId157" Target="https://doi.org/10.1177/1948550617697177" TargetMode="External" /><Relationship Type="http://schemas.openxmlformats.org/officeDocument/2006/relationships/hyperlink" Id="rId163" Target="https://doi.org/10.1177/2515245919847202" TargetMode="External" /><Relationship Type="http://schemas.openxmlformats.org/officeDocument/2006/relationships/hyperlink" Id="rId220" Target="https://doi.org/10.1177/2515245919885611" TargetMode="External" /><Relationship Type="http://schemas.openxmlformats.org/officeDocument/2006/relationships/hyperlink" Id="rId197" Target="https://doi.org/10.1177/2515245920917961" TargetMode="External" /><Relationship Type="http://schemas.openxmlformats.org/officeDocument/2006/relationships/hyperlink" Id="rId214" Target="https://doi.org/10.18637/jss.v036.i03" TargetMode="External" /><Relationship Type="http://schemas.openxmlformats.org/officeDocument/2006/relationships/hyperlink" Id="rId140" Target="https://doi.org/10.21105/joss.02815" TargetMode="External" /><Relationship Type="http://schemas.openxmlformats.org/officeDocument/2006/relationships/hyperlink" Id="rId206" Target="https://doi.org/10.22237/jmasm/1257035100" TargetMode="External" /><Relationship Type="http://schemas.openxmlformats.org/officeDocument/2006/relationships/hyperlink" Id="rId171" Target="https://doi.org/10.3102/10769986006002107" TargetMode="External" /><Relationship Type="http://schemas.openxmlformats.org/officeDocument/2006/relationships/hyperlink" Id="rId150" Target="https://doi.org/10.31234/osf.io/ty8de" TargetMode="External" /><Relationship Type="http://schemas.openxmlformats.org/officeDocument/2006/relationships/hyperlink" Id="rId142" Target="https://doi.org/10.3390/math11091982" TargetMode="External" /><Relationship Type="http://schemas.openxmlformats.org/officeDocument/2006/relationships/hyperlink" Id="rId159" Target="https://doi.org/10.3758/BRM.41.4.1149" TargetMode="External" /><Relationship Type="http://schemas.openxmlformats.org/officeDocument/2006/relationships/hyperlink" Id="rId173" Target="https://doi.org/10.3758/s13423-013-0572-3" TargetMode="External" /><Relationship Type="http://schemas.openxmlformats.org/officeDocument/2006/relationships/hyperlink" Id="rId193" Target="https://doi.org/10.3758/s13423-015-0947-8" TargetMode="External" /><Relationship Type="http://schemas.openxmlformats.org/officeDocument/2006/relationships/hyperlink" Id="rId189" Target="https://doi.org/10.5281/zenodo.1249218" TargetMode="External" /><Relationship Type="http://schemas.openxmlformats.org/officeDocument/2006/relationships/hyperlink" Id="rId212"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6"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6"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1"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08"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8" Target="http://github.com/doomlab/MOTE" TargetMode="External" /><Relationship Type="http://schemas.openxmlformats.org/officeDocument/2006/relationships/hyperlink" Id="rId218"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2" Target="https://CRAN.R-project.org/package=psych" TargetMode="External" /><Relationship Type="http://schemas.openxmlformats.org/officeDocument/2006/relationships/hyperlink" Id="rId166"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4" Target="https://declaredesign.org/paper.pdf" TargetMode="External" /><Relationship Type="http://schemas.openxmlformats.org/officeDocument/2006/relationships/hyperlink" Id="rId169" Target="https://discourse.datamethods.org/t/author-checklist/3407" TargetMode="External" /><Relationship Type="http://schemas.openxmlformats.org/officeDocument/2006/relationships/hyperlink" Id="rId187" Target="https://doi.org/10.1002/ejsp.2752" TargetMode="External" /><Relationship Type="http://schemas.openxmlformats.org/officeDocument/2006/relationships/hyperlink" Id="rId216" Target="https://doi.org/10.1007/s11229-022-03560-x" TargetMode="External" /><Relationship Type="http://schemas.openxmlformats.org/officeDocument/2006/relationships/hyperlink" Id="rId51" Target="https://doi.org/10.1016/j.paid.2016.06.069" TargetMode="External" /><Relationship Type="http://schemas.openxmlformats.org/officeDocument/2006/relationships/hyperlink" Id="rId191" Target="https://doi.org/10.1017/S0140525X00027308" TargetMode="External" /><Relationship Type="http://schemas.openxmlformats.org/officeDocument/2006/relationships/hyperlink" Id="rId195" Target="https://doi.org/10.1037/0033-2909.118.1.155" TargetMode="External" /><Relationship Type="http://schemas.openxmlformats.org/officeDocument/2006/relationships/hyperlink" Id="rId210"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1"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6" Target="https://doi.org/10.1037/a0038047" TargetMode="External" /><Relationship Type="http://schemas.openxmlformats.org/officeDocument/2006/relationships/hyperlink" Id="rId203" Target="https://doi.org/10.1080/00031305.2018.1549101" TargetMode="External" /><Relationship Type="http://schemas.openxmlformats.org/officeDocument/2006/relationships/hyperlink" Id="rId138"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199" Target="https://doi.org/10.1177/1548051815614321" TargetMode="External" /><Relationship Type="http://schemas.openxmlformats.org/officeDocument/2006/relationships/hyperlink" Id="rId157" Target="https://doi.org/10.1177/1948550617697177" TargetMode="External" /><Relationship Type="http://schemas.openxmlformats.org/officeDocument/2006/relationships/hyperlink" Id="rId163" Target="https://doi.org/10.1177/2515245919847202" TargetMode="External" /><Relationship Type="http://schemas.openxmlformats.org/officeDocument/2006/relationships/hyperlink" Id="rId220" Target="https://doi.org/10.1177/2515245919885611" TargetMode="External" /><Relationship Type="http://schemas.openxmlformats.org/officeDocument/2006/relationships/hyperlink" Id="rId197" Target="https://doi.org/10.1177/2515245920917961" TargetMode="External" /><Relationship Type="http://schemas.openxmlformats.org/officeDocument/2006/relationships/hyperlink" Id="rId214" Target="https://doi.org/10.18637/jss.v036.i03" TargetMode="External" /><Relationship Type="http://schemas.openxmlformats.org/officeDocument/2006/relationships/hyperlink" Id="rId140" Target="https://doi.org/10.21105/joss.02815" TargetMode="External" /><Relationship Type="http://schemas.openxmlformats.org/officeDocument/2006/relationships/hyperlink" Id="rId206" Target="https://doi.org/10.22237/jmasm/1257035100" TargetMode="External" /><Relationship Type="http://schemas.openxmlformats.org/officeDocument/2006/relationships/hyperlink" Id="rId171" Target="https://doi.org/10.3102/10769986006002107" TargetMode="External" /><Relationship Type="http://schemas.openxmlformats.org/officeDocument/2006/relationships/hyperlink" Id="rId150" Target="https://doi.org/10.31234/osf.io/ty8de" TargetMode="External" /><Relationship Type="http://schemas.openxmlformats.org/officeDocument/2006/relationships/hyperlink" Id="rId142" Target="https://doi.org/10.3390/math11091982" TargetMode="External" /><Relationship Type="http://schemas.openxmlformats.org/officeDocument/2006/relationships/hyperlink" Id="rId159" Target="https://doi.org/10.3758/BRM.41.4.1149" TargetMode="External" /><Relationship Type="http://schemas.openxmlformats.org/officeDocument/2006/relationships/hyperlink" Id="rId173" Target="https://doi.org/10.3758/s13423-013-0572-3" TargetMode="External" /><Relationship Type="http://schemas.openxmlformats.org/officeDocument/2006/relationships/hyperlink" Id="rId193" Target="https://doi.org/10.3758/s13423-015-0947-8" TargetMode="External" /><Relationship Type="http://schemas.openxmlformats.org/officeDocument/2006/relationships/hyperlink" Id="rId189" Target="https://doi.org/10.5281/zenodo.1249218" TargetMode="External" /><Relationship Type="http://schemas.openxmlformats.org/officeDocument/2006/relationships/hyperlink" Id="rId212"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6"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6"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1"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08"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2023-10-21T18:30:17Z</dcterms:created>
  <dcterms:modified xsi:type="dcterms:W3CDTF">2023-10-21T18:30:17Z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