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 — Sample</w:t>
      </w:r>
    </w:p>
    <w:p>
      <w:r>
        <w:t>This sample agreement is for testing document anonymization. It mixes fictional PII with structure typical of commercial contracts.</w:t>
      </w:r>
    </w:p>
    <w:p>
      <w:pPr>
        <w:pStyle w:val="Heading2"/>
      </w:pPr>
      <w:r>
        <w:t>Parties</w:t>
      </w:r>
    </w:p>
    <w:p>
      <w:r>
        <w:t>Provider: Contoso Pharmaceuticals Inc., contact Dr. Emily Chen (emily.chen@contoso-pharma.example.com), phone +44 20 7946 0958.</w:t>
      </w:r>
    </w:p>
    <w:p>
      <w:r>
        <w:t>Customer: Fabrikam Manufacturing LLC, represented by Michael O'Brien (michael.obrien@fabrikam.example.com). Billing address: 500 First Avenue, Seattle, WA.</w:t>
      </w:r>
    </w:p>
    <w:p>
      <w:pPr>
        <w:pStyle w:val="Heading2"/>
      </w:pPr>
      <w:r>
        <w:t>Commercial terms</w:t>
      </w:r>
    </w:p>
    <w:p>
      <w:r>
        <w:t>Fees are payable to Contoso Pharmaceuticals Inc. Supplier review performed by Amanda Williams of Northwind Logistics. IBAN DE89 3704 0044 0532 0130 00 may be used for SEPA transfers.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