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59" w:lineRule="auto"/>
      </w:pPr>
    </w:p>
    <w:p>
      <w:pPr>
        <w:spacing w:before="0" w:after="280" w:line="259" w:lineRule="auto"/>
      </w:pPr>
    </w:p>
    <w:p>
      <w:pPr>
        <w:spacing w:before="0" w:after="280" w:line="259" w:lineRule="auto"/>
      </w:pPr>
    </w:p>
    <w:p>
      <w:pPr>
        <w:spacing w:before="0" w:after="280" w:line="259" w:lineRule="auto"/>
      </w:pPr>
    </w:p>
    <w:p>
      <w:pPr>
        <w:spacing w:before="0" w:after="280" w:line="259" w:lineRule="auto"/>
      </w:pPr>
    </w:p>
    <w:p>
      <w:pPr>
        <w:spacing w:before="0" w:after="40" w:line="259" w:lineRule="auto"/>
      </w:pPr>
      <w:r>
        <w:rPr>
          <w:rFonts w:ascii="Calibri" w:hAnsi="Calibri" w:eastAsia="Calibri"/>
          <w:b/>
          <w:color w:val="009162"/>
          <w:sz w:val="22"/>
        </w:rPr>
        <w:t>ENTERPRISE UZBEKISTAN</w:t>
      </w:r>
    </w:p>
    <w:p>
      <w:pPr>
        <w:spacing w:before="0" w:after="520" w:line="259" w:lineRule="auto"/>
      </w:pPr>
      <w:r>
        <w:rPr>
          <w:rFonts w:ascii="Calibri" w:hAnsi="Calibri" w:eastAsia="Calibri"/>
          <w:color w:val="6B6E70"/>
          <w:sz w:val="20"/>
        </w:rPr>
        <w:t>Executive strategic advisory report</w:t>
      </w:r>
    </w:p>
    <w:p>
      <w:pPr>
        <w:spacing w:before="0" w:after="0" w:line="240" w:lineRule="auto"/>
      </w:pPr>
      <w:r>
        <w:rPr>
          <w:rFonts w:ascii="Calibri" w:hAnsi="Calibri" w:eastAsia="Calibri"/>
          <w:b/>
          <w:color w:val="175C58"/>
          <w:sz w:val="60"/>
        </w:rPr>
        <w:t>Regulatory Sandbox:</w:t>
      </w:r>
    </w:p>
    <w:p>
      <w:pPr>
        <w:spacing w:before="0" w:after="0" w:line="240" w:lineRule="auto"/>
      </w:pPr>
      <w:r>
        <w:rPr>
          <w:rFonts w:ascii="Calibri" w:hAnsi="Calibri" w:eastAsia="Calibri"/>
          <w:b/>
          <w:color w:val="175C58"/>
          <w:sz w:val="60"/>
        </w:rPr>
        <w:t>International Benchmarking</w:t>
      </w:r>
    </w:p>
    <w:p>
      <w:pPr>
        <w:spacing w:before="0" w:after="280" w:line="240" w:lineRule="auto"/>
      </w:pPr>
      <w:r>
        <w:rPr>
          <w:rFonts w:ascii="Calibri" w:hAnsi="Calibri" w:eastAsia="Calibri"/>
          <w:b/>
          <w:color w:val="175C58"/>
          <w:sz w:val="60"/>
        </w:rPr>
        <w:t>and Design Report</w:t>
      </w:r>
    </w:p>
    <w:p>
      <w:pPr>
        <w:pBdr>
          <w:bottom w:val="single" w:sz="18" w:space="14" w:color="009162"/>
        </w:pBdr>
        <w:spacing w:before="0" w:after="720" w:line="276" w:lineRule="auto"/>
      </w:pPr>
      <w:r>
        <w:rPr>
          <w:rFonts w:ascii="Calibri" w:hAnsi="Calibri" w:eastAsia="Calibri"/>
          <w:color w:val="39393B"/>
          <w:sz w:val="26"/>
        </w:rPr>
        <w:t>What has worked internationally, what the evidence shows, and the sandbox operating model Enterprise Uzbekistan should launch</w:t>
      </w:r>
    </w:p>
    <w:p>
      <w:pPr>
        <w:spacing w:before="0" w:after="100" w:line="259" w:lineRule="auto"/>
      </w:pPr>
      <w:r>
        <w:rPr>
          <w:rFonts w:ascii="Calibri" w:hAnsi="Calibri" w:eastAsia="Calibri"/>
          <w:b/>
          <w:color w:val="009162"/>
          <w:sz w:val="16"/>
        </w:rPr>
        <w:t xml:space="preserve">PREPARED FOR   </w:t>
      </w:r>
      <w:r>
        <w:rPr>
          <w:rFonts w:ascii="Calibri" w:hAnsi="Calibri" w:eastAsia="Calibri"/>
          <w:color w:val="39393B"/>
          <w:sz w:val="19"/>
        </w:rPr>
        <w:t>Chairman, Governing Council and Senior Management, Enterprise Uzbekistan</w:t>
      </w:r>
    </w:p>
    <w:p>
      <w:pPr>
        <w:spacing w:before="0" w:after="100" w:line="259" w:lineRule="auto"/>
      </w:pPr>
      <w:r>
        <w:rPr>
          <w:rFonts w:ascii="Calibri" w:hAnsi="Calibri" w:eastAsia="Calibri"/>
          <w:b/>
          <w:color w:val="009162"/>
          <w:sz w:val="16"/>
        </w:rPr>
        <w:t xml:space="preserve">RESEARCH DATE   </w:t>
      </w:r>
      <w:r>
        <w:rPr>
          <w:rFonts w:ascii="Calibri" w:hAnsi="Calibri" w:eastAsia="Calibri"/>
          <w:color w:val="39393B"/>
          <w:sz w:val="19"/>
        </w:rPr>
        <w:t>20 October 2026</w:t>
      </w:r>
    </w:p>
    <w:p>
      <w:pPr>
        <w:spacing w:before="0" w:after="100" w:line="259" w:lineRule="auto"/>
      </w:pPr>
      <w:r>
        <w:rPr>
          <w:rFonts w:ascii="Calibri" w:hAnsi="Calibri" w:eastAsia="Calibri"/>
          <w:b/>
          <w:color w:val="009162"/>
          <w:sz w:val="16"/>
        </w:rPr>
        <w:t xml:space="preserve">STATUS   </w:t>
      </w:r>
      <w:r>
        <w:rPr>
          <w:rFonts w:ascii="Calibri" w:hAnsi="Calibri" w:eastAsia="Calibri"/>
          <w:color w:val="39393B"/>
          <w:sz w:val="19"/>
        </w:rPr>
        <w:t>Decision-support draft. Figures are sourced to the bibliography; read the evidence-status note on the next page before relying on any number.</w:t>
      </w:r>
    </w:p>
    <w:p>
      <w:pPr>
        <w:spacing w:before="0" w:after="100" w:line="259" w:lineRule="auto"/>
      </w:pPr>
      <w:r>
        <w:rPr>
          <w:rFonts w:ascii="Calibri" w:hAnsi="Calibri" w:eastAsia="Calibri"/>
          <w:b/>
          <w:color w:val="009162"/>
          <w:sz w:val="16"/>
        </w:rPr>
        <w:t xml:space="preserve">LANGUAGE   </w:t>
      </w:r>
      <w:r>
        <w:rPr>
          <w:rFonts w:ascii="Calibri" w:hAnsi="Calibri" w:eastAsia="Calibri"/>
          <w:color w:val="39393B"/>
          <w:sz w:val="19"/>
        </w:rPr>
        <w:t>English</w:t>
      </w:r>
    </w:p>
    <w:p>
      <w:pPr>
        <w:pStyle w:val="Heading1"/>
        <w:pageBreakBefore/>
        <w:pBdr>
          <w:bottom w:val="single" w:sz="12" w:space="3" w:color="009162"/>
        </w:pBdr>
      </w:pPr>
      <w:r>
        <w:rPr>
          <w:rFonts w:ascii="Calibri" w:hAnsi="Calibri" w:eastAsia="Calibri"/>
        </w:rPr>
        <w:t>About this report: evidence status and how to read it</w:t>
      </w:r>
    </w:p>
    <w:tbl>
      <w:tblPr>
        <w:tblW w:type="auto" w:w="0"/>
        <w:jc w:val="center"/>
        <w:tblLayout w:type="fixed"/>
        <w:tblLook w:firstColumn="1" w:firstRow="1" w:lastColumn="0" w:lastRow="0" w:noHBand="0" w:noVBand="1" w:val="04A0"/>
      </w:tblPr>
      <w:tblGrid>
        <w:gridCol w:w="9639"/>
      </w:tblGrid>
      <w:tr>
        <w:trPr>
          <w:cantSplit/>
        </w:trPr>
        <w:tc>
          <w:tcPr>
            <w:tcW w:type="dxa" w:w="9638"/>
            <w:tcBorders>
              <w:top w:val="nil" w:sz="0" w:space="0" w:color="FFF6E5"/>
              <w:left w:val="single" w:sz="36" w:space="0" w:color="D98E04"/>
              <w:bottom w:val="nil" w:sz="0" w:space="0" w:color="FFF6E5"/>
              <w:right w:val="nil" w:sz="0" w:space="0" w:color="FFF6E5"/>
            </w:tcBorders>
            <w:shd w:val="clear" w:color="auto" w:fill="FFF6E5"/>
            <w:tcMar>
              <w:top w:w="90" w:type="dxa"/>
              <w:left w:w="150" w:type="dxa"/>
              <w:bottom w:w="90" w:type="dxa"/>
              <w:right w:w="120" w:type="dxa"/>
            </w:tcMar>
          </w:tcPr>
          <w:p>
            <w:pPr>
              <w:keepNext/>
              <w:spacing w:before="0" w:after="40" w:line="259" w:lineRule="auto"/>
            </w:pPr>
            <w:r>
              <w:rPr>
                <w:rFonts w:ascii="Calibri" w:hAnsi="Calibri" w:eastAsia="Calibri"/>
                <w:b/>
                <w:color w:val="175C58"/>
                <w:sz w:val="19"/>
              </w:rPr>
              <w:t>Evidence status: read before relying on any figure</w:t>
            </w:r>
          </w:p>
          <w:p>
            <w:pPr>
              <w:spacing w:before="0" w:after="40" w:line="252" w:lineRule="auto"/>
            </w:pPr>
            <w:r>
              <w:rPr>
                <w:rFonts w:ascii="Calibri" w:hAnsi="Calibri" w:eastAsia="Calibri"/>
                <w:b/>
                <w:sz w:val="18"/>
              </w:rPr>
              <w:t>What was done.</w:t>
            </w:r>
            <w:r>
              <w:rPr>
                <w:rFonts w:ascii="Calibri" w:hAnsi="Calibri" w:eastAsia="Calibri"/>
                <w:sz w:val="18"/>
              </w:rPr>
              <w:t xml:space="preserve"> Live web research on 20 October 2026 across regulator, government, multilateral and academic sources, followed by structuring into case studies, a design and a plan.</w:t>
            </w:r>
          </w:p>
          <w:p>
            <w:pPr>
              <w:spacing w:before="0" w:after="40" w:line="252" w:lineRule="auto"/>
            </w:pPr>
            <w:r>
              <w:rPr>
                <w:rFonts w:ascii="Calibri" w:hAnsi="Calibri" w:eastAsia="Calibri"/>
                <w:b/>
                <w:sz w:val="18"/>
              </w:rPr>
              <w:t>Limitation that affects every chapter.</w:t>
            </w:r>
            <w:r>
              <w:rPr>
                <w:rFonts w:ascii="Calibri" w:hAnsi="Calibri" w:eastAsia="Calibri"/>
                <w:sz w:val="18"/>
              </w:rPr>
              <w:t xml:space="preserve"> The research environment blocked direct access to most primary hosts (including fca.org.uk, mas.gov.sg, bis.org, weforum.org, dfsa.ae and lex.uz). Figures were therefore taken from search-engine summaries of the cited primary pages, or from secondary sources where stated. </w:t>
            </w:r>
            <w:r>
              <w:rPr>
                <w:rFonts w:ascii="Calibri" w:hAnsi="Calibri" w:eastAsia="Calibri"/>
                <w:b/>
                <w:sz w:val="18"/>
              </w:rPr>
              <w:t>No primary PDF was opened.</w:t>
            </w:r>
            <w:r>
              <w:rPr>
                <w:rFonts w:ascii="Calibri" w:hAnsi="Calibri" w:eastAsia="Calibri"/>
                <w:sz w:val="18"/>
              </w:rPr>
              <w:t xml:space="preserve"> Each figure carries the source of the primary page it points to; none has been checked against that page's full text.</w:t>
            </w:r>
          </w:p>
          <w:p>
            <w:pPr>
              <w:spacing w:before="0" w:after="40" w:line="252" w:lineRule="auto"/>
            </w:pPr>
            <w:r>
              <w:rPr>
                <w:rFonts w:ascii="Calibri" w:hAnsi="Calibri" w:eastAsia="Calibri"/>
                <w:b/>
                <w:sz w:val="18"/>
              </w:rPr>
              <w:t>Legal framework.</w:t>
            </w:r>
            <w:r>
              <w:rPr>
                <w:rFonts w:ascii="Calibri" w:hAnsi="Calibri" w:eastAsia="Calibri"/>
                <w:sz w:val="18"/>
              </w:rPr>
              <w:t xml:space="preserve"> The Enterprise Uzbekistan provisions in Chapter 5 come from news and law-firm reports and from EUz's own working files. </w:t>
            </w:r>
            <w:r>
              <w:rPr>
                <w:rFonts w:ascii="Calibri" w:hAnsi="Calibri" w:eastAsia="Calibri"/>
                <w:b/>
                <w:sz w:val="18"/>
              </w:rPr>
              <w:t>The official texts of Decree UP-233 and the Constitutional Law were not read.</w:t>
            </w:r>
            <w:r>
              <w:rPr>
                <w:rFonts w:ascii="Calibri" w:hAnsi="Calibri" w:eastAsia="Calibri"/>
                <w:sz w:val="18"/>
              </w:rPr>
              <w:t xml:space="preserve"> Nothing in this report is a confirmed legal position. The fit-gap matrix (Section 5.6) is a checklist for counsel, not a legal opinion.</w:t>
            </w:r>
          </w:p>
          <w:p>
            <w:pPr>
              <w:spacing w:before="0" w:after="40" w:line="252" w:lineRule="auto"/>
            </w:pPr>
            <w:r>
              <w:rPr>
                <w:rFonts w:ascii="Calibri" w:hAnsi="Calibri" w:eastAsia="Calibri"/>
                <w:b/>
                <w:sz w:val="18"/>
              </w:rPr>
              <w:t>What leadership should do with this.</w:t>
            </w:r>
            <w:r>
              <w:rPr>
                <w:rFonts w:ascii="Calibri" w:hAnsi="Calibri" w:eastAsia="Calibri"/>
                <w:sz w:val="18"/>
              </w:rPr>
              <w:t xml:space="preserve"> Use the conclusions to choose a direction; run the verification sprint in Annex D before any figure is quoted externally or any rule is drafted.</w:t>
            </w:r>
          </w:p>
        </w:tc>
      </w:tr>
    </w:tbl>
    <w:p>
      <w:pPr>
        <w:spacing w:before="0" w:after="40" w:line="144" w:lineRule="auto"/>
      </w:pPr>
    </w:p>
    <w:p>
      <w:pPr>
        <w:pStyle w:val="Heading3"/>
      </w:pPr>
      <w:r>
        <w:rPr>
          <w:rFonts w:ascii="Calibri" w:hAnsi="Calibri" w:eastAsia="Calibri"/>
        </w:rPr>
        <w:t>Evidence tags used throughout</w:t>
      </w:r>
    </w:p>
    <w:tbl>
      <w:tblPr>
        <w:tblW w:w="9639" w:type="dxa"/>
        <w:jc w:val="center"/>
        <w:tblLayout w:type="fixed"/>
        <w:tblLook w:firstColumn="1" w:firstRow="1" w:lastColumn="0" w:lastRow="0" w:noHBand="0" w:noVBand="1" w:val="04A0"/>
      </w:tblPr>
      <w:tblGrid>
        <w:gridCol w:w="680"/>
        <w:gridCol w:w="3969"/>
        <w:gridCol w:w="4989"/>
      </w:tblGrid>
      <w:tr>
        <w:trPr>
          <w:cantSplit/>
          <w:tblHeader/>
        </w:trPr>
        <w:tc>
          <w:tcPr>
            <w:tcW w:type="dxa" w:w="68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7"/>
              </w:rPr>
              <w:t>Tag</w:t>
            </w:r>
          </w:p>
        </w:tc>
        <w:tc>
          <w:tcPr>
            <w:tcW w:type="dxa" w:w="396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7"/>
              </w:rPr>
              <w:t>Meaning</w:t>
            </w:r>
          </w:p>
        </w:tc>
        <w:tc>
          <w:tcPr>
            <w:tcW w:type="dxa" w:w="498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7"/>
              </w:rPr>
              <w:t>Treatment in this report</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R</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Regulator- or government-reported result</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Reported as stated, with year and cohort. Not independently verified.</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I</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Independent evaluation (academic, multilateral, independent review)</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Given most weight.</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P</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Participant-, vendor- or convener-reported</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Flagged as such; never used as a headline.</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S</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Secondary source only (news, law-firm note, trade press)</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Used for context; marked where a figure depends on it.</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T</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Target or intention, not an achieved result</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Never presented as a result.</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D</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Derived arithmetic from reported numbers (e.g. admitted / applied)</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Shown with its inputs; definitions differ across programmes.</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A</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Analyst interpretation or EUz recommendation</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Set apart from facts in every case card (sections D and E).</w:t>
            </w:r>
          </w:p>
        </w:tc>
      </w:tr>
    </w:tbl>
    <w:p>
      <w:pPr>
        <w:spacing w:before="0" w:after="40" w:line="144" w:lineRule="auto"/>
      </w:pPr>
    </w:p>
    <w:p>
      <w:pPr>
        <w:spacing w:before="0" w:after="80" w:line="259" w:lineRule="auto"/>
      </w:pPr>
      <w:r>
        <w:rPr>
          <w:rFonts w:ascii="Calibri" w:hAnsi="Calibri" w:eastAsia="Calibri"/>
          <w:b/>
          <w:sz w:val="19"/>
        </w:rPr>
        <w:t>Rules applied.</w:t>
      </w:r>
      <w:r>
        <w:rPr>
          <w:rFonts w:ascii="Calibri" w:hAnsi="Calibri" w:eastAsia="Calibri"/>
          <w:sz w:val="19"/>
        </w:rPr>
        <w:t xml:space="preserve"> Numbers are given with reporting period and cohort. Where a metric could not be verified it is marked "Not verified" or omitted from headline statistics. Management planning assumptions (service levels, team size, targets) are labelled as assumptions and are not EUz baselines. Suggested participants and regulators are illustrations, not commitments.</w:t>
      </w:r>
    </w:p>
    <w:p>
      <w:pPr>
        <w:spacing w:before="0" w:after="80" w:line="259" w:lineRule="auto"/>
      </w:pPr>
      <w:r>
        <w:rPr>
          <w:rFonts w:ascii="Calibri" w:hAnsi="Calibri" w:eastAsia="Calibri"/>
          <w:b/>
          <w:sz w:val="19"/>
        </w:rPr>
        <w:t>Source codes.</w:t>
      </w:r>
      <w:r>
        <w:rPr>
          <w:rFonts w:ascii="Calibri" w:hAnsi="Calibri" w:eastAsia="Calibri"/>
          <w:sz w:val="19"/>
        </w:rPr>
        <w:t xml:space="preserve"> References such as [S7] point to the bibliography in Annex E, which lists each URL.</w:t>
      </w:r>
    </w:p>
    <w:p>
      <w:pPr>
        <w:pStyle w:val="Heading3"/>
      </w:pPr>
      <w:r>
        <w:rPr>
          <w:rFonts w:ascii="Calibri" w:hAnsi="Calibri" w:eastAsia="Calibri"/>
        </w:rPr>
        <w:t>Abbreviations used</w:t>
      </w:r>
    </w:p>
    <w:tbl>
      <w:tblPr>
        <w:tblW w:w="9639" w:type="dxa"/>
        <w:jc w:val="center"/>
        <w:tblLayout w:type="fixed"/>
        <w:tblLook w:firstColumn="1" w:firstRow="1" w:lastColumn="0" w:lastRow="0" w:noHBand="0" w:noVBand="1" w:val="04A0"/>
      </w:tblPr>
      <w:tblGrid>
        <w:gridCol w:w="1077"/>
        <w:gridCol w:w="3685"/>
        <w:gridCol w:w="1077"/>
        <w:gridCol w:w="3798"/>
      </w:tblGrid>
      <w:tr>
        <w:trPr>
          <w:cantSplit/>
          <w:tblHeader/>
        </w:trPr>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Abbreviation</w:t>
            </w:r>
          </w:p>
        </w:tc>
        <w:tc>
          <w:tcPr>
            <w:tcW w:type="dxa" w:w="368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Meaning</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Abbreviation</w:t>
            </w:r>
          </w:p>
        </w:tc>
        <w:tc>
          <w:tcPr>
            <w:tcW w:type="dxa" w:w="379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Meaning</w:t>
            </w:r>
          </w:p>
        </w:tc>
      </w:tr>
      <w:tr>
        <w:trPr>
          <w:cantSplit/>
        </w:trPr>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ADGM</w:t>
            </w:r>
          </w:p>
        </w:tc>
        <w:tc>
          <w:tcPr>
            <w:tcW w:type="dxa" w:w="368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Abu Dhabi Global Market</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KPI</w:t>
            </w:r>
          </w:p>
        </w:tc>
        <w:tc>
          <w:tcPr>
            <w:tcW w:type="dxa" w:w="37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Key performance indicator</w:t>
            </w:r>
          </w:p>
        </w:tc>
      </w:tr>
      <w:tr>
        <w:trPr>
          <w:cantSplit/>
        </w:trPr>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AI</w:t>
            </w:r>
          </w:p>
        </w:tc>
        <w:tc>
          <w:tcPr>
            <w:tcW w:type="dxa" w:w="368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Artificial intelligence</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MAS</w:t>
            </w:r>
          </w:p>
        </w:tc>
        <w:tc>
          <w:tcPr>
            <w:tcW w:type="dxa" w:w="37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Monetary Authority of Singapore</w:t>
            </w:r>
          </w:p>
        </w:tc>
      </w:tr>
      <w:tr>
        <w:trPr>
          <w:cantSplit/>
        </w:trPr>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API</w:t>
            </w:r>
          </w:p>
        </w:tc>
        <w:tc>
          <w:tcPr>
            <w:tcW w:type="dxa" w:w="368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Application programming interface</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MLETR</w:t>
            </w:r>
          </w:p>
        </w:tc>
        <w:tc>
          <w:tcPr>
            <w:tcW w:type="dxa" w:w="37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UNCITRAL Model Law on Electronic Transferable Records</w:t>
            </w:r>
          </w:p>
        </w:tc>
      </w:tr>
      <w:tr>
        <w:trPr>
          <w:cantSplit/>
        </w:trPr>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BIS</w:t>
            </w:r>
          </w:p>
        </w:tc>
        <w:tc>
          <w:tcPr>
            <w:tcW w:type="dxa" w:w="368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Bank for International Settlements</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MoU</w:t>
            </w:r>
          </w:p>
        </w:tc>
        <w:tc>
          <w:tcPr>
            <w:tcW w:type="dxa" w:w="37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Memorandum of understanding</w:t>
            </w:r>
          </w:p>
        </w:tc>
      </w:tr>
      <w:tr>
        <w:trPr>
          <w:cantSplit/>
        </w:trPr>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DFSA</w:t>
            </w:r>
          </w:p>
        </w:tc>
        <w:tc>
          <w:tcPr>
            <w:tcW w:type="dxa" w:w="368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Dubai Financial Services Authority</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NAPP</w:t>
            </w:r>
          </w:p>
        </w:tc>
        <w:tc>
          <w:tcPr>
            <w:tcW w:type="dxa" w:w="37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National Agency for Perspective Projects (Uzbekistan)</w:t>
            </w:r>
          </w:p>
        </w:tc>
      </w:tr>
      <w:tr>
        <w:trPr>
          <w:cantSplit/>
        </w:trPr>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EUz</w:t>
            </w:r>
          </w:p>
        </w:tc>
        <w:tc>
          <w:tcPr>
            <w:tcW w:type="dxa" w:w="368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Enterprise Uzbekistan</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OECD</w:t>
            </w:r>
          </w:p>
        </w:tc>
        <w:tc>
          <w:tcPr>
            <w:tcW w:type="dxa" w:w="37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Organisation for Economic Co-operation and Development</w:t>
            </w:r>
          </w:p>
        </w:tc>
      </w:tr>
      <w:tr>
        <w:trPr>
          <w:cantSplit/>
        </w:trPr>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FCA</w:t>
            </w:r>
          </w:p>
        </w:tc>
        <w:tc>
          <w:tcPr>
            <w:tcW w:type="dxa" w:w="368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Financial Conduct Authority (UK)</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Ofgem</w:t>
            </w:r>
          </w:p>
        </w:tc>
        <w:tc>
          <w:tcPr>
            <w:tcW w:type="dxa" w:w="37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Office of Gas and Electricity Markets (UK)</w:t>
            </w:r>
          </w:p>
        </w:tc>
      </w:tr>
      <w:tr>
        <w:trPr>
          <w:cantSplit/>
        </w:trPr>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FSRA</w:t>
            </w:r>
          </w:p>
        </w:tc>
        <w:tc>
          <w:tcPr>
            <w:tcW w:type="dxa" w:w="368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Financial Services Regulatory Authority (ADGM)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SAMA</w:t>
            </w:r>
          </w:p>
        </w:tc>
        <w:tc>
          <w:tcPr>
            <w:tcW w:type="dxa" w:w="37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Saudi Central Bank</w:t>
            </w:r>
          </w:p>
        </w:tc>
      </w:tr>
      <w:tr>
        <w:trPr>
          <w:cantSplit/>
        </w:trPr>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GFIN</w:t>
            </w:r>
          </w:p>
        </w:tc>
        <w:tc>
          <w:tcPr>
            <w:tcW w:type="dxa" w:w="368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Global Financial Innovation Network</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SLA</w:t>
            </w:r>
          </w:p>
        </w:tc>
        <w:tc>
          <w:tcPr>
            <w:tcW w:type="dxa" w:w="37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Service level agreement (time commitment)</w:t>
            </w:r>
          </w:p>
        </w:tc>
      </w:tr>
      <w:tr>
        <w:trPr>
          <w:cantSplit/>
        </w:trPr>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GRIP</w:t>
            </w:r>
          </w:p>
        </w:tc>
        <w:tc>
          <w:tcPr>
            <w:tcW w:type="dxa" w:w="368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Global Regulatory Innovation Platform (WEF)</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UNCITRAL</w:t>
            </w:r>
          </w:p>
        </w:tc>
        <w:tc>
          <w:tcPr>
            <w:tcW w:type="dxa" w:w="37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UN Commission on International Trade Law</w:t>
            </w:r>
          </w:p>
        </w:tc>
      </w:tr>
      <w:tr>
        <w:trPr>
          <w:cantSplit/>
        </w:trPr>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HKMA</w:t>
            </w:r>
          </w:p>
        </w:tc>
        <w:tc>
          <w:tcPr>
            <w:tcW w:type="dxa" w:w="368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Hong Kong Monetary Authority</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WD</w:t>
            </w:r>
          </w:p>
        </w:tc>
        <w:tc>
          <w:tcPr>
            <w:tcW w:type="dxa" w:w="37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Working days</w:t>
            </w:r>
          </w:p>
        </w:tc>
      </w:tr>
      <w:tr>
        <w:trPr>
          <w:cantSplit/>
        </w:trPr>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ICO</w:t>
            </w:r>
          </w:p>
        </w:tc>
        <w:tc>
          <w:tcPr>
            <w:tcW w:type="dxa" w:w="368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Information Commissioner's Office (UK)</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WEF</w:t>
            </w:r>
          </w:p>
        </w:tc>
        <w:tc>
          <w:tcPr>
            <w:tcW w:type="dxa" w:w="37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World Economic Forum</w:t>
            </w:r>
          </w:p>
        </w:tc>
      </w:tr>
    </w:tbl>
    <w:p>
      <w:pPr>
        <w:spacing w:before="0" w:after="40" w:line="144" w:lineRule="auto"/>
      </w:pPr>
    </w:p>
    <w:p>
      <w:r>
        <w:br w:type="page"/>
      </w:r>
    </w:p>
    <w:p>
      <w:pPr>
        <w:pBdr>
          <w:bottom w:val="single" w:sz="12" w:space="3" w:color="009162"/>
        </w:pBdr>
        <w:spacing w:before="0" w:after="160" w:line="259" w:lineRule="auto"/>
      </w:pPr>
      <w:r>
        <w:rPr>
          <w:rFonts w:ascii="Calibri" w:hAnsi="Calibri" w:eastAsia="Calibri"/>
          <w:b/>
          <w:color w:val="175C58"/>
          <w:sz w:val="36"/>
        </w:rPr>
        <w:t>Contents</w:t>
      </w:r>
    </w:p>
    <w:p>
      <w:pPr>
        <w:pStyle w:val="TOC1"/>
      </w:pPr>
      <w:r>
        <w:fldChar w:fldCharType="begin"/>
      </w:r>
      <w:r>
        <w:instrText xml:space="preserve"> TOC \o "1-2" \h \z \u </w:instrText>
      </w:r>
      <w:r>
        <w:fldChar w:fldCharType="separate"/>
      </w:r>
      <w:r>
        <w:rPr>
          <w:rFonts w:ascii="Calibri" w:hAnsi="Calibri" w:eastAsia="Calibri"/>
        </w:rPr>
        <w:t>1. Executive summary: the evidence supports a lean, guidance-first sandbox with a published decision clock</w:t>
      </w:r>
      <w:r>
        <w:tab/>
        <w:t>4</w:t>
      </w:r>
    </w:p>
    <w:p>
      <w:pPr>
        <w:pStyle w:val="TOC1"/>
      </w:pPr>
      <w:r>
        <w:rPr>
          <w:rFonts w:ascii="Calibri" w:hAnsi="Calibri" w:eastAsia="Calibri"/>
        </w:rPr>
        <w:t>2. International results at a glance: documented results are real but modest, and concentrated in licensing, funding and guidance</w:t>
      </w:r>
      <w:r>
        <w:tab/>
        <w:t>4</w:t>
      </w:r>
    </w:p>
    <w:p>
      <w:pPr>
        <w:pStyle w:val="TOC2"/>
      </w:pPr>
      <w:r>
        <w:rPr>
          <w:rFonts w:ascii="Calibri" w:hAnsi="Calibri" w:eastAsia="Calibri"/>
        </w:rPr>
        <w:t>What the evidence actually tells us</w:t>
      </w:r>
      <w:r>
        <w:tab/>
        <w:t>4</w:t>
      </w:r>
    </w:p>
    <w:p>
      <w:pPr>
        <w:pStyle w:val="TOC1"/>
      </w:pPr>
      <w:r>
        <w:rPr>
          <w:rFonts w:ascii="Calibri" w:hAnsi="Calibri" w:eastAsia="Calibri"/>
        </w:rPr>
        <w:t>3. Selected international success stories: eight programmes, each tied to one EUz design decision</w:t>
      </w:r>
      <w:r>
        <w:tab/>
        <w:t>4</w:t>
      </w:r>
    </w:p>
    <w:p>
      <w:pPr>
        <w:pStyle w:val="TOC1"/>
      </w:pPr>
      <w:r>
        <w:rPr>
          <w:rFonts w:ascii="Calibri" w:hAnsi="Calibri" w:eastAsia="Calibri"/>
        </w:rPr>
        <w:t>4. Innovative mechanisms and interesting cases: proven tools are modest; the novel ones are mostly unmeasured</w:t>
      </w:r>
      <w:r>
        <w:tab/>
        <w:t>4</w:t>
      </w:r>
    </w:p>
    <w:p>
      <w:pPr>
        <w:pStyle w:val="TOC2"/>
      </w:pPr>
      <w:r>
        <w:rPr>
          <w:rFonts w:ascii="Calibri" w:hAnsi="Calibri" w:eastAsia="Calibri"/>
        </w:rPr>
        <w:t>4.1 Fourteen mechanisms, with the strength of evidence stated</w:t>
      </w:r>
      <w:r>
        <w:tab/>
        <w:t>4</w:t>
      </w:r>
    </w:p>
    <w:p>
      <w:pPr>
        <w:pStyle w:val="TOC2"/>
      </w:pPr>
      <w:r>
        <w:rPr>
          <w:rFonts w:ascii="Calibri" w:hAnsi="Calibri" w:eastAsia="Calibri"/>
        </w:rPr>
        <w:t>4.2 Seven real-world cases show what regulatory experimentation can enable</w:t>
      </w:r>
      <w:r>
        <w:tab/>
        <w:t>4</w:t>
      </w:r>
    </w:p>
    <w:p>
      <w:pPr>
        <w:pStyle w:val="TOC1"/>
      </w:pPr>
      <w:r>
        <w:rPr>
          <w:rFonts w:ascii="Calibri" w:hAnsi="Calibri" w:eastAsia="Calibri"/>
        </w:rPr>
        <w:t>5. EUz Sandbox strategic design: a target operating model that is lean at launch and expands only on evidence</w:t>
      </w:r>
      <w:r>
        <w:tab/>
        <w:t>4</w:t>
      </w:r>
    </w:p>
    <w:p>
      <w:pPr>
        <w:pStyle w:val="TOC2"/>
      </w:pPr>
      <w:r>
        <w:rPr>
          <w:rFonts w:ascii="Calibri" w:hAnsi="Calibri" w:eastAsia="Calibri"/>
        </w:rPr>
        <w:t>5.1 Institutional architecture: ownership, decision rights and consent gates</w:t>
      </w:r>
      <w:r>
        <w:tab/>
        <w:t>4</w:t>
      </w:r>
    </w:p>
    <w:p>
      <w:pPr>
        <w:pStyle w:val="TOC2"/>
      </w:pPr>
      <w:r>
        <w:rPr>
          <w:rFonts w:ascii="Calibri" w:hAnsi="Calibri" w:eastAsia="Calibri"/>
        </w:rPr>
        <w:t>5.2 Participant journey: nine stages with an owner, a decision and a clock</w:t>
      </w:r>
      <w:r>
        <w:tab/>
        <w:t>4</w:t>
      </w:r>
    </w:p>
    <w:p>
      <w:pPr>
        <w:pStyle w:val="TOC2"/>
      </w:pPr>
      <w:r>
        <w:rPr>
          <w:rFonts w:ascii="Calibri" w:hAnsi="Calibri" w:eastAsia="Calibri"/>
        </w:rPr>
        <w:t>5.3 Operating tracks: launch two, pilot two after the first cohort, defer one</w:t>
      </w:r>
      <w:r>
        <w:tab/>
        <w:t>4</w:t>
      </w:r>
    </w:p>
    <w:p>
      <w:pPr>
        <w:pStyle w:val="TOC2"/>
      </w:pPr>
      <w:r>
        <w:rPr>
          <w:rFonts w:ascii="Calibri" w:hAnsi="Calibri" w:eastAsia="Calibri"/>
        </w:rPr>
        <w:t>5.4 Services provided to companies: a clear answer to "why EUz"</w:t>
      </w:r>
      <w:r>
        <w:tab/>
        <w:t>4</w:t>
      </w:r>
    </w:p>
    <w:p>
      <w:pPr>
        <w:pStyle w:val="TOC2"/>
      </w:pPr>
      <w:r>
        <w:rPr>
          <w:rFonts w:ascii="Calibri" w:hAnsi="Calibri" w:eastAsia="Calibri"/>
        </w:rPr>
        <w:t>5.5 Exit and graduation: successful testing does not automatically grant a licence</w:t>
      </w:r>
      <w:r>
        <w:tab/>
        <w:t>4</w:t>
      </w:r>
    </w:p>
    <w:p>
      <w:pPr>
        <w:pStyle w:val="TOC2"/>
      </w:pPr>
      <w:r>
        <w:rPr>
          <w:rFonts w:ascii="Calibri" w:hAnsi="Calibri" w:eastAsia="Calibri"/>
        </w:rPr>
        <w:t>5.6 Legal fit-gap analysis: a checklist for counsel, not a legal opinion</w:t>
      </w:r>
      <w:r>
        <w:tab/>
        <w:t>4</w:t>
      </w:r>
    </w:p>
    <w:p>
      <w:pPr>
        <w:pStyle w:val="TOC2"/>
      </w:pPr>
      <w:r>
        <w:rPr>
          <w:rFonts w:ascii="Calibri" w:hAnsi="Calibri" w:eastAsia="Calibri"/>
        </w:rPr>
        <w:t>5.7 Admission criteria and standard safeguards</w:t>
      </w:r>
      <w:r>
        <w:tab/>
        <w:t>4</w:t>
      </w:r>
    </w:p>
    <w:p>
      <w:pPr>
        <w:pStyle w:val="TOC2"/>
      </w:pPr>
      <w:r>
        <w:rPr>
          <w:rFonts w:ascii="Calibri" w:hAnsi="Calibri" w:eastAsia="Calibri"/>
        </w:rPr>
        <w:t>5.8 How regulators, experts and technology companies interact</w:t>
      </w:r>
      <w:r>
        <w:tab/>
        <w:t>4</w:t>
      </w:r>
    </w:p>
    <w:p>
      <w:pPr>
        <w:pStyle w:val="TOC2"/>
      </w:pPr>
      <w:r>
        <w:rPr>
          <w:rFonts w:ascii="Calibri" w:hAnsi="Calibri" w:eastAsia="Calibri"/>
        </w:rPr>
        <w:t>5.9 Launch sequence: what must work on day one and what can wait</w:t>
      </w:r>
      <w:r>
        <w:tab/>
        <w:t>4</w:t>
      </w:r>
    </w:p>
    <w:p>
      <w:pPr>
        <w:pStyle w:val="TOC2"/>
      </w:pPr>
      <w:r>
        <w:rPr>
          <w:rFonts w:ascii="Calibri" w:hAnsi="Calibri" w:eastAsia="Calibri"/>
        </w:rPr>
        <w:t>5.10 Compact risk assessment</w:t>
      </w:r>
      <w:r>
        <w:tab/>
        <w:t>4</w:t>
      </w:r>
    </w:p>
    <w:p>
      <w:pPr>
        <w:pStyle w:val="TOC1"/>
      </w:pPr>
      <w:r>
        <w:rPr>
          <w:rFonts w:ascii="Calibri" w:hAnsi="Calibri" w:eastAsia="Calibri"/>
        </w:rPr>
        <w:t>6. WEF partnership assessment: best used as convener and peer reviewer, not as design owner</w:t>
      </w:r>
      <w:r>
        <w:tab/>
        <w:t>4</w:t>
      </w:r>
    </w:p>
    <w:p>
      <w:pPr>
        <w:pStyle w:val="TOC2"/>
      </w:pPr>
      <w:r>
        <w:rPr>
          <w:rFonts w:ascii="Calibri" w:hAnsi="Calibri" w:eastAsia="Calibri"/>
        </w:rPr>
        <w:t>6.1 Four questions, answered from the evidence</w:t>
      </w:r>
      <w:r>
        <w:tab/>
        <w:t>4</w:t>
      </w:r>
    </w:p>
    <w:p>
      <w:pPr>
        <w:pStyle w:val="TOC1"/>
      </w:pPr>
      <w:r>
        <w:rPr>
          <w:rFonts w:ascii="Calibri" w:hAnsi="Calibri" w:eastAsia="Calibri"/>
        </w:rPr>
        <w:t>7. First pilot portfolio: four pilots chosen from ten for measurable value and a realistic regulatory owner</w:t>
      </w:r>
      <w:r>
        <w:tab/>
        <w:t>4</w:t>
      </w:r>
    </w:p>
    <w:p>
      <w:pPr>
        <w:pStyle w:val="TOC1"/>
      </w:pPr>
      <w:r>
        <w:rPr>
          <w:rFonts w:ascii="Calibri" w:hAnsi="Calibri" w:eastAsia="Calibri"/>
        </w:rPr>
        <w:t>8. Roadmap, KPIs and management decisions: a 90-day plan that fits the pre-commencement window</w:t>
      </w:r>
      <w:r>
        <w:tab/>
        <w:t>4</w:t>
      </w:r>
    </w:p>
    <w:p>
      <w:pPr>
        <w:pStyle w:val="TOC2"/>
      </w:pPr>
      <w:r>
        <w:rPr>
          <w:rFonts w:ascii="Calibri" w:hAnsi="Calibri" w:eastAsia="Calibri"/>
        </w:rPr>
        <w:t>8.1 First 90 days: fifteen actions</w:t>
      </w:r>
      <w:r>
        <w:tab/>
        <w:t>4</w:t>
      </w:r>
    </w:p>
    <w:p>
      <w:pPr>
        <w:pStyle w:val="TOC2"/>
      </w:pPr>
      <w:r>
        <w:rPr>
          <w:rFonts w:ascii="Calibri" w:hAnsi="Calibri" w:eastAsia="Calibri"/>
        </w:rPr>
        <w:t>8.2 First 12 months: phased roadmap</w:t>
      </w:r>
      <w:r>
        <w:tab/>
        <w:t>4</w:t>
      </w:r>
    </w:p>
    <w:p>
      <w:pPr>
        <w:pStyle w:val="TOC2"/>
      </w:pPr>
      <w:r>
        <w:rPr>
          <w:rFonts w:ascii="Calibri" w:hAnsi="Calibri" w:eastAsia="Calibri"/>
        </w:rPr>
        <w:t>8.3 Long-term development</w:t>
      </w:r>
      <w:r>
        <w:tab/>
        <w:t>4</w:t>
      </w:r>
    </w:p>
    <w:p>
      <w:pPr>
        <w:pStyle w:val="TOC2"/>
      </w:pPr>
      <w:r>
        <w:rPr>
          <w:rFonts w:ascii="Calibri" w:hAnsi="Calibri" w:eastAsia="Calibri"/>
        </w:rPr>
        <w:t>8.4 KPIs: fourteen measures of actual success</w:t>
      </w:r>
      <w:r>
        <w:tab/>
        <w:t>4</w:t>
      </w:r>
    </w:p>
    <w:p>
      <w:pPr>
        <w:pStyle w:val="TOC2"/>
      </w:pPr>
      <w:r>
        <w:rPr>
          <w:rFonts w:ascii="Calibri" w:hAnsi="Calibri" w:eastAsia="Calibri"/>
        </w:rPr>
        <w:t>8.5 Management decision matrix</w:t>
      </w:r>
      <w:r>
        <w:tab/>
        <w:t>4</w:t>
      </w:r>
    </w:p>
    <w:p>
      <w:pPr>
        <w:pStyle w:val="TOC1"/>
      </w:pPr>
      <w:r>
        <w:rPr>
          <w:rFonts w:ascii="Calibri" w:hAnsi="Calibri" w:eastAsia="Calibri"/>
        </w:rPr>
        <w:t>Annex A. Extended benchmarking matrix</w:t>
      </w:r>
      <w:r>
        <w:tab/>
        <w:t>4</w:t>
      </w:r>
    </w:p>
    <w:p>
      <w:pPr>
        <w:pStyle w:val="TOC1"/>
      </w:pPr>
      <w:r>
        <w:rPr>
          <w:rFonts w:ascii="Calibri" w:hAnsi="Calibri" w:eastAsia="Calibri"/>
        </w:rPr>
        <w:t>Annex B. Unreconciled and unverified data points</w:t>
      </w:r>
      <w:r>
        <w:tab/>
        <w:t>4</w:t>
      </w:r>
    </w:p>
    <w:p>
      <w:pPr>
        <w:pStyle w:val="TOC1"/>
      </w:pPr>
      <w:r>
        <w:rPr>
          <w:rFonts w:ascii="Calibri" w:hAnsi="Calibri" w:eastAsia="Calibri"/>
        </w:rPr>
        <w:t>Annex C. Legal references and verification status</w:t>
      </w:r>
      <w:r>
        <w:tab/>
        <w:t>4</w:t>
      </w:r>
    </w:p>
    <w:p>
      <w:pPr>
        <w:pStyle w:val="TOC1"/>
      </w:pPr>
      <w:r>
        <w:rPr>
          <w:rFonts w:ascii="Calibri" w:hAnsi="Calibri" w:eastAsia="Calibri"/>
        </w:rPr>
        <w:t>Annex D. Verification plan before external use</w:t>
      </w:r>
      <w:r>
        <w:tab/>
        <w:t>4</w:t>
      </w:r>
    </w:p>
    <w:p>
      <w:pPr>
        <w:pStyle w:val="TOC1"/>
      </w:pPr>
      <w:r>
        <w:rPr>
          <w:rFonts w:ascii="Calibri" w:hAnsi="Calibri" w:eastAsia="Calibri"/>
        </w:rPr>
        <w:t>Annex E. Bibliography</w:t>
      </w:r>
      <w:r>
        <w:tab/>
        <w:t>4</w:t>
      </w:r>
      <w:r>
        <w:fldChar w:fldCharType="end"/>
      </w:r>
    </w:p>
    <w:p>
      <w:pPr>
        <w:pStyle w:val="Heading1"/>
        <w:pageBreakBefore/>
        <w:pBdr>
          <w:bottom w:val="single" w:sz="12" w:space="3" w:color="009162"/>
        </w:pBdr>
      </w:pPr>
      <w:r>
        <w:rPr>
          <w:rFonts w:ascii="Calibri" w:hAnsi="Calibri" w:eastAsia="Calibri"/>
        </w:rPr>
        <w:t>1. Executive summary: the evidence supports a lean, guidance-first sandbox with a published decision clock</w:t>
      </w:r>
    </w:p>
    <w:p>
      <w:pPr>
        <w:pStyle w:val="Heading3"/>
      </w:pPr>
      <w:r>
        <w:rPr>
          <w:rFonts w:ascii="Calibri" w:hAnsi="Calibri" w:eastAsia="Calibri"/>
        </w:rPr>
        <w:t>Five international findings</w:t>
      </w:r>
    </w:p>
    <w:p>
      <w:pPr>
        <w:numPr>
          <w:ilvl w:val="0"/>
          <w:numId w:val="100"/>
        </w:numPr>
        <w:spacing w:before="0" w:after="60" w:line="259" w:lineRule="auto"/>
      </w:pPr>
      <w:r>
        <w:rPr>
          <w:rFonts w:ascii="Calibri" w:hAnsi="Calibri" w:eastAsia="Calibri"/>
          <w:b/>
          <w:sz w:val="19"/>
        </w:rPr>
        <w:t>The clearest measurable outcome is conversion to a licence, and it depends on the exit design.</w:t>
      </w:r>
      <w:r>
        <w:rPr>
          <w:rFonts w:ascii="Calibri" w:hAnsi="Calibri" w:eastAsia="Calibri"/>
          <w:sz w:val="19"/>
        </w:rPr>
        <w:t xml:space="preserve"> The Monetary Authority of Singapore (MAS) reports 15 of 19 accepted firms graduated and were licensed (Oct 2025, R) [S7]; the Saudi Central Bank (SAMA) reported 18 graduates among 45 permitted firms (May 2023, R) [S22]; the Dubai Financial Services Authority (DFSA) reported only 3 exits among 51 accepted firms (Jun 2021, R) [S14].</w:t>
      </w:r>
    </w:p>
    <w:p>
      <w:pPr>
        <w:numPr>
          <w:ilvl w:val="0"/>
          <w:numId w:val="100"/>
        </w:numPr>
        <w:spacing w:before="0" w:after="60" w:line="259" w:lineRule="auto"/>
      </w:pPr>
      <w:r>
        <w:rPr>
          <w:rFonts w:ascii="Calibri" w:hAnsi="Calibri" w:eastAsia="Calibri"/>
          <w:b/>
          <w:sz w:val="19"/>
        </w:rPr>
        <w:t>Independent evidence of commercial benefit exists for one programme.</w:t>
      </w:r>
      <w:r>
        <w:rPr>
          <w:rFonts w:ascii="Calibri" w:hAnsi="Calibri" w:eastAsia="Calibri"/>
          <w:sz w:val="19"/>
        </w:rPr>
        <w:t xml:space="preserve"> Research by the Bank for International Settlements (BIS) on the UK sandbox links entry to about 15% more capital raised and about a 50% higher probability of raising capital (data 2014-2019, I) [S2]. Effects are strongest for small, young firms.</w:t>
      </w:r>
    </w:p>
    <w:p>
      <w:pPr>
        <w:numPr>
          <w:ilvl w:val="0"/>
          <w:numId w:val="100"/>
        </w:numPr>
        <w:spacing w:before="0" w:after="60" w:line="259" w:lineRule="auto"/>
      </w:pPr>
      <w:r>
        <w:rPr>
          <w:rFonts w:ascii="Calibri" w:hAnsi="Calibri" w:eastAsia="Calibri"/>
          <w:b/>
          <w:sz w:val="19"/>
        </w:rPr>
        <w:t>Most applicants need guidance, not exemptions.</w:t>
      </w:r>
      <w:r>
        <w:rPr>
          <w:rFonts w:ascii="Calibri" w:hAnsi="Calibri" w:eastAsia="Calibri"/>
          <w:sz w:val="19"/>
        </w:rPr>
        <w:t xml:space="preserve"> In the first window of Ofgem, the UK energy regulator, 30 expressions of interest produced 3 sandboxes; 22 received feedback only because no specific regulatory barrier existed (R) [S6]. The UK Information Commissioner's Office (ICO) has no power to waive the law and still published exit reports [S5].</w:t>
      </w:r>
    </w:p>
    <w:p>
      <w:pPr>
        <w:numPr>
          <w:ilvl w:val="0"/>
          <w:numId w:val="100"/>
        </w:numPr>
        <w:spacing w:before="0" w:after="60" w:line="259" w:lineRule="auto"/>
      </w:pPr>
      <w:r>
        <w:rPr>
          <w:rFonts w:ascii="Calibri" w:hAnsi="Calibri" w:eastAsia="Calibri"/>
          <w:b/>
          <w:sz w:val="19"/>
        </w:rPr>
        <w:t>Fast tracks and incentive tracks are the least proven parts.</w:t>
      </w:r>
      <w:r>
        <w:rPr>
          <w:rFonts w:ascii="Calibri" w:hAnsi="Calibri" w:eastAsia="Calibri"/>
          <w:sz w:val="19"/>
        </w:rPr>
        <w:t xml:space="preserve"> MAS's 21-day Express response is a stated target with no published attainment rate (T) [S8]; its Sandbox Plus grant track had zero approvals by Oct 2025 (R) [S7]; the standard track's median is about 3 months [S7].</w:t>
      </w:r>
    </w:p>
    <w:p>
      <w:pPr>
        <w:numPr>
          <w:ilvl w:val="0"/>
          <w:numId w:val="100"/>
        </w:numPr>
        <w:spacing w:before="0" w:after="60" w:line="259" w:lineRule="auto"/>
      </w:pPr>
      <w:r>
        <w:rPr>
          <w:rFonts w:ascii="Calibri" w:hAnsi="Calibri" w:eastAsia="Calibri"/>
          <w:b/>
          <w:sz w:val="19"/>
        </w:rPr>
        <w:t>Cross-border and multi-regulator testing is hard to execute.</w:t>
      </w:r>
      <w:r>
        <w:rPr>
          <w:rFonts w:ascii="Calibri" w:hAnsi="Calibri" w:eastAsia="Calibri"/>
          <w:sz w:val="19"/>
        </w:rPr>
        <w:t xml:space="preserve"> The pilot of the Global Financial Innovation Network (GFIN) drew 44 applications across 17 regulators and shortlisted 8 firms; none began testing (R, Jan 2020) [S15]. The UAE TradeTech sandbox, convened by the World Economic Forum (WEF), ran 8 start-ups with 4 UAE regulators, but results are convener-reported (P) [S11].</w:t>
      </w:r>
    </w:p>
    <w:p>
      <w:pPr>
        <w:spacing w:before="0" w:after="100" w:line="259" w:lineRule="auto"/>
      </w:pPr>
      <w:r>
        <w:rPr>
          <w:rFonts w:ascii="Calibri" w:hAnsi="Calibri" w:eastAsia="Calibri"/>
          <w:sz w:val="19"/>
        </w:rPr>
        <w:t>Artificial intelligence (AI) is now the growth frontier: the generative-AI sandbox of the Hong Kong Monetary Authority (HKMA) went from 15 use cases (Dec 2024) to 36 in Sandbox++ (Aug 2026) [S21], but admissions are not outcomes, and no AI sandbox has yet published verified results.</w:t>
      </w:r>
    </w:p>
    <w:p>
      <w:pPr>
        <w:pStyle w:val="Heading3"/>
      </w:pPr>
      <w:r>
        <w:rPr>
          <w:rFonts w:ascii="Calibri" w:hAnsi="Calibri" w:eastAsia="Calibri"/>
        </w:rPr>
        <w:t>Ten recommendations for Enterprise Uzbekistan</w:t>
      </w:r>
    </w:p>
    <w:tbl>
      <w:tblPr>
        <w:tblW w:w="9639" w:type="dxa"/>
        <w:jc w:val="center"/>
        <w:tblLayout w:type="fixed"/>
        <w:tblLook w:firstColumn="1" w:firstRow="1" w:lastColumn="0" w:lastRow="0" w:noHBand="0" w:noVBand="1" w:val="04A0"/>
      </w:tblPr>
      <w:tblGrid>
        <w:gridCol w:w="396"/>
        <w:gridCol w:w="6010"/>
        <w:gridCol w:w="3231"/>
      </w:tblGrid>
      <w:tr>
        <w:trPr>
          <w:cantSplit/>
          <w:tblHeader/>
        </w:trPr>
        <w:tc>
          <w:tcPr>
            <w:tcW w:type="dxa" w:w="39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6"/>
              </w:rPr>
              <w:t>#</w:t>
            </w:r>
          </w:p>
        </w:tc>
        <w:tc>
          <w:tcPr>
            <w:tcW w:type="dxa" w:w="600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Recommendation (action, owner, output)</w:t>
            </w:r>
          </w:p>
        </w:tc>
        <w:tc>
          <w:tcPr>
            <w:tcW w:type="dxa" w:w="32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Evidence base</w:t>
            </w:r>
          </w:p>
        </w:tc>
      </w:tr>
      <w:tr>
        <w:trPr>
          <w:cantSplit/>
        </w:trPr>
        <w:tc>
          <w:tcPr>
            <w:tcW w:type="dxa" w:w="39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w:t>
            </w:r>
          </w:p>
        </w:tc>
        <w:tc>
          <w:tcPr>
            <w:tcW w:type="dxa" w:w="600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Launch two tracks on day one</w:t>
            </w:r>
            <w:r>
              <w:rPr>
                <w:rFonts w:ascii="Calibri" w:hAnsi="Calibri" w:eastAsia="Calibri"/>
                <w:color w:val="39393B"/>
                <w:sz w:val="16"/>
              </w:rPr>
              <w:t>: a Guidance Track and a capped Full Sandbox. Council decides; Sandbox Secretariat runs. Output: operating track rules.</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Ofgem 22 of 30; ICO; MAS standard track</w:t>
            </w:r>
          </w:p>
        </w:tc>
      </w:tr>
      <w:tr>
        <w:trPr>
          <w:cantSplit/>
        </w:trPr>
        <w:tc>
          <w:tcPr>
            <w:tcW w:type="dxa" w:w="39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2</w:t>
            </w:r>
          </w:p>
        </w:tc>
        <w:tc>
          <w:tcPr>
            <w:tcW w:type="dxa" w:w="600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Create a Sandbox Secretariat and a Council-delegated Sandbox Committee</w:t>
            </w:r>
            <w:r>
              <w:rPr>
                <w:rFonts w:ascii="Calibri" w:hAnsi="Calibri" w:eastAsia="Calibri"/>
                <w:color w:val="39393B"/>
                <w:sz w:val="16"/>
              </w:rPr>
              <w:t xml:space="preserve"> with independent experts. Output: decision rights and a case register.</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FCA, MAS, DFSA operate dedicated teams</w:t>
            </w:r>
          </w:p>
        </w:tc>
      </w:tr>
      <w:tr>
        <w:trPr>
          <w:cantSplit/>
        </w:trPr>
        <w:tc>
          <w:tcPr>
            <w:tcW w:type="dxa" w:w="39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3</w:t>
            </w:r>
          </w:p>
        </w:tc>
        <w:tc>
          <w:tcPr>
            <w:tcW w:type="dxa" w:w="600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Publish a decision clock</w:t>
            </w:r>
            <w:r>
              <w:rPr>
                <w:rFonts w:ascii="Calibri" w:hAnsi="Calibri" w:eastAsia="Calibri"/>
                <w:color w:val="39393B"/>
                <w:sz w:val="16"/>
              </w:rPr>
              <w:t xml:space="preserve"> (planning-assumption service levels, SLAs) and report attainment quarterly. Output: SLA schedule and dashboard.</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MAS publishes a median but not Express attainment</w:t>
            </w:r>
          </w:p>
        </w:tc>
      </w:tr>
      <w:tr>
        <w:trPr>
          <w:cantSplit/>
        </w:trPr>
        <w:tc>
          <w:tcPr>
            <w:tcW w:type="dxa" w:w="39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4</w:t>
            </w:r>
          </w:p>
        </w:tc>
        <w:tc>
          <w:tcPr>
            <w:tcW w:type="dxa" w:w="600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Make regulatory mapping the core product</w:t>
            </w:r>
            <w:r>
              <w:rPr>
                <w:rFonts w:ascii="Calibri" w:hAnsi="Calibri" w:eastAsia="Calibri"/>
                <w:color w:val="39393B"/>
                <w:sz w:val="16"/>
              </w:rPr>
              <w:t>: map every applicable rule and name who must consent. EUz does not waive other regulators' requirements. Output: mapping memo per case.</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GFIN failure; SAMA/regulator-gated models</w:t>
            </w:r>
          </w:p>
        </w:tc>
      </w:tr>
      <w:tr>
        <w:trPr>
          <w:cantSplit/>
        </w:trPr>
        <w:tc>
          <w:tcPr>
            <w:tcW w:type="dxa" w:w="39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5</w:t>
            </w:r>
          </w:p>
        </w:tc>
        <w:tc>
          <w:tcPr>
            <w:tcW w:type="dxa" w:w="600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Define exit before admission</w:t>
            </w:r>
            <w:r>
              <w:rPr>
                <w:rFonts w:ascii="Calibri" w:hAnsi="Calibri" w:eastAsia="Calibri"/>
                <w:color w:val="39393B"/>
                <w:sz w:val="16"/>
              </w:rPr>
              <w:t>: each test plan states the evidence that would qualify the firm for a permanent route. No automatic licence. Output: exit routes.</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DFSA 3 exits of 51; MAS 15 of 19</w:t>
            </w:r>
          </w:p>
        </w:tc>
      </w:tr>
      <w:tr>
        <w:trPr>
          <w:cantSplit/>
        </w:trPr>
        <w:tc>
          <w:tcPr>
            <w:tcW w:type="dxa" w:w="39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6</w:t>
            </w:r>
          </w:p>
        </w:tc>
        <w:tc>
          <w:tcPr>
            <w:tcW w:type="dxa" w:w="600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Stand up a minimum digital sandbox</w:t>
            </w:r>
            <w:r>
              <w:rPr>
                <w:rFonts w:ascii="Calibri" w:hAnsi="Calibri" w:eastAsia="Calibri"/>
                <w:color w:val="39393B"/>
                <w:sz w:val="16"/>
              </w:rPr>
              <w:t xml:space="preserve"> with synthetic data, application programming interfaces (APIs) and a secure environment for AI and data pilots. Output: platform MVP.</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FCA Digital Sandbox evaluation</w:t>
            </w:r>
          </w:p>
        </w:tc>
      </w:tr>
      <w:tr>
        <w:trPr>
          <w:cantSplit/>
        </w:trPr>
        <w:tc>
          <w:tcPr>
            <w:tcW w:type="dxa" w:w="39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7</w:t>
            </w:r>
          </w:p>
        </w:tc>
        <w:tc>
          <w:tcPr>
            <w:tcW w:type="dxa" w:w="600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Select four pilots</w:t>
            </w:r>
            <w:r>
              <w:rPr>
                <w:rFonts w:ascii="Calibri" w:hAnsi="Calibri" w:eastAsia="Calibri"/>
                <w:color w:val="39393B"/>
                <w:sz w:val="16"/>
              </w:rPr>
              <w:t xml:space="preserve"> (Section 7): AI-agent assurance; electronic trade documents with AI screening; privacy-preserving data exchange; AI regulatory reporting.</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TradeTech, HKMA, Spain AI sandbox</w:t>
            </w:r>
          </w:p>
        </w:tc>
      </w:tr>
      <w:tr>
        <w:trPr>
          <w:cantSplit/>
        </w:trPr>
        <w:tc>
          <w:tcPr>
            <w:tcW w:type="dxa" w:w="39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8</w:t>
            </w:r>
          </w:p>
        </w:tc>
        <w:tc>
          <w:tcPr>
            <w:tcW w:type="dxa" w:w="600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Pilot Express and Regulation Prototyping only after the first cohort</w:t>
            </w:r>
            <w:r>
              <w:rPr>
                <w:rFonts w:ascii="Calibri" w:hAnsi="Calibri" w:eastAsia="Calibri"/>
                <w:color w:val="39393B"/>
                <w:sz w:val="16"/>
              </w:rPr>
              <w:t>; defer Cross-border tests to year two. Output: track sequencing.</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MAS Plus unused; GFIN; Japan reforms</w:t>
            </w:r>
          </w:p>
        </w:tc>
      </w:tr>
      <w:tr>
        <w:trPr>
          <w:cantSplit/>
        </w:trPr>
        <w:tc>
          <w:tcPr>
            <w:tcW w:type="dxa" w:w="39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9</w:t>
            </w:r>
          </w:p>
        </w:tc>
        <w:tc>
          <w:tcPr>
            <w:tcW w:type="dxa" w:w="600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Use WEF as convener and peer reviewer</w:t>
            </w:r>
            <w:r>
              <w:rPr>
                <w:rFonts w:ascii="Calibri" w:hAnsi="Calibri" w:eastAsia="Calibri"/>
                <w:color w:val="39393B"/>
                <w:sz w:val="16"/>
              </w:rPr>
              <w:t>, with defined deliverables; keep decisions, rules, risk and regulator relations inside EUz (Section 6).</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WEF results are self-reported; outputs of its Global Regulatory Innovation Platform (GRIP) not yet delivered</w:t>
            </w:r>
          </w:p>
        </w:tc>
      </w:tr>
      <w:tr>
        <w:trPr>
          <w:cantSplit/>
        </w:trPr>
        <w:tc>
          <w:tcPr>
            <w:tcW w:type="dxa" w:w="39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10</w:t>
            </w:r>
          </w:p>
        </w:tc>
        <w:tc>
          <w:tcPr>
            <w:tcW w:type="dxa" w:w="600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Run a legal verification sprint</w:t>
            </w:r>
            <w:r>
              <w:rPr>
                <w:rFonts w:ascii="Calibri" w:hAnsi="Calibri" w:eastAsia="Calibri"/>
                <w:color w:val="39393B"/>
                <w:sz w:val="16"/>
              </w:rPr>
              <w:t xml:space="preserve"> on the official texts before rules are drafted (Annex D). Output: verified legal baseline.</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No official text was read for this report</w:t>
            </w:r>
          </w:p>
        </w:tc>
      </w:tr>
    </w:tbl>
    <w:p>
      <w:pPr>
        <w:spacing w:before="0" w:after="40" w:line="144" w:lineRule="auto"/>
      </w:pPr>
    </w:p>
    <w:p>
      <w:pPr>
        <w:pStyle w:val="Heading3"/>
      </w:pPr>
      <w:r>
        <w:rPr>
          <w:rFonts w:ascii="Calibri" w:hAnsi="Calibri" w:eastAsia="Calibri"/>
        </w:rPr>
        <w:t>Proposed Sandbox architecture</w:t>
      </w:r>
    </w:p>
    <w:p>
      <w:pPr>
        <w:keepNext/>
        <w:spacing w:before="0" w:after="40" w:line="259" w:lineRule="auto"/>
        <w:jc w:val="center"/>
      </w:pPr>
      <w:r>
        <w:drawing>
          <wp:inline xmlns:a="http://schemas.openxmlformats.org/drawingml/2006/main" xmlns:pic="http://schemas.openxmlformats.org/drawingml/2006/picture">
            <wp:extent cx="4248000" cy="3705467"/>
            <wp:docPr id="1" name="Picture 1"/>
            <wp:cNvGraphicFramePr>
              <a:graphicFrameLocks noChangeAspect="1"/>
            </wp:cNvGraphicFramePr>
            <a:graphic>
              <a:graphicData uri="http://schemas.openxmlformats.org/drawingml/2006/picture">
                <pic:pic>
                  <pic:nvPicPr>
                    <pic:cNvPr id="0" name="f2_architecture.png"/>
                    <pic:cNvPicPr/>
                  </pic:nvPicPr>
                  <pic:blipFill>
                    <a:blip r:embed="rId9"/>
                    <a:stretch>
                      <a:fillRect/>
                    </a:stretch>
                  </pic:blipFill>
                  <pic:spPr>
                    <a:xfrm>
                      <a:off x="0" y="0"/>
                      <a:ext cx="4248000" cy="3705467"/>
                    </a:xfrm>
                    <a:prstGeom prst="rect"/>
                  </pic:spPr>
                </pic:pic>
              </a:graphicData>
            </a:graphic>
          </wp:inline>
        </w:drawing>
      </w:r>
    </w:p>
    <w:p>
      <w:pPr>
        <w:spacing w:before="40" w:after="160" w:line="240" w:lineRule="auto"/>
      </w:pPr>
      <w:r>
        <w:rPr>
          <w:rFonts w:ascii="Calibri" w:hAnsi="Calibri" w:eastAsia="Calibri"/>
          <w:color w:val="6B6E70"/>
          <w:sz w:val="15"/>
        </w:rPr>
        <w:t>Analyst design (A). Governing Council sets rules; a Council-delegated Sandbox Committee decides admissions; a small Secretariat runs cases and a minimum digital platform; national regulators consent wherever a requirement is theirs to waive. Detail in Section 5.1.</w:t>
      </w:r>
    </w:p>
    <w:tbl>
      <w:tblPr>
        <w:tblW w:type="auto" w:w="0"/>
        <w:jc w:val="center"/>
        <w:tblLayout w:type="fixed"/>
        <w:tblLook w:firstColumn="1" w:firstRow="1" w:lastColumn="0" w:lastRow="0" w:noHBand="0" w:noVBand="1" w:val="04A0"/>
      </w:tblPr>
      <w:tblGrid>
        <w:gridCol w:w="9639"/>
      </w:tblGrid>
      <w:tr>
        <w:trPr>
          <w:cantSplit/>
        </w:trP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What leadership needs to approve (detail in Section 8.5)</w:t>
            </w:r>
          </w:p>
          <w:p>
            <w:pPr>
              <w:spacing w:before="0" w:after="40" w:line="252" w:lineRule="auto"/>
            </w:pPr>
            <w:r>
              <w:rPr>
                <w:rFonts w:ascii="Calibri" w:hAnsi="Calibri" w:eastAsia="Calibri"/>
                <w:sz w:val="18"/>
              </w:rPr>
              <w:t>(1) The two-track launch and the sequencing of later tracks; (2) delegation of admission decisions to a Sandbox Committee, subject to counsel's confirmation of Council powers; (3) a Sandbox Secretariat and budget envelope to be sized; (4) the legal verification sprint and drafting of Sandbox Rules; (5) the four-pilot portfolio and selection criteria; (6) the scope of WEF engagement.</w:t>
            </w:r>
          </w:p>
          <w:p>
            <w:pPr>
              <w:spacing w:before="0" w:after="40" w:line="252" w:lineRule="auto"/>
            </w:pPr>
            <w:r>
              <w:rPr>
                <w:rFonts w:ascii="Calibri" w:hAnsi="Calibri" w:eastAsia="Calibri"/>
                <w:b/>
                <w:sz w:val="18"/>
              </w:rPr>
              <w:t>Timing.</w:t>
            </w:r>
            <w:r>
              <w:rPr>
                <w:rFonts w:ascii="Calibri" w:hAnsi="Calibri" w:eastAsia="Calibri"/>
                <w:sz w:val="18"/>
              </w:rPr>
              <w:t xml:space="preserve"> Press reports put the Constitutional Law's entry into force at 21 January 2027 (S) [S27], about 93 days after this report. The 90-day plan in Section 8.1 is designed to fit that window.</w:t>
            </w:r>
          </w:p>
        </w:tc>
      </w:tr>
    </w:tbl>
    <w:p>
      <w:pPr>
        <w:spacing w:before="0" w:after="40" w:line="144" w:lineRule="auto"/>
      </w:pPr>
    </w:p>
    <w:p>
      <w:pPr>
        <w:pStyle w:val="Heading1"/>
        <w:pageBreakBefore/>
        <w:pBdr>
          <w:bottom w:val="single" w:sz="12" w:space="3" w:color="009162"/>
        </w:pBdr>
      </w:pPr>
      <w:r>
        <w:rPr>
          <w:rFonts w:ascii="Calibri" w:hAnsi="Calibri" w:eastAsia="Calibri"/>
        </w:rPr>
        <w:t>2. International results at a glance: documented results are real but modest, and concentrated in licensing, funding and guidance</w:t>
      </w:r>
    </w:p>
    <w:p>
      <w:pPr>
        <w:pStyle w:val="ExhibitTitle"/>
      </w:pPr>
      <w:r>
        <w:rPr>
          <w:rFonts w:ascii="Calibri" w:hAnsi="Calibri" w:eastAsia="Calibri"/>
        </w:rPr>
        <w:t>Exhibit 1. Strongest documented results and equally important documented gaps (as reported; primary pages not opened)</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15 of 19</w:t>
            </w:r>
          </w:p>
          <w:p>
            <w:pPr>
              <w:spacing w:before="0" w:after="20" w:line="245" w:lineRule="auto"/>
            </w:pPr>
            <w:r>
              <w:rPr>
                <w:rFonts w:ascii="Calibri" w:hAnsi="Calibri" w:eastAsia="Calibri"/>
                <w:b/>
                <w:color w:val="39393B"/>
                <w:sz w:val="16"/>
              </w:rPr>
              <w:t>MAS accepted firms that graduated and were licensed</w:t>
            </w:r>
          </w:p>
          <w:p>
            <w:pPr>
              <w:spacing w:before="0" w:after="0" w:line="240" w:lineRule="auto"/>
            </w:pPr>
            <w:r>
              <w:rPr>
                <w:rFonts w:ascii="Calibri" w:hAnsi="Calibri" w:eastAsia="Calibri"/>
                <w:color w:val="6B6E70"/>
                <w:sz w:val="14"/>
              </w:rPr>
              <w:t>Singapore, as at Oct 2025. R [S7]</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+15% | +50%</w:t>
            </w:r>
          </w:p>
          <w:p>
            <w:pPr>
              <w:spacing w:before="0" w:after="20" w:line="245" w:lineRule="auto"/>
            </w:pPr>
            <w:r>
              <w:rPr>
                <w:rFonts w:ascii="Calibri" w:hAnsi="Calibri" w:eastAsia="Calibri"/>
                <w:b/>
                <w:color w:val="39393B"/>
                <w:sz w:val="16"/>
              </w:rPr>
              <w:t>Capital raised | probability of raising capital after UK sandbox entry</w:t>
            </w:r>
          </w:p>
          <w:p>
            <w:pPr>
              <w:spacing w:before="0" w:after="0" w:line="240" w:lineRule="auto"/>
            </w:pPr>
            <w:r>
              <w:rPr>
                <w:rFonts w:ascii="Calibri" w:hAnsi="Calibri" w:eastAsia="Calibri"/>
                <w:color w:val="6B6E70"/>
                <w:sz w:val="14"/>
              </w:rPr>
              <w:t>UK, data 2014-2019. I [S2]</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172 of 629</w:t>
            </w:r>
          </w:p>
          <w:p>
            <w:pPr>
              <w:spacing w:before="0" w:after="20" w:line="245" w:lineRule="auto"/>
            </w:pPr>
            <w:r>
              <w:rPr>
                <w:rFonts w:ascii="Calibri" w:hAnsi="Calibri" w:eastAsia="Calibri"/>
                <w:b/>
                <w:color w:val="39393B"/>
                <w:sz w:val="16"/>
              </w:rPr>
              <w:t>FCA applications accepted, 2016 to Dec 2023</w:t>
            </w:r>
          </w:p>
          <w:p>
            <w:pPr>
              <w:spacing w:before="0" w:after="0" w:line="240" w:lineRule="auto"/>
            </w:pPr>
            <w:r>
              <w:rPr>
                <w:rFonts w:ascii="Calibri" w:hAnsi="Calibri" w:eastAsia="Calibri"/>
                <w:color w:val="6B6E70"/>
                <w:sz w:val="14"/>
              </w:rPr>
              <w:t>UK. R [S3]; D: 27%</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about 3 months</w:t>
            </w:r>
          </w:p>
          <w:p>
            <w:pPr>
              <w:spacing w:before="0" w:after="20" w:line="245" w:lineRule="auto"/>
            </w:pPr>
            <w:r>
              <w:rPr>
                <w:rFonts w:ascii="Calibri" w:hAnsi="Calibri" w:eastAsia="Calibri"/>
                <w:b/>
                <w:color w:val="39393B"/>
                <w:sz w:val="16"/>
              </w:rPr>
              <w:t>MAS median time from submission to outcome, incl. applicant response</w:t>
            </w:r>
          </w:p>
          <w:p>
            <w:pPr>
              <w:spacing w:before="0" w:after="0" w:line="240" w:lineRule="auto"/>
            </w:pPr>
            <w:r>
              <w:rPr>
                <w:rFonts w:ascii="Calibri" w:hAnsi="Calibri" w:eastAsia="Calibri"/>
                <w:color w:val="6B6E70"/>
                <w:sz w:val="14"/>
              </w:rPr>
              <w:t>Singapore, Oct 2025. R [S7]</w:t>
            </w:r>
          </w:p>
        </w:tc>
      </w:tr>
    </w:tbl>
    <w:p>
      <w:pPr>
        <w:spacing w:before="0" w:after="60" w:line="120" w:lineRule="auto"/>
      </w:pP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0</w:t>
            </w:r>
          </w:p>
          <w:p>
            <w:pPr>
              <w:spacing w:before="0" w:after="20" w:line="245" w:lineRule="auto"/>
            </w:pPr>
            <w:r>
              <w:rPr>
                <w:rFonts w:ascii="Calibri" w:hAnsi="Calibri" w:eastAsia="Calibri"/>
                <w:b/>
                <w:color w:val="39393B"/>
                <w:sz w:val="16"/>
              </w:rPr>
              <w:t>Sandbox Plus approvals (grant track, from Jan 2022)</w:t>
            </w:r>
          </w:p>
          <w:p>
            <w:pPr>
              <w:spacing w:before="0" w:after="0" w:line="240" w:lineRule="auto"/>
            </w:pPr>
            <w:r>
              <w:rPr>
                <w:rFonts w:ascii="Calibri" w:hAnsi="Calibri" w:eastAsia="Calibri"/>
                <w:color w:val="6B6E70"/>
                <w:sz w:val="14"/>
              </w:rPr>
              <w:t>Singapore, as at Oct 2025. R [S7]</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0 of 8</w:t>
            </w:r>
          </w:p>
          <w:p>
            <w:pPr>
              <w:spacing w:before="0" w:after="20" w:line="245" w:lineRule="auto"/>
            </w:pPr>
            <w:r>
              <w:rPr>
                <w:rFonts w:ascii="Calibri" w:hAnsi="Calibri" w:eastAsia="Calibri"/>
                <w:b/>
                <w:color w:val="39393B"/>
                <w:sz w:val="16"/>
              </w:rPr>
              <w:t>GFIN shortlisted firms that began cross-border testing</w:t>
            </w:r>
          </w:p>
          <w:p>
            <w:pPr>
              <w:spacing w:before="0" w:after="0" w:line="240" w:lineRule="auto"/>
            </w:pPr>
            <w:r>
              <w:rPr>
                <w:rFonts w:ascii="Calibri" w:hAnsi="Calibri" w:eastAsia="Calibri"/>
                <w:color w:val="6B6E70"/>
                <w:sz w:val="14"/>
              </w:rPr>
              <w:t>17 regulators, Jan 2020. R [S15]</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36</w:t>
            </w:r>
          </w:p>
          <w:p>
            <w:pPr>
              <w:spacing w:before="0" w:after="20" w:line="245" w:lineRule="auto"/>
            </w:pPr>
            <w:r>
              <w:rPr>
                <w:rFonts w:ascii="Calibri" w:hAnsi="Calibri" w:eastAsia="Calibri"/>
                <w:b/>
                <w:color w:val="39393B"/>
                <w:sz w:val="16"/>
              </w:rPr>
              <w:t>HKMA Sandbox++ use cases, from about 100 proposals</w:t>
            </w:r>
          </w:p>
          <w:p>
            <w:pPr>
              <w:spacing w:before="0" w:after="0" w:line="240" w:lineRule="auto"/>
            </w:pPr>
            <w:r>
              <w:rPr>
                <w:rFonts w:ascii="Calibri" w:hAnsi="Calibri" w:eastAsia="Calibri"/>
                <w:color w:val="6B6E70"/>
                <w:sz w:val="14"/>
              </w:rPr>
              <w:t>Hong Kong, 27 Aug 2026. R [S21]</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60</w:t>
            </w:r>
          </w:p>
          <w:p>
            <w:pPr>
              <w:spacing w:before="0" w:after="20" w:line="245" w:lineRule="auto"/>
            </w:pPr>
            <w:r>
              <w:rPr>
                <w:rFonts w:ascii="Calibri" w:hAnsi="Calibri" w:eastAsia="Calibri"/>
                <w:b/>
                <w:color w:val="39393B"/>
                <w:sz w:val="16"/>
              </w:rPr>
              <w:t>Use cases in European Blockchain Sandbox, 3 cohorts, no legal exemption</w:t>
            </w:r>
          </w:p>
          <w:p>
            <w:pPr>
              <w:spacing w:before="0" w:after="0" w:line="240" w:lineRule="auto"/>
            </w:pPr>
            <w:r>
              <w:rPr>
                <w:rFonts w:ascii="Calibri" w:hAnsi="Calibri" w:eastAsia="Calibri"/>
                <w:color w:val="6B6E70"/>
                <w:sz w:val="14"/>
              </w:rPr>
              <w:t>EU, final report 11 Feb 2026. R [S17]</w:t>
            </w:r>
          </w:p>
        </w:tc>
      </w:tr>
    </w:tbl>
    <w:p>
      <w:pPr>
        <w:spacing w:before="0" w:after="60" w:line="120" w:lineRule="auto"/>
      </w:pPr>
    </w:p>
    <w:p>
      <w:pPr>
        <w:pStyle w:val="ExhibitTitle"/>
      </w:pPr>
      <w:r>
        <w:rPr>
          <w:rFonts w:ascii="Calibri" w:hAnsi="Calibri" w:eastAsia="Calibri"/>
        </w:rPr>
        <w:t>Exhibit 2. Selectivity varies widely: admission rates range from 10% to 70% across programmes</w:t>
      </w:r>
    </w:p>
    <w:p>
      <w:pPr>
        <w:keepNext/>
        <w:spacing w:before="0" w:after="40" w:line="259" w:lineRule="auto"/>
        <w:jc w:val="center"/>
      </w:pPr>
      <w:r>
        <w:drawing>
          <wp:inline xmlns:a="http://schemas.openxmlformats.org/drawingml/2006/main" xmlns:pic="http://schemas.openxmlformats.org/drawingml/2006/picture">
            <wp:extent cx="5832000" cy="2191591"/>
            <wp:docPr id="2" name="Picture 2"/>
            <wp:cNvGraphicFramePr>
              <a:graphicFrameLocks noChangeAspect="1"/>
            </wp:cNvGraphicFramePr>
            <a:graphic>
              <a:graphicData uri="http://schemas.openxmlformats.org/drawingml/2006/picture">
                <pic:pic>
                  <pic:nvPicPr>
                    <pic:cNvPr id="0" name="f1_admission.png"/>
                    <pic:cNvPicPr/>
                  </pic:nvPicPr>
                  <pic:blipFill>
                    <a:blip r:embed="rId10"/>
                    <a:stretch>
                      <a:fillRect/>
                    </a:stretch>
                  </pic:blipFill>
                  <pic:spPr>
                    <a:xfrm>
                      <a:off x="0" y="0"/>
                      <a:ext cx="5832000" cy="2191591"/>
                    </a:xfrm>
                    <a:prstGeom prst="rect"/>
                  </pic:spPr>
                </pic:pic>
              </a:graphicData>
            </a:graphic>
          </wp:inline>
        </w:drawing>
      </w:r>
    </w:p>
    <w:p>
      <w:pPr>
        <w:spacing w:before="40" w:after="160" w:line="240" w:lineRule="auto"/>
      </w:pPr>
      <w:r>
        <w:rPr>
          <w:rFonts w:ascii="Calibri" w:hAnsi="Calibri" w:eastAsia="Calibri"/>
          <w:color w:val="6B6E70"/>
          <w:sz w:val="15"/>
        </w:rPr>
        <w:t>Derived (D) from reported counts: FCA [S3]; DFSA [S14]; ADGM [S13]; European Blockchain Sandbox cohort 1 [S17]; ASIC (independent review, via press) [S24]; Ofgem window 1 [S6]; Korea ICT convergence 2019 [S23]. Definitions differ (some count sandboxes, some admissions to testing), periods differ, and ASIC's source is a press account of a review. Read as a range, not a ranking.</w:t>
      </w:r>
    </w:p>
    <w:p>
      <w:pPr>
        <w:pStyle w:val="ExhibitTitle"/>
      </w:pPr>
      <w:r>
        <w:rPr>
          <w:rFonts w:ascii="Calibri" w:hAnsi="Calibri" w:eastAsia="Calibri"/>
        </w:rPr>
        <w:t>Exhibit 3. International performance scorecard: published data only, definitions differ by row</w:t>
      </w:r>
    </w:p>
    <w:tbl>
      <w:tblPr>
        <w:tblW w:w="9639" w:type="dxa"/>
        <w:jc w:val="center"/>
        <w:tblLayout w:type="fixed"/>
        <w:tblLook w:firstColumn="1" w:firstRow="1" w:lastColumn="0" w:lastRow="0" w:noHBand="0" w:noVBand="1" w:val="04A0"/>
      </w:tblPr>
      <w:tblGrid>
        <w:gridCol w:w="1530"/>
        <w:gridCol w:w="1814"/>
        <w:gridCol w:w="1814"/>
        <w:gridCol w:w="1190"/>
        <w:gridCol w:w="1701"/>
        <w:gridCol w:w="1587"/>
      </w:tblGrid>
      <w:tr>
        <w:trPr>
          <w:cantSplit/>
          <w:tblHeader/>
        </w:trPr>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Jurisdiction / programme</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Companies / pilots</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Commercialisation</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Processing time</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Regulatory outcomes</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Key mechanism</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FCA Sandbox (2016)</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629 applied, 172 accepted to Dec 2023 [S3]</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Cohort 1: about 90% moved toward launch; at least 40% invested (FCA-reported) [S1]. I: +15% capital [S2]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 SLA found</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 (tools used: waivers, no-action letters)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Live testing with restricted authorisation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Singapore MAS Sandbox / Express / Plus</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19 accepted [S7]</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15 graduated and licensed [S7]</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Median about 3 months; Express target 21 days (T) [S7][S8]</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Three tracks; Plus: grant up to S$500k at 50% co-funding</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UAE ADGM RegLab (2016)</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26 admitted of 69, to Sep 2018 [S13]</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Conditional authorisation in cohorts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UAE DFSA ITL (2017)</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51 accepted of 105 (Jun 2021); 67 of 130 hosted (Jul 2022) [S14]</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 exits of 51 accepted (Jun 2021) [S14]</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Testing licence up to 12 months; open window from 2022</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ICO Sandbox (2019)</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10 chosen of about 64-65 [S5]</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Published exit reports; no legal derogation [S5]</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Guidance without exemptions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Ofgem Sandbox (2016-17)</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30 EOIs, 3 sandboxes, 22 feedback only (window 1) [S6]</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Rule-change count not verified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Triage: advice first, derogation second</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EU Blockchain Sandbox (2023)</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87 applied, 20 admitted (cohort 1); 60 use cases in 3 cohorts [S17]</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tracked</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&gt;50 regulators in cohort 1; best-practice reports [S17]</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Non-binding cross-border dialogue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Japan cross-sector sandbox (2018)</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33 plans, 152 entities certified, Mar 2025 [S20]</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Panasonic PLC case led to a law revision (S); total not verified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Project-specific exemption with data collection</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HKMA FSS and GenAI sandbox</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FSS: 234 cumulative initiatives, end-2021 [S21]. GenAI: 15, 27, then 36 use cases [S21]</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Supervisory sandbox; AI cohorts with tech partners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Saudi SAMA (2018)</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45 permitted, May 2023 [S22]</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18 graduated, May 2023 [S22]</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Tiered permission; regulator-led exit</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South Korea (financial, 2019)</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&gt;300 designated, Mar 2024 (a Jun 2026 press report says 1,072: unreconciled) [S23]</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KRW 6.03tn investment, 2,220 jobs (FSC-reported) [S23]</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Review up to 120 days (S) [S23]</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 time-limited designation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Australia ASIC enhanced (2020)</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103 applied, 19 accepted [S24]</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 ex-participant obtained a licence; of 16 that exited, 12 shut (press account of review) [S24]</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24 months, exposure caps</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WEF-UAE TradeTech (2024)</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 start-ups, 4 UAE regulators (P) [S11]</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Convened multi-regulator testing</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GFIN cross-border pilot (2018-20)</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44 applied, 17 regulators, 8 shortlisted [S15]</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0 began testing [S15]</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Lessons-learned report [S15]</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Single application to many regulators</w:t>
            </w:r>
          </w:p>
        </w:tc>
      </w:tr>
    </w:tbl>
    <w:p>
      <w:pPr>
        <w:spacing w:before="0" w:after="40" w:line="144" w:lineRule="auto"/>
      </w:pPr>
    </w:p>
    <w:p>
      <w:pPr>
        <w:spacing w:before="40" w:after="160" w:line="240" w:lineRule="auto"/>
      </w:pPr>
      <w:r>
        <w:rPr>
          <w:rFonts w:ascii="Calibri" w:hAnsi="Calibri" w:eastAsia="Calibri"/>
          <w:color w:val="6B6E70"/>
          <w:sz w:val="15"/>
        </w:rPr>
        <w:t>"Not verified" means no figure was found in the sources reached; "Not disclosed" means none appears to be published. Rows are not ranked. Full programme detail is in Annex A.</w:t>
      </w:r>
    </w:p>
    <w:p>
      <w:pPr>
        <w:pStyle w:val="Heading2"/>
      </w:pPr>
      <w:r>
        <w:rPr>
          <w:rFonts w:ascii="Calibri" w:hAnsi="Calibri" w:eastAsia="Calibri"/>
        </w:rPr>
        <w:t>What the evidence actually tells us</w:t>
      </w:r>
    </w:p>
    <w:p>
      <w:pPr>
        <w:numPr>
          <w:ilvl w:val="0"/>
          <w:numId w:val="101"/>
        </w:numPr>
        <w:spacing w:before="0" w:after="60" w:line="259" w:lineRule="auto"/>
      </w:pPr>
      <w:r>
        <w:rPr>
          <w:rFonts w:ascii="Calibri" w:hAnsi="Calibri" w:eastAsia="Calibri"/>
          <w:b/>
          <w:sz w:val="19"/>
        </w:rPr>
        <w:t>Outcomes are measured at the licence gate and the funding gate, rarely at the consumer or cost gate.</w:t>
      </w:r>
      <w:r>
        <w:rPr>
          <w:rFonts w:ascii="Calibri" w:hAnsi="Calibri" w:eastAsia="Calibri"/>
          <w:sz w:val="19"/>
        </w:rPr>
        <w:t xml:space="preserve"> No source reviewed publishes audited compliance-cost or time savings. EUz should collect participant-estimated baselines from the first cohort and label them as estimates.</w:t>
      </w:r>
    </w:p>
    <w:p>
      <w:pPr>
        <w:numPr>
          <w:ilvl w:val="0"/>
          <w:numId w:val="101"/>
        </w:numPr>
        <w:spacing w:before="0" w:after="60" w:line="259" w:lineRule="auto"/>
      </w:pPr>
      <w:r>
        <w:rPr>
          <w:rFonts w:ascii="Calibri" w:hAnsi="Calibri" w:eastAsia="Calibri"/>
          <w:b/>
          <w:sz w:val="19"/>
        </w:rPr>
        <w:t>Admission is a signal.</w:t>
      </w:r>
      <w:r>
        <w:rPr>
          <w:rFonts w:ascii="Calibri" w:hAnsi="Calibri" w:eastAsia="Calibri"/>
          <w:sz w:val="19"/>
        </w:rPr>
        <w:t xml:space="preserve"> The UK evidence is a funding and certification effect; selection is non-random and the FCA itself said in 2017 it was too early to judge overall impact [S1][S2]. A weakly selected cohort would damage the signal EUz is trying to create.</w:t>
      </w:r>
    </w:p>
    <w:p>
      <w:pPr>
        <w:numPr>
          <w:ilvl w:val="0"/>
          <w:numId w:val="101"/>
        </w:numPr>
        <w:spacing w:before="0" w:after="60" w:line="259" w:lineRule="auto"/>
      </w:pPr>
      <w:r>
        <w:rPr>
          <w:rFonts w:ascii="Calibri" w:hAnsi="Calibri" w:eastAsia="Calibri"/>
          <w:b/>
          <w:sz w:val="19"/>
        </w:rPr>
        <w:t>Throughput is small everywhere.</w:t>
      </w:r>
      <w:r>
        <w:rPr>
          <w:rFonts w:ascii="Calibri" w:hAnsi="Calibri" w:eastAsia="Calibri"/>
          <w:sz w:val="19"/>
        </w:rPr>
        <w:t xml:space="preserve"> MAS reported 19 firms accepted since 2016 (the reply may span all tracks); Japan certified 33 plans by 2025; the DFSA exits were 3 of 51 at its 2021 count. Planning for dozens of simultaneous pilots would be out of line with the evidence.</w:t>
      </w:r>
    </w:p>
    <w:p>
      <w:pPr>
        <w:numPr>
          <w:ilvl w:val="0"/>
          <w:numId w:val="101"/>
        </w:numPr>
        <w:spacing w:before="0" w:after="60" w:line="259" w:lineRule="auto"/>
      </w:pPr>
      <w:r>
        <w:rPr>
          <w:rFonts w:ascii="Calibri" w:hAnsi="Calibri" w:eastAsia="Calibri"/>
          <w:b/>
          <w:sz w:val="19"/>
        </w:rPr>
        <w:t>Where programmes underperform, the cause is usually design, not demand.</w:t>
      </w:r>
      <w:r>
        <w:rPr>
          <w:rFonts w:ascii="Calibri" w:hAnsi="Calibri" w:eastAsia="Calibri"/>
          <w:sz w:val="19"/>
        </w:rPr>
        <w:t xml:space="preserve"> Unused Sandbox Plus, a failed multi-regulator pilot, falling Korean ICT applications (110 to 67 over two years, S [S23]) and an Australian regime where 12 of 16 exiting firms shut down (S [S24]) all point to eligibility, coordination or exit design.</w:t>
      </w:r>
    </w:p>
    <w:p>
      <w:pPr>
        <w:numPr>
          <w:ilvl w:val="0"/>
          <w:numId w:val="101"/>
        </w:numPr>
        <w:spacing w:before="0" w:after="60" w:line="259" w:lineRule="auto"/>
      </w:pPr>
      <w:r>
        <w:rPr>
          <w:rFonts w:ascii="Calibri" w:hAnsi="Calibri" w:eastAsia="Calibri"/>
          <w:b/>
          <w:sz w:val="19"/>
        </w:rPr>
        <w:t>Guidance and published reports are the lowest-cost, best-evidenced outputs.</w:t>
      </w:r>
      <w:r>
        <w:rPr>
          <w:rFonts w:ascii="Calibri" w:hAnsi="Calibri" w:eastAsia="Calibri"/>
          <w:sz w:val="19"/>
        </w:rPr>
        <w:t xml:space="preserve"> Ofgem, the ICO, the European Blockchain Sandbox and Spain's AI sandbox each produced reusable guidance without relying on legal exemptions [S5][S6][S17][S19].</w:t>
      </w:r>
    </w:p>
    <w:p>
      <w:pPr>
        <w:pStyle w:val="Heading1"/>
        <w:pageBreakBefore/>
        <w:pBdr>
          <w:bottom w:val="single" w:sz="12" w:space="3" w:color="009162"/>
        </w:pBdr>
      </w:pPr>
      <w:r>
        <w:rPr>
          <w:rFonts w:ascii="Calibri" w:hAnsi="Calibri" w:eastAsia="Calibri"/>
        </w:rPr>
        <w:t>3. Selected international success stories: eight programmes, each tied to one EUz design decision</w:t>
      </w:r>
    </w:p>
    <w:p>
      <w:pPr>
        <w:spacing w:before="0" w:after="120" w:line="259" w:lineRule="auto"/>
      </w:pPr>
      <w:r>
        <w:rPr>
          <w:rFonts w:ascii="Calibri" w:hAnsi="Calibri" w:eastAsia="Calibri"/>
          <w:sz w:val="18"/>
        </w:rPr>
        <w:t>Each card follows the same logic: what was introduced, what was measured, why it matters, what EUz should take, and one design decision. Sections A to C are facts as reported; D and E are analysis and recommendation. Every figure is as reported by the cited source and was not checked against the primary document.</w:t>
      </w: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3.1  UK FCA Regulatory Sandbox: admission works as a funding signal, so EUz must measure outcomes from day one</w:t>
            </w:r>
          </w:p>
          <w:p>
            <w:pPr>
              <w:keepNext/>
              <w:spacing w:before="0" w:after="0" w:line="259" w:lineRule="auto"/>
            </w:pPr>
            <w:r>
              <w:rPr>
                <w:rFonts w:ascii="Calibri" w:hAnsi="Calibri" w:eastAsia="Calibri"/>
                <w:color w:val="D7EFE7"/>
                <w:sz w:val="16"/>
              </w:rPr>
              <w:t>United Kingdom | Financial Conduct Authority | launched 2016 | operational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Live testing with real consumers under tailored restrictions: restricted authorisation, individual guidance, waivers and no-enforcement-action letters. Consumer safeguards stay in place. Cohort-based at first, later always-open.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Cohorts 1-2: 146 applications, 50 accepted, 41 tested (to Oct 2017, R) [S1]</w:t>
            </w:r>
          </w:p>
          <w:p>
            <w:pPr>
              <w:keepNext/>
              <w:spacing w:before="0" w:after="20" w:line="250" w:lineRule="auto"/>
            </w:pPr>
            <w:r>
              <w:rPr>
                <w:rFonts w:ascii="Calibri" w:hAnsi="Calibri" w:eastAsia="Calibri"/>
                <w:sz w:val="17"/>
              </w:rPr>
              <w:t>- Cohort 1: about 90% moved toward wider launch; at least 40% received investment (FCA-reported, R) [S1]</w:t>
            </w:r>
          </w:p>
          <w:p>
            <w:pPr>
              <w:keepNext/>
              <w:spacing w:before="0" w:after="20" w:line="250" w:lineRule="auto"/>
            </w:pPr>
            <w:r>
              <w:rPr>
                <w:rFonts w:ascii="Calibri" w:hAnsi="Calibri" w:eastAsia="Calibri"/>
                <w:sz w:val="17"/>
              </w:rPr>
              <w:t>- 2016 to Dec 2023: 629 applications, 172 accepted (R; D: 27%); FY2023/24: 43 applied, 4 accepted; FY2024/25: 52 applied, 16 accepted [S3]</w:t>
            </w:r>
          </w:p>
          <w:p>
            <w:pPr>
              <w:keepNext/>
              <w:spacing w:before="0" w:after="20" w:line="250" w:lineRule="auto"/>
            </w:pPr>
            <w:r>
              <w:rPr>
                <w:rFonts w:ascii="Calibri" w:hAnsi="Calibri" w:eastAsia="Calibri"/>
                <w:sz w:val="17"/>
              </w:rPr>
              <w:t>- Independent: entry linked to about +15% capital raised and about +50% probability of raising capital; positive survival and patenting effects, stronger for small and young firms (UK data 2014-2019, I) [S2]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The measured effect is a certification effect: regulatory comfort lowers investors' information risk. It is not evidence of better consumer outcomes, and entry is non-random. The FCA said in 2017 that it was too early to judge overall impact. Per-cohort figures differ across sources.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sandbox seat is valued because it signals scrutiny. EUz's signal is only as strong as its selection and its published reasoning.</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Write outcome tracking into every test agreement: funding raised, licence status and survival at 12 and 24 months, reported to the Secretariat. Owner: Secretariat. Output: first evidence-based annual report. No legal change needed.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 FCA lessons-learned report (Oct 2017); [S2] BIS Working Paper 901; [S3] FCA FOI response (May 2026).</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3.2  Singapore MAS: the licence pathway works; an unused incentive track is a design failure</w:t>
            </w:r>
          </w:p>
          <w:p>
            <w:pPr>
              <w:keepNext/>
              <w:spacing w:before="0" w:after="0" w:line="259" w:lineRule="auto"/>
            </w:pPr>
            <w:r>
              <w:rPr>
                <w:rFonts w:ascii="Calibri" w:hAnsi="Calibri" w:eastAsia="Calibri"/>
                <w:color w:val="D7EFE7"/>
                <w:sz w:val="16"/>
              </w:rPr>
              <w:t>Singapore | Monetary Authority of Singapore | 2016 (Express 2019, Plus 2022) | operational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Three tracks: a standard sandbox for first movers; Sandbox Express for predefined low-risk activities (up to 9 months of testing, a stated 21-day response endeavour); and Sandbox Plus from Jan 2022 for early adopters, with grants up to S$500,000 at 50% co-funding.</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- 15 of 19 firms accepted into the sandbox graduated and were licensed; one later ceased operating (Oct 2025, R; scope across tracks to be verified) [S7]</w:t>
            </w:r>
          </w:p>
          <w:p>
            <w:pPr>
              <w:keepNext/>
              <w:spacing w:before="0" w:after="20" w:line="250" w:lineRule="auto"/>
            </w:pPr>
            <w:r>
              <w:rPr>
                <w:rFonts w:ascii="Calibri" w:hAnsi="Calibri" w:eastAsia="Calibri"/>
                <w:sz w:val="17"/>
              </w:rPr>
              <w:t>- Median processing time about 3 months, including applicant response time (Oct 2025, R) [S7]</w:t>
            </w:r>
          </w:p>
          <w:p>
            <w:pPr>
              <w:keepNext/>
              <w:spacing w:before="0" w:after="20" w:line="250" w:lineRule="auto"/>
            </w:pPr>
            <w:r>
              <w:rPr>
                <w:rFonts w:ascii="Calibri" w:hAnsi="Calibri" w:eastAsia="Calibri"/>
                <w:sz w:val="17"/>
              </w:rPr>
              <w:t>- Express: 21 days is a target (T); no attainment rate published [S8]</w:t>
            </w:r>
          </w:p>
          <w:p>
            <w:pPr>
              <w:keepNext/>
              <w:spacing w:before="0" w:after="20" w:line="250" w:lineRule="auto"/>
            </w:pPr>
            <w:r>
              <w:rPr>
                <w:rFonts w:ascii="Calibri" w:hAnsi="Calibri" w:eastAsia="Calibri"/>
                <w:sz w:val="17"/>
              </w:rPr>
              <w:t>- Sandbox Plus: no approvals as at Oct 2025, because most applications used technologies already in Singapore (R) [S7]</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Conversion to licence reflects a defined exit into an existing licensing regime. The unused Plus track suggests eligibility or incentive design did not match demand; causal attribution is not established.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Copy the predefined-conditions idea of Express, narrowly. Do not build a grant or incentive track before demand evidence exists. Publish what is actually achieved, not only the target.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After cohort 1, define two predefined low-risk categories with Council-approved standard conditions, and commit to a published decision time (planning assumption: 21 days from a complete application, matching MAS's endeavour), with quarterly reporting of attainment. Owner: Secretariat; approval: Council.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[S7] MAS written parliamentary reply, 14 Oct 2025; [S8] MAS Sandbox Express consultation (2018); [S9] MAS Sandbox Plus release (2021).</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3.3  UK FCA Digital Sandbox: synthetic data speeds development, but data quality decides its value</w:t>
            </w:r>
          </w:p>
          <w:p>
            <w:pPr>
              <w:keepNext/>
              <w:spacing w:before="0" w:after="0" w:line="259" w:lineRule="auto"/>
            </w:pPr>
            <w:r>
              <w:rPr>
                <w:rFonts w:ascii="Calibri" w:hAnsi="Calibri" w:eastAsia="Calibri"/>
                <w:color w:val="D7EFE7"/>
                <w:sz w:val="16"/>
              </w:rPr>
              <w:t>United Kingdom | FCA | pilots 2020-2022; AI initiatives 2025 | pilots completed; later programmes ongoing</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cloud testing environment with synthetic datasets, APIs and an observation layer. No live consumers and no authorisation relief. Created after a three-week DataSprint in Jul-Aug 2020 with 120 participants.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Pilot 1 (Oct 2020-Feb 2021): SME finance, fraud, vulnerable customers. Pilot 2 (Oct 2021-Mar 2022): sustainable finance. 28 organisations took part (R) [S4]</w:t>
            </w:r>
          </w:p>
          <w:p>
            <w:pPr>
              <w:keepNext/>
              <w:spacing w:before="0" w:after="20" w:line="250" w:lineRule="auto"/>
            </w:pPr>
            <w:r>
              <w:rPr>
                <w:rFonts w:ascii="Calibri" w:hAnsi="Calibri" w:eastAsia="Calibri"/>
                <w:sz w:val="17"/>
              </w:rPr>
              <w:t>- FCA evaluation: the vast majority said the environment accelerated development; synthetic data was the most valued feature, but only about half said it met expectations (R, participant survey) [S4]</w:t>
            </w:r>
          </w:p>
          <w:p>
            <w:pPr>
              <w:keepNext/>
              <w:spacing w:before="0" w:after="20" w:line="250" w:lineRule="auto"/>
            </w:pPr>
            <w:r>
              <w:rPr>
                <w:rFonts w:ascii="Calibri" w:hAnsi="Calibri" w:eastAsia="Calibri"/>
                <w:sz w:val="17"/>
              </w:rPr>
              <w:t>- Permanent status and later participant numbers: not verified</w:t>
            </w:r>
          </w:p>
          <w:p>
            <w:pPr>
              <w:keepNext/>
              <w:spacing w:before="0" w:after="20" w:line="250" w:lineRule="auto"/>
            </w:pPr>
            <w:r>
              <w:rPr>
                <w:rFonts w:ascii="Calibri" w:hAnsi="Calibri" w:eastAsia="Calibri"/>
                <w:sz w:val="17"/>
              </w:rPr>
              <w:t>- Ongoing, no outcomes yet: Supercharged Sandbox with Nvidia from Oct 2025 (S); AI Live Testing, first cohort of seven named firms announced Dec 2025, evaluation planned after 12 months (T) [S33]</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Access to data and APIs was among barriers firms reported to the FCA in 2017 [S1]. The environment removes that barrier without regulatory risk.</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Offer synthetic data and a secure test environment as a day-one service for AI and data pilots, and agree a data-quality specification with participants.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Build a minimum Digital Sandbox in months 2-6: isolated tenancy, synthetic datasets for two pilot domains, an API gateway and logging. Owner: platform and data lead. Success test set with the first pilot's participants, not assumed.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[S4] FCA Digital Sandbox pilot; [S33] AI Live Testing and Supercharged Sandbox reports (trade press).</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3.4  UK ICO Sandbox: a regulator with no power to waive the law still produced published guidance</w:t>
            </w:r>
          </w:p>
          <w:p>
            <w:pPr>
              <w:keepNext/>
              <w:spacing w:before="0" w:after="0" w:line="259" w:lineRule="auto"/>
            </w:pPr>
            <w:r>
              <w:rPr>
                <w:rFonts w:ascii="Calibri" w:hAnsi="Calibri" w:eastAsia="Calibri"/>
                <w:color w:val="D7EFE7"/>
                <w:sz w:val="16"/>
              </w:rPr>
              <w:t>United Kingdom | Information Commissioner's Office | beta 2019 | operational; statutory option under review</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Free, bespoke engagement with ICO staff on novel personal-data projects. The output is a published exit report setting out the regulator's views. There is no legal derogation.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Ten organisations chosen from about 64-65 applications (2019 beta; sources differ) (S) [S5]</w:t>
            </w:r>
          </w:p>
          <w:p>
            <w:pPr>
              <w:keepNext/>
              <w:spacing w:before="0" w:after="20" w:line="250" w:lineRule="auto"/>
            </w:pPr>
            <w:r>
              <w:rPr>
                <w:rFonts w:ascii="Calibri" w:hAnsi="Calibri" w:eastAsia="Calibri"/>
                <w:sz w:val="17"/>
              </w:rPr>
              <w:t>- Nine of the ten exited between Jun 2020 and Mar 2021 despite pandemic delays (S) [S5]</w:t>
            </w:r>
          </w:p>
          <w:p>
            <w:pPr>
              <w:keepNext/>
              <w:spacing w:before="0" w:after="20" w:line="250" w:lineRule="auto"/>
            </w:pPr>
            <w:r>
              <w:rPr>
                <w:rFonts w:ascii="Calibri" w:hAnsi="Calibri" w:eastAsia="Calibri"/>
                <w:sz w:val="17"/>
              </w:rPr>
              <w:t>- Later exit reports include Our Future Health (Oct 2023) and Meta (Sep 2025) (S) [S5]</w:t>
            </w:r>
          </w:p>
          <w:p>
            <w:pPr>
              <w:keepNext/>
              <w:spacing w:before="0" w:after="20" w:line="250" w:lineRule="auto"/>
            </w:pPr>
            <w:r>
              <w:rPr>
                <w:rFonts w:ascii="Calibri" w:hAnsi="Calibri" w:eastAsia="Calibri"/>
                <w:sz w:val="17"/>
              </w:rPr>
              <w:t>- Beta review (self-assessed by ICO): participants reported access to expertise and more confidence in finished products [S5]</w:t>
            </w:r>
          </w:p>
          <w:p>
            <w:pPr>
              <w:keepNext/>
              <w:spacing w:before="0" w:after="20" w:line="250" w:lineRule="auto"/>
            </w:pPr>
            <w:r>
              <w:rPr>
                <w:rFonts w:ascii="Calibri" w:hAnsi="Calibri" w:eastAsia="Calibri"/>
                <w:sz w:val="17"/>
              </w:rPr>
              <w:t>- A Jul 2026 trade-press item says the ICO found a statutory sandbox feasible subject to conditions (S; primary report not checked)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Published exit reports turn one bilateral engagement into reusable regulatory guidance. Limits: small cohorts, high staff effort, self-reported benefits.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The Guidance Track needs no exemption power and can be live before rules are final. It should end in a published position.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Every Guidance Track case closes with a short written regulatory position, published in anonymised form within a planning-assumption 30 working days. Owner: regulatory counsel. Output: a growing public position library.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[S5] ICO Sandbox beta review and previous-participants page.</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3.5  ADGM RegLab and DFSA ITL: Gulf on-ramps admit many firms, but the exit pathway is the bottleneck</w:t>
            </w:r>
          </w:p>
          <w:p>
            <w:pPr>
              <w:keepNext/>
              <w:spacing w:before="0" w:after="0" w:line="259" w:lineRule="auto"/>
            </w:pPr>
            <w:r>
              <w:rPr>
                <w:rFonts w:ascii="Calibri" w:hAnsi="Calibri" w:eastAsia="Calibri"/>
                <w:color w:val="D7EFE7"/>
                <w:sz w:val="16"/>
              </w:rPr>
              <w:t>United Arab Emirates | ADGM FSRA (2016) and DFSA (May 2017) | operational; latest counts not verified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ADGM RegLab: time-limited conditional authorisation for fintech cohorts. DFSA Innovation Testing Licence: up to 12 months of testing with test-plan targets; firms must show they can meet full authorisation requirements to exit. The DFSA moved from cohorts to an open window in 2022.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RegLab: 26 admitted of 69 applications from 20 countries; cohorts of 5, 11 and 10 (to Sep 2018, R) [S13]</w:t>
            </w:r>
          </w:p>
          <w:p>
            <w:pPr>
              <w:keepNext/>
              <w:spacing w:before="0" w:after="20" w:line="250" w:lineRule="auto"/>
            </w:pPr>
            <w:r>
              <w:rPr>
                <w:rFonts w:ascii="Calibri" w:hAnsi="Calibri" w:eastAsia="Calibri"/>
                <w:sz w:val="17"/>
              </w:rPr>
              <w:t>- ITL: 105 applicants, 51 accepted, 5 operating, 3 exited, 7 in-principle (Jun 2021, R); 130 applicants, 67 hosted (Jul 2022, R) [S14]</w:t>
            </w:r>
          </w:p>
          <w:p>
            <w:pPr>
              <w:keepNext/>
              <w:spacing w:before="0" w:after="20" w:line="250" w:lineRule="auto"/>
            </w:pPr>
            <w:r>
              <w:rPr>
                <w:rFonts w:ascii="Calibri" w:hAnsi="Calibri" w:eastAsia="Calibri"/>
                <w:sz w:val="17"/>
              </w:rPr>
              <w:t>- First DFSA graduate: Sarwa (robo-adviser), Nov 2018, after nearly 12 months (R) [S14]</w:t>
            </w:r>
          </w:p>
          <w:p>
            <w:pPr>
              <w:keepNext/>
              <w:spacing w:before="0" w:after="20" w:line="250" w:lineRule="auto"/>
            </w:pPr>
            <w:r>
              <w:rPr>
                <w:rFonts w:ascii="Calibri" w:hAnsi="Calibri" w:eastAsia="Calibri"/>
                <w:sz w:val="17"/>
              </w:rPr>
              <w:t>- Not verified: any ADGM figure after 2018; DFSA counts after 2022; licence conversion for RegLab</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Applications rose steadily (41, 82, 105, 130 across reports), so regional demand for a testing on-ramp exists. Few exits by 2021 are consistent with the exit conditions and test durations (A: inference).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EUz enters a market where established Gulf jurisdictions already attract applicants. Its difference must be non-financial emerging technology and speed, and it must define exit tests at the start.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Require each test plan to state, at admission, the evidence that will qualify the participant for a permanent route (licence, existing-rules operation or revised regime), and track conversion. Owner: Sandbox Committee.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[S13] ADGM announcements; [S14] DFSA Sarwa release and Finance Magnates report on ITL window.</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3.6  WEF-UAE TradeTech Sandbox: a convened multi-regulator sandbox is feasible, but its outcome evidence is convener-reported</w:t>
            </w:r>
          </w:p>
          <w:p>
            <w:pPr>
              <w:keepNext/>
              <w:spacing w:before="0" w:after="0" w:line="259" w:lineRule="auto"/>
            </w:pPr>
            <w:r>
              <w:rPr>
                <w:rFonts w:ascii="Calibri" w:hAnsi="Calibri" w:eastAsia="Calibri"/>
                <w:color w:val="D7EFE7"/>
                <w:sz w:val="16"/>
              </w:rPr>
              <w:t>United Arab Emirates | WEF with UAE government and Abu Dhabi DED | MoU Jan 2024; report Oct 2025 | operational, results reported by convener</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sandbox for trade technology convened by the World Economic Forum under an MoU with the UAE and Abu Dhabi's economic department. UAE regulators supervised live tests; a vendor (NayaOne) supplied the technology platform (vendor-reported, P).</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- 8 start-ups and 4 UAE regulators (WEF report, 1 Oct 2025, P) [S11]</w:t>
            </w:r>
          </w:p>
          <w:p>
            <w:pPr>
              <w:keepNext/>
              <w:spacing w:before="0" w:after="20" w:line="250" w:lineRule="auto"/>
            </w:pPr>
            <w:r>
              <w:rPr>
                <w:rFonts w:ascii="Calibri" w:hAnsi="Calibri" w:eastAsia="Calibri"/>
                <w:sz w:val="17"/>
              </w:rPr>
              <w:t>- Themes tested: digital trade documents, self-sovereign identity, stablecoin payments, DeFi lending [S11]</w:t>
            </w:r>
          </w:p>
          <w:p>
            <w:pPr>
              <w:keepNext/>
              <w:spacing w:before="0" w:after="20" w:line="250" w:lineRule="auto"/>
            </w:pPr>
            <w:r>
              <w:rPr>
                <w:rFonts w:ascii="Calibri" w:hAnsi="Calibri" w:eastAsia="Calibri"/>
                <w:sz w:val="17"/>
              </w:rPr>
              <w:t>- Preliminary findings announced Apr 2025; about 21 months from MoU to report [S10][S11]</w:t>
            </w:r>
          </w:p>
          <w:p>
            <w:pPr>
              <w:keepNext/>
              <w:spacing w:before="0" w:after="20" w:line="250" w:lineRule="auto"/>
            </w:pPr>
            <w:r>
              <w:rPr>
                <w:rFonts w:ascii="Calibri" w:hAnsi="Calibri" w:eastAsia="Calibri"/>
                <w:sz w:val="17"/>
              </w:rPr>
              <w:t>- Unreconciled: a later WEF report lists more bodies (FSRA, DFSA, CBUAE, MoFT, ADDED) than "4 regulators" (S)</w:t>
            </w:r>
          </w:p>
          <w:p>
            <w:pPr>
              <w:keepNext/>
              <w:spacing w:before="0" w:after="20" w:line="250" w:lineRule="auto"/>
            </w:pPr>
            <w:r>
              <w:rPr>
                <w:rFonts w:ascii="Calibri" w:hAnsi="Calibri" w:eastAsia="Calibri"/>
                <w:sz w:val="17"/>
              </w:rPr>
              <w:t>- Not verified: per-firm outcomes, licences, volumes, any independent evaluation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The documented value is coordination: one programme spanning trade, payments and identity under several authorities. Commercial results are not evidenced.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convener can reduce coordination cost for multi-authority pilots, provided outcomes are reported per participant and unresolved issues are published.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Run the TradeTech pilot (Pilot 2, Section 7) under one test plan with a named lead authority, and make per-participant outcome reporting a condition of any partner's role. Owner: Sandbox Committee.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[S10] WAM launch release; [S11] WEF, Advancing Digital Trade (Oct 2025); [S32] NayaOne release.</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3.7  HKMA GenAI Sandbox: an AI-specific sandbox can scale quickly when it pairs institutions with technology partners</w:t>
            </w:r>
          </w:p>
          <w:p>
            <w:pPr>
              <w:keepNext/>
              <w:spacing w:before="0" w:after="0" w:line="259" w:lineRule="auto"/>
            </w:pPr>
            <w:r>
              <w:rPr>
                <w:rFonts w:ascii="Calibri" w:hAnsi="Calibri" w:eastAsia="Calibri"/>
                <w:color w:val="D7EFE7"/>
                <w:sz w:val="16"/>
              </w:rPr>
              <w:t>Hong Kong SAR | HKMA with Cyberport | launched Sep 2024 | operational; outcome data not verified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non-statutory sandbox that pairs banks with technology partners to test generative-AI use cases. Cohorts were announced in Dec 2024 and Oct 2025; Sandbox++ (Aug 2026) extends to securities and insurance and to agentic AI.</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Cohort 1 (Dec 2024): 15 use cases, 10 banks, 4 tech partners, from more than 40 proposals (R) [S21]</w:t>
            </w:r>
          </w:p>
          <w:p>
            <w:pPr>
              <w:keepNext/>
              <w:spacing w:before="0" w:after="20" w:line="250" w:lineRule="auto"/>
            </w:pPr>
            <w:r>
              <w:rPr>
                <w:rFonts w:ascii="Calibri" w:hAnsi="Calibri" w:eastAsia="Calibri"/>
                <w:sz w:val="17"/>
              </w:rPr>
              <w:t>- Cohort 2 (Oct 2025): 27 use cases, 20 banks, 14 tech partners, from more than 60 proposals (R) [S21]</w:t>
            </w:r>
          </w:p>
          <w:p>
            <w:pPr>
              <w:keepNext/>
              <w:spacing w:before="0" w:after="20" w:line="250" w:lineRule="auto"/>
            </w:pPr>
            <w:r>
              <w:rPr>
                <w:rFonts w:ascii="Calibri" w:hAnsi="Calibri" w:eastAsia="Calibri"/>
                <w:sz w:val="17"/>
              </w:rPr>
              <w:t>- Sandbox++ (27 Aug 2026): 36 use cases, 30 financial institutions, 27 tech partners, from about 100 proposals (R) [S21]</w:t>
            </w:r>
          </w:p>
          <w:p>
            <w:pPr>
              <w:keepNext/>
              <w:spacing w:before="0" w:after="20" w:line="250" w:lineRule="auto"/>
            </w:pPr>
            <w:r>
              <w:rPr>
                <w:rFonts w:ascii="Calibri" w:hAnsi="Calibri" w:eastAsia="Calibri"/>
                <w:sz w:val="17"/>
              </w:rPr>
              <w:t>- Not verified: production deployments, risk findings or supervisory outcomes. Earlier FSS: 234 cumulative initiatives by end-2021 [S21]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Repeat cohorts with rising proposals show demand for AI testing. The counts are admissions, not results.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Start with a single themed cohort and expand in rounds only after review, using partner pairing to lift quality.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Run the first Full Sandbox round as one themed cohort (AI assurance) of three to four projects, publish the call openly, and decide on a larger round 2 at the month-9 review. Owner: Sandbox Committee.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[S21] HKMA press releases (Dec 2024, Oct 2025, Aug 2026); Hong Kong LegCo research paper (Feb 2022).</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3.8  EU sandboxes: dialogue at scale produces guidance, while the power to grant exemptions remains absent</w:t>
            </w:r>
          </w:p>
          <w:p>
            <w:pPr>
              <w:keepNext/>
              <w:spacing w:before="0" w:after="0" w:line="259" w:lineRule="auto"/>
            </w:pPr>
            <w:r>
              <w:rPr>
                <w:rFonts w:ascii="Calibri" w:hAnsi="Calibri" w:eastAsia="Calibri"/>
                <w:color w:val="D7EFE7"/>
                <w:sz w:val="16"/>
              </w:rPr>
              <w:t>European Union | Blockchain Sandbox (2023-2026); AI Act sandboxes (Arts 57-59); Spain pilot | mixed status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A. What they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The European Blockchain Regulatory Sandbox: free, non-binding cross-border dialogues between projects and regulators, 20 projects per year. The AI Act requires national AI sandboxes (Arts 57-59); Spain ran a first national pilot, which closed on 12 Jun 2026.</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B. Verified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 Blockchain cohort 1: 87 applications, 20 use cases, more than 50 regulators or authorities involved (R) [S17]</w:t>
            </w:r>
          </w:p>
          <w:p>
            <w:pPr>
              <w:keepNext/>
              <w:spacing w:before="0" w:after="20" w:line="250" w:lineRule="auto"/>
            </w:pPr>
            <w:r>
              <w:rPr>
                <w:rFonts w:ascii="Calibri" w:hAnsi="Calibri" w:eastAsia="Calibri"/>
                <w:sz w:val="17"/>
              </w:rPr>
              <w:t>- Final report 11 Feb 2026 draws on 60 use cases across three cohorts (R) [S17]</w:t>
            </w:r>
          </w:p>
          <w:p>
            <w:pPr>
              <w:keepNext/>
              <w:spacing w:before="0" w:after="20" w:line="250" w:lineRule="auto"/>
            </w:pPr>
            <w:r>
              <w:rPr>
                <w:rFonts w:ascii="Calibri" w:hAnsi="Calibri" w:eastAsia="Calibri"/>
                <w:sz w:val="17"/>
              </w:rPr>
              <w:t>- Spain: 11 systems completed per the official release; secondary sources say 12 selected from 44 applications (unreconciled); outputs: technical guides, a checklist tool, a results report (Sep 2026) [S19]</w:t>
            </w:r>
          </w:p>
          <w:p>
            <w:pPr>
              <w:keepNext/>
              <w:spacing w:before="0" w:after="20" w:line="250" w:lineRule="auto"/>
            </w:pPr>
            <w:r>
              <w:rPr>
                <w:rFonts w:ascii="Calibri" w:hAnsi="Calibri" w:eastAsia="Calibri"/>
                <w:sz w:val="17"/>
              </w:rPr>
              <w:t>- AI Act: national sandbox deadline moved from 2 Aug 2026 to 2 Aug 2027 by the Digital Omnibus (S: law-firm notes; verify in EUR-Lex); adoption of the implementing act on sandbox arrangements not verified [S18]</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Structured dialogue yields shared interpretations at scale. No quantified compliance-time or cost outcomes were published in the sources reached.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published best-practice report per cohort is a low-cost output that builds credibility as a rule-maker for emerging technology.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keepNext/>
              <w:spacing w:before="0" w:after="20" w:line="250" w:lineRule="auto"/>
            </w:pPr>
            <w:r>
              <w:rPr>
                <w:rFonts w:ascii="Calibri" w:hAnsi="Calibri" w:eastAsia="Calibri"/>
                <w:sz w:val="17"/>
              </w:rPr>
              <w:t>Commit to a Regulatory Insights Report within a planning-assumption 60 days of each cohort closing, approved by the Council and used as input to rule prototyping. Owner: Secretariat.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[S17] European Blockchain Sandbox pages and final report; [S18] AI Act Omnibus notes; [S19] Spanish Government release and results report.</w:t>
            </w:r>
          </w:p>
        </w:tc>
      </w:tr>
    </w:tbl>
    <w:p>
      <w:pPr>
        <w:spacing w:before="0" w:after="100" w:line="168" w:lineRule="auto"/>
      </w:pPr>
    </w:p>
    <w:p>
      <w:pPr>
        <w:pStyle w:val="Heading1"/>
        <w:pageBreakBefore/>
        <w:pBdr>
          <w:bottom w:val="single" w:sz="12" w:space="3" w:color="009162"/>
        </w:pBdr>
      </w:pPr>
      <w:r>
        <w:rPr>
          <w:rFonts w:ascii="Calibri" w:hAnsi="Calibri" w:eastAsia="Calibri"/>
        </w:rPr>
        <w:t>4. Innovative mechanisms and interesting cases: proven tools are modest; the novel ones are mostly unmeasured</w:t>
      </w:r>
    </w:p>
    <w:p>
      <w:pPr>
        <w:pStyle w:val="Heading2"/>
      </w:pPr>
      <w:r>
        <w:rPr>
          <w:rFonts w:ascii="Calibri" w:hAnsi="Calibri" w:eastAsia="Calibri"/>
        </w:rPr>
        <w:t>4.1 Fourteen mechanisms, with the strength of evidence stated</w:t>
      </w:r>
    </w:p>
    <w:p>
      <w:pPr>
        <w:spacing w:before="0" w:after="80" w:line="259" w:lineRule="auto"/>
      </w:pPr>
      <w:r>
        <w:rPr>
          <w:rFonts w:ascii="Calibri" w:hAnsi="Calibri" w:eastAsia="Calibri"/>
          <w:sz w:val="18"/>
        </w:rPr>
        <w:t xml:space="preserve">Status key: </w:t>
      </w:r>
      <w:r>
        <w:rPr>
          <w:rFonts w:ascii="Calibri" w:hAnsi="Calibri" w:eastAsia="Calibri"/>
          <w:b/>
          <w:sz w:val="18"/>
        </w:rPr>
        <w:t>Proven</w:t>
      </w:r>
      <w:r>
        <w:rPr>
          <w:rFonts w:ascii="Calibri" w:hAnsi="Calibri" w:eastAsia="Calibri"/>
          <w:sz w:val="18"/>
        </w:rPr>
        <w:t xml:space="preserve"> = operational with documented results; </w:t>
      </w:r>
      <w:r>
        <w:rPr>
          <w:rFonts w:ascii="Calibri" w:hAnsi="Calibri" w:eastAsia="Calibri"/>
          <w:b/>
          <w:sz w:val="18"/>
        </w:rPr>
        <w:t>Operational, no impact data</w:t>
      </w:r>
      <w:r>
        <w:rPr>
          <w:rFonts w:ascii="Calibri" w:hAnsi="Calibri" w:eastAsia="Calibri"/>
          <w:sz w:val="18"/>
        </w:rPr>
        <w:t xml:space="preserve"> = running but no reliable results found; </w:t>
      </w:r>
      <w:r>
        <w:rPr>
          <w:rFonts w:ascii="Calibri" w:hAnsi="Calibri" w:eastAsia="Calibri"/>
          <w:b/>
          <w:sz w:val="18"/>
        </w:rPr>
        <w:t>Experimental</w:t>
      </w:r>
      <w:r>
        <w:rPr>
          <w:rFonts w:ascii="Calibri" w:hAnsi="Calibri" w:eastAsia="Calibri"/>
          <w:sz w:val="18"/>
        </w:rPr>
        <w:t xml:space="preserve"> = early or ongoing; </w:t>
      </w:r>
      <w:r>
        <w:rPr>
          <w:rFonts w:ascii="Calibri" w:hAnsi="Calibri" w:eastAsia="Calibri"/>
          <w:b/>
          <w:sz w:val="18"/>
        </w:rPr>
        <w:t>Proposed</w:t>
      </w:r>
      <w:r>
        <w:rPr>
          <w:rFonts w:ascii="Calibri" w:hAnsi="Calibri" w:eastAsia="Calibri"/>
          <w:sz w:val="18"/>
        </w:rPr>
        <w:t xml:space="preserve"> = announced, not implemented. Innovation alone is not treated as evidence of success.</w:t>
      </w:r>
    </w:p>
    <w:p>
      <w:pPr>
        <w:pStyle w:val="ExhibitTitle"/>
      </w:pPr>
      <w:r>
        <w:rPr>
          <w:rFonts w:ascii="Calibri" w:hAnsi="Calibri" w:eastAsia="Calibri"/>
        </w:rPr>
        <w:t>Exhibit 4. Mechanism cards: international example, verified result, value and requirements for EUz</w:t>
      </w:r>
    </w:p>
    <w:tbl>
      <w:tblPr>
        <w:tblW w:w="9639" w:type="dxa"/>
        <w:jc w:val="center"/>
        <w:tblLayout w:type="fixed"/>
        <w:tblLook w:firstColumn="1" w:firstRow="1" w:lastColumn="0" w:lastRow="0" w:noHBand="0" w:noVBand="1" w:val="04A0"/>
      </w:tblPr>
      <w:tblGrid>
        <w:gridCol w:w="1247"/>
        <w:gridCol w:w="1644"/>
        <w:gridCol w:w="2324"/>
        <w:gridCol w:w="1417"/>
        <w:gridCol w:w="1871"/>
        <w:gridCol w:w="1134"/>
      </w:tblGrid>
      <w:tr>
        <w:trPr>
          <w:cantSplit/>
          <w:tblHeader/>
        </w:trPr>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Mechanism</w:t>
            </w:r>
          </w:p>
        </w:tc>
        <w:tc>
          <w:tcPr>
            <w:tcW w:type="dxa" w:w="164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International example</w:t>
            </w:r>
          </w:p>
        </w:tc>
        <w:tc>
          <w:tcPr>
            <w:tcW w:type="dxa" w:w="232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Verified result (type)</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Value for EUz</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Implementation requirements</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Status</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Express / fast-track</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Sandbox Express (2019)</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21-day response is a target (T); attainment unpublished; standard median about 3 months [S7][S8]</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Predictable decision for low-risk cases</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Predefined categories; Council-approved standard conditions; published attainment</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no impact data</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Guidance without exemptions</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ICO Sandbox; Ofgem Innovation Link</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Ofgem w1: 22 of 30 needed feedback only (R) [S6]; ICO exit reports [S5]</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Lowest cost; usable before rules are final</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Case manager; counsel; publication policy</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Proven</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Multi-track</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three tracks; Uzbek Central Bank three-track draft (announced)</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Plus: 0 approvals (R) [S7]; Central Bank draft not yet in force [S29]</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Matches effort to risk</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Clear entry test per track; start with two tracks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mixed</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Cross-sector sandbox</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Japan (2018, permanent 2021); Korea ICT convergence</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Japan: 33 plans, 152 entities, Mar 2025 (R) [S20]. Korea ICT: applications fell 110 to 67 over two years, spread over six ministries (S) [S23]</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One door for emerging tech spanning ministries</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Power to convene regulators; single case file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reform count not verified</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Time-limited exemptions</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Korea Financial Special Act (2019); Japan</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Korea: &gt;300 services designated by Mar 2024; 1,072 per a Jun 2026 press report (unreconciled) [S23]</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Legal certainty for the test period</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 basis; caps; stop-loss; defined term</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6 Regulation prototyping</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Japan: Panasonic PLC project led to a law revision</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One reform case (S); total reforms not verified [S20]</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Turns tests into rules</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rule-making route; pilot-to-rule note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no reliable counts</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7 Graduation</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15 of 19; SAMA 18 of 45; DFSA 3 exits of 51</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 [S7][S22][S14]; Australia: 1 licence among 16 exits (S) [S24]</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Defines success and avoids limbo</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Exit routes set at admission; licensing partners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Proven, wide variance</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8 Cross-border corridors</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GFIN pilot; Singapore-Abu Dhabi MLETR transaction</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GFIN: 0 of 8 began testing (R) [S15]; MLETR trade transaction piloted (S) [S34]</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Reach and credibility abroad</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Bilateral MoUs; mutual recognition; common test plan</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Experimental</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9 Digital sandbox, synthetic data</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FCA Digital Sandbox</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28 organisations; synthetic data most valued; about half said it met expectations (R) [S4]</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Removes data-access barrier</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Isolated environment; datasets; API gateway</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limited data</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10 AI model and live testing</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HKMA GenAI; FCA AI Live Testing; Spain AI sandbox</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HKMA: 15, 27, 36 use cases (R) [S21]; FCA outcomes pending (T) [S33]; Spain 11 completed [S19]</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EUz mandate fit</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Independent assurance expertise; test protocols</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Experimental</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11 Regulator-in-the-loop, multi-regulator</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European Blockchain Sandbox; TradeTech</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&gt;50 regulators in cohort 1 (R) [S17]; 4 UAE regulators (P) [S11]</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One test plan across authorities</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Lead authority; consent protocol</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no impact data</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12 Investor access and funding link</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UK sandbox (BIS); MAS Plus grants</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+15% capital (I) [S2]; Plus: 0 approvals (R) [S7]</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Commercial pull for participants</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Outcome data; demo events; no grants initially</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Proven (UK), unproven (grants)</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13 Published exit and insight reports</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ICO; European Blockchain Sandbox; Spain</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Reports published for each cohort [S5][S17][S19]</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Reputation as rule-maker</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Confidentiality clauses; editorial process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Proven</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14 Open-window intake</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FCA always-open; DFSA open window (2022)</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 impact data [S14]</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Avoids cohort delays</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Standing triage capacity</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no impact data</w:t>
            </w:r>
          </w:p>
        </w:tc>
      </w:tr>
    </w:tbl>
    <w:p>
      <w:pPr>
        <w:spacing w:before="0" w:after="40" w:line="144" w:lineRule="auto"/>
      </w:pPr>
    </w:p>
    <w:p>
      <w:pPr>
        <w:pStyle w:val="ExhibitTitle"/>
      </w:pPr>
      <w:r>
        <w:rPr>
          <w:rFonts w:ascii="Calibri" w:hAnsi="Calibri" w:eastAsia="Calibri"/>
        </w:rPr>
        <w:t>Exhibit 5. International mechanism to EUz recommendation matrix</w:t>
      </w:r>
    </w:p>
    <w:tbl>
      <w:tblPr>
        <w:tblW w:w="9639" w:type="dxa"/>
        <w:jc w:val="center"/>
        <w:tblLayout w:type="fixed"/>
        <w:tblLook w:firstColumn="1" w:firstRow="1" w:lastColumn="0" w:lastRow="0" w:noHBand="0" w:noVBand="1" w:val="04A0"/>
      </w:tblPr>
      <w:tblGrid>
        <w:gridCol w:w="2041"/>
        <w:gridCol w:w="5556"/>
        <w:gridCol w:w="2041"/>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Mechanism</w:t>
            </w:r>
          </w:p>
        </w:tc>
        <w:tc>
          <w:tcPr>
            <w:tcW w:type="dxa" w:w="555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EUz recommendation (action, owner)</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Timing</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Guidance without exemptions</w:t>
            </w:r>
          </w:p>
        </w:tc>
        <w:tc>
          <w:tcPr>
            <w:tcW w:type="dxa" w:w="555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Run the Guidance Track as the front door; publish positions. Regulatory counsel.</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Day 1</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Published insight reports</w:t>
            </w:r>
          </w:p>
        </w:tc>
        <w:tc>
          <w:tcPr>
            <w:tcW w:type="dxa" w:w="555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One Council-approved report per cohort. Secretariat.</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Day 1 (first report after cohort 1)</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Graduation</w:t>
            </w:r>
          </w:p>
        </w:tc>
        <w:tc>
          <w:tcPr>
            <w:tcW w:type="dxa" w:w="555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Exit evidence stated in every test plan. Sandbox Committee.</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Day 1</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Digital sandbox, synthetic data</w:t>
            </w:r>
          </w:p>
        </w:tc>
        <w:tc>
          <w:tcPr>
            <w:tcW w:type="dxa" w:w="555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Minimum viable environment for AI and data pilots. Platform lead.</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Day 1 (MVP), extend later</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Time-limited exemptions</w:t>
            </w:r>
          </w:p>
        </w:tc>
        <w:tc>
          <w:tcPr>
            <w:tcW w:type="dxa" w:w="555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Use only for EUz-controlled requirements; consent for others. Council, regulators.</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Day 1 (capped)</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Multi-regulator testing</w:t>
            </w:r>
          </w:p>
        </w:tc>
        <w:tc>
          <w:tcPr>
            <w:tcW w:type="dxa" w:w="555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One test plan, named lead authority. Sandbox Committee.</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Day 1 for Pilot 2 only</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Express / fast-track</w:t>
            </w:r>
          </w:p>
        </w:tc>
        <w:tc>
          <w:tcPr>
            <w:tcW w:type="dxa" w:w="555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Two predefined categories after cohort 1. Council.</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Pilot after month 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Open-window intake</w:t>
            </w:r>
          </w:p>
        </w:tc>
        <w:tc>
          <w:tcPr>
            <w:tcW w:type="dxa" w:w="555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Rolling intake with monthly Committee meetings. Secretariat.</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Day 1</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AI model and live testing</w:t>
            </w:r>
          </w:p>
        </w:tc>
        <w:tc>
          <w:tcPr>
            <w:tcW w:type="dxa" w:w="555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Themed first cohort on AI assurance. Committee.</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Day 1 (cohort 1)</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Regulation prototyping</w:t>
            </w:r>
          </w:p>
        </w:tc>
        <w:tc>
          <w:tcPr>
            <w:tcW w:type="dxa" w:w="555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Pilot-to-rule notes first; formal track after review. Council.</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Pilot after month 9</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Investor access</w:t>
            </w:r>
          </w:p>
        </w:tc>
        <w:tc>
          <w:tcPr>
            <w:tcW w:type="dxa" w:w="555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Demo events; no grant track until demand is shown. Business development.</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After month 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Cross-sector sandbox</w:t>
            </w:r>
          </w:p>
        </w:tc>
        <w:tc>
          <w:tcPr>
            <w:tcW w:type="dxa" w:w="555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Single door with convening power over regulators. Council, regulators.</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Day 1 (by design)</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Multi-track</w:t>
            </w:r>
          </w:p>
        </w:tc>
        <w:tc>
          <w:tcPr>
            <w:tcW w:type="dxa" w:w="555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Two tracks first; add later as in Section 5.3. Council.</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Phased</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Cross-border corridors</w:t>
            </w:r>
          </w:p>
        </w:tc>
        <w:tc>
          <w:tcPr>
            <w:tcW w:type="dxa" w:w="555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MoUs only in year one; no tests. International affairs.</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Defer to year 2</w:t>
            </w:r>
          </w:p>
        </w:tc>
      </w:tr>
    </w:tbl>
    <w:p>
      <w:pPr>
        <w:spacing w:before="0" w:after="40" w:line="144" w:lineRule="auto"/>
      </w:pPr>
    </w:p>
    <w:p>
      <w:pPr>
        <w:pStyle w:val="Heading2"/>
      </w:pPr>
      <w:r>
        <w:rPr>
          <w:rFonts w:ascii="Calibri" w:hAnsi="Calibri" w:eastAsia="Calibri"/>
        </w:rPr>
        <w:t>4.2 Seven real-world cases show what regulatory experimentation can enable</w:t>
      </w:r>
    </w:p>
    <w:p>
      <w:pPr>
        <w:spacing w:before="0" w:after="80" w:line="259" w:lineRule="auto"/>
      </w:pPr>
      <w:r>
        <w:rPr>
          <w:rFonts w:ascii="Calibri" w:hAnsi="Calibri" w:eastAsia="Calibri"/>
          <w:sz w:val="18"/>
        </w:rPr>
        <w:t>Each case states whether the outcome is completed or ongoing. "How EUz could apply this" is analysis, not a verified result.</w:t>
      </w:r>
    </w:p>
    <w:tbl>
      <w:tblPr>
        <w:tblW w:w="9639" w:type="dxa"/>
        <w:jc w:val="center"/>
        <w:tblLayout w:type="fixed"/>
        <w:tblLook w:firstColumn="1" w:firstRow="1" w:lastColumn="0" w:lastRow="0" w:noHBand="0" w:noVBand="1" w:val="04A0"/>
      </w:tblPr>
      <w:tblGrid>
        <w:gridCol w:w="1701"/>
        <w:gridCol w:w="4876"/>
        <w:gridCol w:w="3061"/>
      </w:tblGrid>
      <w:tr>
        <w:trPr>
          <w:cantSplit/>
          <w:tblHeader/>
        </w:trPr>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Case</w:t>
            </w:r>
          </w:p>
        </w:tc>
        <w:tc>
          <w:tcPr>
            <w:tcW w:type="dxa" w:w="487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What happened (status)</w:t>
            </w:r>
          </w:p>
        </w:tc>
        <w:tc>
          <w:tcPr>
            <w:tcW w:type="dxa" w:w="30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How EUz could apply this</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 Sandbox to commercial launch</w:t>
            </w:r>
          </w:p>
        </w:tc>
        <w:tc>
          <w:tcPr>
            <w:tcW w:type="dxa" w:w="487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DFSA's first graduate, robo-adviser Sarwa, exited in Nov 2018 after nearly 12 months (completed, R) [S14]. MAS reports 15 of 19 accepted firms licensed (completed, R) [S7].</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Count a launch only when a permanent route is granted; track time from admission to permanent status.</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B. Reducing cost and uncertainty</w:t>
            </w:r>
          </w:p>
        </w:tc>
        <w:tc>
          <w:tcPr>
            <w:tcW w:type="dxa" w:w="487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 xml:space="preserve">Closest evidence: UK funding effect (I) [S2] and Ofgem's 22 of 30 cases resolved by feedback (completed, R) [S6]. </w:t>
            </w:r>
            <w:r>
              <w:rPr>
                <w:rFonts w:ascii="Calibri" w:hAnsi="Calibri" w:eastAsia="Calibri"/>
                <w:b/>
                <w:color w:val="39393B"/>
                <w:sz w:val="16"/>
              </w:rPr>
              <w:t>No audited compliance-cost saving was found in any programme reviewed (evidence gap).</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Record participant-estimated baseline cost and time at admission; label results as estimates.</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C. Digital sandbox with synthetic data</w:t>
            </w:r>
          </w:p>
        </w:tc>
        <w:tc>
          <w:tcPr>
            <w:tcW w:type="dxa" w:w="487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FCA Digital Sandbox: two pilots, 28 organisations, synthetic data most valued (completed pilots, R) [S4]; later programmes ongoing [S33].</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Provide synthetic data to AI and data pilots; test data quality with users.</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D. Sandbox creating regulation</w:t>
            </w:r>
          </w:p>
        </w:tc>
        <w:tc>
          <w:tcPr>
            <w:tcW w:type="dxa" w:w="487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Japan's Panasonic PLC project contributed to a revision of the Electrical Appliance and Material Safety Act (completed, S); the regime became permanent in 2021 (law) [S20].</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End every pilot with a Council note: rule change, guidance or none.</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E. Multi-regulator testing</w:t>
            </w:r>
          </w:p>
        </w:tc>
        <w:tc>
          <w:tcPr>
            <w:tcW w:type="dxa" w:w="487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European Blockchain Sandbox cohort 1 involved more than 50 regulators (completed, R) [S17]; TradeTech used 4 UAE regulators (report published, P) [S11].</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One test plan; one lead authority; defined consent steps.</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 Cross-border experiment</w:t>
            </w:r>
          </w:p>
        </w:tc>
        <w:tc>
          <w:tcPr>
            <w:tcW w:type="dxa" w:w="487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GFIN: 44 applications, 17 regulators, 8 shortlisted, none began testing (completed, R) [S15]. First MLETR-enabled Singapore-Abu Dhabi trade transaction piloted (S) [S34].</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Defer cross-border tests; start with one bilateral MoU and recognition of a partner regulator's test decision.</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 New technology economy</w:t>
            </w:r>
          </w:p>
        </w:tc>
        <w:tc>
          <w:tcPr>
            <w:tcW w:type="dxa" w:w="487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HKMA GenAI sandbox (ongoing, R) [S21]; Spain AI sandbox (concluded Jun 2026, R) [S19]; FCA AI Live Testing (ongoing; no outcomes yet) [S33]. Press in Aug 2026 reported interest in testing drones and robotaxis in EUz (S) [S27].</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AI assurance as cohort 1; treat autonomous vehicles as a watch item given physical-safety authorities.</w:t>
            </w:r>
          </w:p>
        </w:tc>
      </w:tr>
    </w:tbl>
    <w:p>
      <w:pPr>
        <w:spacing w:before="0" w:after="40" w:line="144" w:lineRule="auto"/>
      </w:pPr>
    </w:p>
    <w:p>
      <w:pPr>
        <w:pStyle w:val="Heading1"/>
        <w:pageBreakBefore/>
        <w:pBdr>
          <w:bottom w:val="single" w:sz="12" w:space="3" w:color="009162"/>
        </w:pBdr>
      </w:pPr>
      <w:r>
        <w:rPr>
          <w:rFonts w:ascii="Calibri" w:hAnsi="Calibri" w:eastAsia="Calibri"/>
        </w:rPr>
        <w:t>5. EUz Sandbox strategic design: a target operating model that is lean at launch and expands only on evidence</w:t>
      </w:r>
    </w:p>
    <w:tbl>
      <w:tblPr>
        <w:tblW w:type="auto" w:w="0"/>
        <w:jc w:val="center"/>
        <w:tblLayout w:type="fixed"/>
        <w:tblLook w:firstColumn="1" w:firstRow="1" w:lastColumn="0" w:lastRow="0" w:noHBand="0" w:noVBand="1" w:val="04A0"/>
      </w:tblPr>
      <w:tblGrid>
        <w:gridCol w:w="9639"/>
      </w:tblGrid>
      <w:tr>
        <w:trPr>
          <w:cantSplit/>
        </w:trP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Basis for this chapter</w:t>
            </w:r>
          </w:p>
          <w:p>
            <w:pPr>
              <w:spacing w:before="0" w:after="40" w:line="252" w:lineRule="auto"/>
            </w:pPr>
            <w:r>
              <w:rPr>
                <w:rFonts w:ascii="Calibri" w:hAnsi="Calibri" w:eastAsia="Calibri"/>
                <w:sz w:val="17"/>
              </w:rPr>
              <w:t xml:space="preserve">Design choices rest on the international evidence in Chapters 2-4. Statements about Enterprise Uzbekistan's powers come from press reports of the Constitutional Law and Decree UP-233 and from EUz's own working files; </w:t>
            </w:r>
            <w:r>
              <w:rPr>
                <w:rFonts w:ascii="Calibri" w:hAnsi="Calibri" w:eastAsia="Calibri"/>
                <w:b/>
                <w:sz w:val="17"/>
              </w:rPr>
              <w:t>the official texts were not read</w:t>
            </w:r>
            <w:r>
              <w:rPr>
                <w:rFonts w:ascii="Calibri" w:hAnsi="Calibri" w:eastAsia="Calibri"/>
                <w:sz w:val="17"/>
              </w:rPr>
              <w:t xml:space="preserve">. Reported features: a sandbox of up to 12 months unless the Board sets another period, temporary exemptions from some statutory requirements, simplified licensing and access to the Center's infrastructure; procedures to follow in secondary regulations [S27]. EUz's working files model admission as decided by the Governing Council, limited to the product, clients, territory, term and volume in the decision, with no automatic right to commercial launch, and financial testing following the competent regulator's decision [S31]. </w:t>
            </w:r>
            <w:r>
              <w:rPr>
                <w:rFonts w:ascii="Calibri" w:hAnsi="Calibri" w:eastAsia="Calibri"/>
                <w:b/>
                <w:sz w:val="17"/>
              </w:rPr>
              <w:t>This design does not assume that EUz can waive any external regulator's requirement.</w:t>
            </w:r>
          </w:p>
        </w:tc>
      </w:tr>
    </w:tbl>
    <w:p>
      <w:pPr>
        <w:spacing w:before="0" w:after="40" w:line="144" w:lineRule="auto"/>
      </w:pPr>
    </w:p>
    <w:p>
      <w:pPr>
        <w:pStyle w:val="Heading2"/>
      </w:pPr>
      <w:r>
        <w:rPr>
          <w:rFonts w:ascii="Calibri" w:hAnsi="Calibri" w:eastAsia="Calibri"/>
        </w:rPr>
        <w:t>5.1 Institutional architecture: ownership, decision rights and consent gates</w:t>
      </w:r>
    </w:p>
    <w:p>
      <w:pPr>
        <w:pStyle w:val="ExhibitTitle"/>
      </w:pPr>
      <w:r>
        <w:rPr>
          <w:rFonts w:ascii="Calibri" w:hAnsi="Calibri" w:eastAsia="Calibri"/>
        </w:rPr>
        <w:t>Exhibit 6. Proposed EUz Sandbox architecture</w:t>
      </w:r>
    </w:p>
    <w:p>
      <w:pPr>
        <w:keepNext/>
        <w:spacing w:before="0" w:after="40" w:line="259" w:lineRule="auto"/>
        <w:jc w:val="center"/>
      </w:pPr>
      <w:r>
        <w:drawing>
          <wp:inline xmlns:a="http://schemas.openxmlformats.org/drawingml/2006/main" xmlns:pic="http://schemas.openxmlformats.org/drawingml/2006/picture">
            <wp:extent cx="5616000" cy="4898753"/>
            <wp:docPr id="3" name="Picture 3"/>
            <wp:cNvGraphicFramePr>
              <a:graphicFrameLocks noChangeAspect="1"/>
            </wp:cNvGraphicFramePr>
            <a:graphic>
              <a:graphicData uri="http://schemas.openxmlformats.org/drawingml/2006/picture">
                <pic:pic>
                  <pic:nvPicPr>
                    <pic:cNvPr id="0" name="f2_architecture.png"/>
                    <pic:cNvPicPr/>
                  </pic:nvPicPr>
                  <pic:blipFill>
                    <a:blip r:embed="rId9"/>
                    <a:stretch>
                      <a:fillRect/>
                    </a:stretch>
                  </pic:blipFill>
                  <pic:spPr>
                    <a:xfrm>
                      <a:off x="0" y="0"/>
                      <a:ext cx="5616000" cy="4898753"/>
                    </a:xfrm>
                    <a:prstGeom prst="rect"/>
                  </pic:spPr>
                </pic:pic>
              </a:graphicData>
            </a:graphic>
          </wp:inline>
        </w:drawing>
      </w:r>
    </w:p>
    <w:p>
      <w:pPr>
        <w:spacing w:before="40" w:after="160" w:line="240" w:lineRule="auto"/>
      </w:pPr>
      <w:r>
        <w:rPr>
          <w:rFonts w:ascii="Calibri" w:hAnsi="Calibri" w:eastAsia="Calibri"/>
          <w:color w:val="6B6E70"/>
          <w:sz w:val="15"/>
        </w:rPr>
        <w:t>Analyst design (A). Registrar role and national-regulator competences are to be confirmed against the official texts. Voting composition of the Sandbox Committee is a recommendation.</w:t>
      </w:r>
    </w:p>
    <w:p>
      <w:pPr>
        <w:pStyle w:val="ExhibitTitle"/>
      </w:pPr>
      <w:r>
        <w:rPr>
          <w:rFonts w:ascii="Calibri" w:hAnsi="Calibri" w:eastAsia="Calibri"/>
        </w:rPr>
        <w:t>Exhibit 7. Governance and decision rights</w:t>
      </w:r>
    </w:p>
    <w:tbl>
      <w:tblPr>
        <w:tblW w:w="9639" w:type="dxa"/>
        <w:jc w:val="center"/>
        <w:tblLayout w:type="fixed"/>
        <w:tblLook w:firstColumn="1" w:firstRow="1" w:lastColumn="0" w:lastRow="0" w:noHBand="0" w:noVBand="1" w:val="04A0"/>
      </w:tblPr>
      <w:tblGrid>
        <w:gridCol w:w="1757"/>
        <w:gridCol w:w="3345"/>
        <w:gridCol w:w="2438"/>
        <w:gridCol w:w="2097"/>
      </w:tblGrid>
      <w:tr>
        <w:trPr>
          <w:cantSplit/>
          <w:tblHeader/>
        </w:trPr>
        <w:tc>
          <w:tcPr>
            <w:tcW w:type="dxa" w:w="175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Actor</w:t>
            </w:r>
          </w:p>
        </w:tc>
        <w:tc>
          <w:tcPr>
            <w:tcW w:type="dxa" w:w="334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Decides</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Recommends / advises</w:t>
            </w:r>
          </w:p>
        </w:tc>
        <w:tc>
          <w:tcPr>
            <w:tcW w:type="dxa" w:w="209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Cannot do</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Governing Council</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Rules; standard test conditions; which tracks open and when; classes of exemption within EUz's own powers; appeals; annual evaluation</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Rule changes to national bodies</w:t>
            </w:r>
          </w:p>
        </w:tc>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Waive a national regulator's requirement</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Sandbox Committee (delegated by Council, subject to counsel's confirmation)</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Admission; test conditions; extension within the Board-set term; suspension; exit route</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Standard-condition changes to Council</w:t>
            </w:r>
          </w:p>
        </w:tc>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Admit without a regulatory mapping memo and any needed consent</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Sandbox Secretariat</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Eligibility screening; Guidance Track outputs; monitoring actions within rules (e.g. information requests)</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Admission and exit recommendations; evaluation reports</w:t>
            </w:r>
          </w:p>
        </w:tc>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Grant exemptions or approve tests</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Independent experts (roster)</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Nothing; advisory assessments of AI safety, cyber, data protection, law, sector</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ratings and test-design advice</w:t>
            </w:r>
          </w:p>
        </w:tc>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Vote, except two seats on the Committee</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Registrar</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Records sandbox status, conditions and removals on the register (role to be confirmed [S31])</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Status checks</w:t>
            </w:r>
          </w:p>
        </w:tc>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Admit or exit participants</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National regulators</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Whether they consent where a requirement is theirs to waive</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conditions in their remit</w:t>
            </w:r>
          </w:p>
        </w:tc>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Be bound by EUz decisions without their consent</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Participant</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Whether to accept conditions</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design</w:t>
            </w:r>
          </w:p>
        </w:tc>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Operate outside the approved scope</w:t>
            </w:r>
          </w:p>
        </w:tc>
      </w:tr>
    </w:tbl>
    <w:p>
      <w:pPr>
        <w:spacing w:before="0" w:after="40" w:line="144" w:lineRule="auto"/>
      </w:pPr>
    </w:p>
    <w:p>
      <w:pPr>
        <w:pStyle w:val="Heading3"/>
      </w:pPr>
      <w:r>
        <w:rPr>
          <w:rFonts w:ascii="Calibri" w:hAnsi="Calibri" w:eastAsia="Calibri"/>
        </w:rPr>
        <w:t>Ownership, internal functions and outsourcing</w:t>
      </w:r>
    </w:p>
    <w:p>
      <w:pPr>
        <w:numPr>
          <w:ilvl w:val="0"/>
          <w:numId w:val="90"/>
        </w:numPr>
        <w:spacing w:before="0" w:after="40" w:line="259" w:lineRule="auto"/>
      </w:pPr>
      <w:r>
        <w:rPr>
          <w:rFonts w:ascii="Calibri" w:hAnsi="Calibri" w:eastAsia="Calibri"/>
          <w:b/>
          <w:sz w:val="18"/>
        </w:rPr>
        <w:t>Owner.</w:t>
      </w:r>
      <w:r>
        <w:rPr>
          <w:rFonts w:ascii="Calibri" w:hAnsi="Calibri" w:eastAsia="Calibri"/>
          <w:sz w:val="18"/>
        </w:rPr>
        <w:t xml:space="preserve"> The EUz Administration owns the Sandbox through a dedicated </w:t>
      </w:r>
      <w:r>
        <w:rPr>
          <w:rFonts w:ascii="Calibri" w:hAnsi="Calibri" w:eastAsia="Calibri"/>
          <w:b/>
          <w:sz w:val="18"/>
        </w:rPr>
        <w:t>Sandbox Secretariat</w:t>
      </w:r>
      <w:r>
        <w:rPr>
          <w:rFonts w:ascii="Calibri" w:hAnsi="Calibri" w:eastAsia="Calibri"/>
          <w:sz w:val="18"/>
        </w:rPr>
        <w:t xml:space="preserve"> with a named head. Planning assumption: a core team of about six (head, two case managers, regulatory counsel, risk and cyber lead, platform and data lead), scaled only after the first cohort. This is a management assumption, not a benchmark.</w:t>
      </w:r>
    </w:p>
    <w:p>
      <w:pPr>
        <w:numPr>
          <w:ilvl w:val="0"/>
          <w:numId w:val="90"/>
        </w:numPr>
        <w:spacing w:before="0" w:after="40" w:line="259" w:lineRule="auto"/>
      </w:pPr>
      <w:r>
        <w:rPr>
          <w:rFonts w:ascii="Calibri" w:hAnsi="Calibri" w:eastAsia="Calibri"/>
          <w:b/>
          <w:sz w:val="18"/>
        </w:rPr>
        <w:t>Keep internal:</w:t>
      </w:r>
      <w:r>
        <w:rPr>
          <w:rFonts w:ascii="Calibri" w:hAnsi="Calibri" w:eastAsia="Calibri"/>
          <w:sz w:val="18"/>
        </w:rPr>
        <w:t xml:space="preserve"> eligibility decisions, case management, regulatory mapping, risk monitoring, publication, regulator relations.</w:t>
      </w:r>
    </w:p>
    <w:p>
      <w:pPr>
        <w:numPr>
          <w:ilvl w:val="0"/>
          <w:numId w:val="90"/>
        </w:numPr>
        <w:spacing w:before="0" w:after="40" w:line="259" w:lineRule="auto"/>
      </w:pPr>
      <w:r>
        <w:rPr>
          <w:rFonts w:ascii="Calibri" w:hAnsi="Calibri" w:eastAsia="Calibri"/>
          <w:b/>
          <w:sz w:val="18"/>
        </w:rPr>
        <w:t>May be outsourced under EUz control:</w:t>
      </w:r>
      <w:r>
        <w:rPr>
          <w:rFonts w:ascii="Calibri" w:hAnsi="Calibri" w:eastAsia="Calibri"/>
          <w:sz w:val="18"/>
        </w:rPr>
        <w:t xml:space="preserve"> operation of the test environment, specialist technical assessments, and independent evaluation of the first cohort.</w:t>
      </w:r>
    </w:p>
    <w:p>
      <w:pPr>
        <w:numPr>
          <w:ilvl w:val="0"/>
          <w:numId w:val="90"/>
        </w:numPr>
        <w:spacing w:before="0" w:after="40" w:line="259" w:lineRule="auto"/>
      </w:pPr>
      <w:r>
        <w:rPr>
          <w:rFonts w:ascii="Calibri" w:hAnsi="Calibri" w:eastAsia="Calibri"/>
          <w:b/>
          <w:sz w:val="18"/>
        </w:rPr>
        <w:t>Independent experts</w:t>
      </w:r>
      <w:r>
        <w:rPr>
          <w:rFonts w:ascii="Calibri" w:hAnsi="Calibri" w:eastAsia="Calibri"/>
          <w:sz w:val="18"/>
        </w:rPr>
        <w:t xml:space="preserve"> join at test design for AI, cyber and data-protection risk, and as two voting Committee members. Conflicts are declared and recorded.</w:t>
      </w:r>
    </w:p>
    <w:p>
      <w:pPr>
        <w:numPr>
          <w:ilvl w:val="0"/>
          <w:numId w:val="90"/>
        </w:numPr>
        <w:spacing w:before="0" w:after="40" w:line="259" w:lineRule="auto"/>
      </w:pPr>
      <w:r>
        <w:rPr>
          <w:rFonts w:ascii="Calibri" w:hAnsi="Calibri" w:eastAsia="Calibri"/>
          <w:b/>
          <w:sz w:val="18"/>
        </w:rPr>
        <w:t>National regulators must be involved</w:t>
      </w:r>
      <w:r>
        <w:rPr>
          <w:rFonts w:ascii="Calibri" w:hAnsi="Calibri" w:eastAsia="Calibri"/>
          <w:sz w:val="18"/>
        </w:rPr>
        <w:t xml:space="preserve"> whenever a test touches a requirement they administer (for example financial services, securities, personal data, trade or transport). Competences must be confirmed case by case.</w:t>
      </w:r>
    </w:p>
    <w:p>
      <w:pPr>
        <w:numPr>
          <w:ilvl w:val="0"/>
          <w:numId w:val="90"/>
        </w:numPr>
        <w:spacing w:before="0" w:after="40" w:line="259" w:lineRule="auto"/>
      </w:pPr>
      <w:r>
        <w:rPr>
          <w:rFonts w:ascii="Calibri" w:hAnsi="Calibri" w:eastAsia="Calibri"/>
          <w:b/>
          <w:sz w:val="18"/>
        </w:rPr>
        <w:t>Risk, cyber and legal monitoring.</w:t>
      </w:r>
      <w:r>
        <w:rPr>
          <w:rFonts w:ascii="Calibri" w:hAnsi="Calibri" w:eastAsia="Calibri"/>
          <w:sz w:val="18"/>
        </w:rPr>
        <w:t xml:space="preserve"> The Secretariat's risk lead reviews monthly participant data and incident reports; any material incident or stop-loss trigger goes to the Committee within a planning-assumption two working days.</w:t>
      </w:r>
    </w:p>
    <w:p>
      <w:pPr>
        <w:numPr>
          <w:ilvl w:val="0"/>
          <w:numId w:val="90"/>
        </w:numPr>
        <w:spacing w:before="0" w:after="40" w:line="259" w:lineRule="auto"/>
      </w:pPr>
      <w:r>
        <w:rPr>
          <w:rFonts w:ascii="Calibri" w:hAnsi="Calibri" w:eastAsia="Calibri"/>
          <w:b/>
          <w:sz w:val="18"/>
        </w:rPr>
        <w:t>Existing national sandboxes.</w:t>
      </w:r>
      <w:r>
        <w:rPr>
          <w:rFonts w:ascii="Calibri" w:hAnsi="Calibri" w:eastAsia="Calibri"/>
          <w:sz w:val="18"/>
        </w:rPr>
        <w:t xml:space="preserve"> Uzbekistan already reports a Central Bank financial sandbox (Regulation 3391, Oct 2022), a capital-markets sandbox (PQ-255, 1 Oct 2025 to 1 Oct 2026) and a stablecoin pilot regime (PP-359) [S29][S30]. Press also reports a Cabinet of Ministers regime for a regulatory sandbox for businesses (Nov 2023) and a Law on Legal Experiments (27 Mar 2026) [S37][S38]; none of these texts was read. EUz should agree referral rules so a firm is not admitted twice or pushed between regimes.</w:t>
      </w:r>
    </w:p>
    <w:p>
      <w:pPr>
        <w:pStyle w:val="Heading2"/>
      </w:pPr>
      <w:r>
        <w:rPr>
          <w:rFonts w:ascii="Calibri" w:hAnsi="Calibri" w:eastAsia="Calibri"/>
        </w:rPr>
        <w:t>5.2 Participant journey: nine stages with an owner, a decision and a clock</w:t>
      </w:r>
    </w:p>
    <w:p>
      <w:pPr>
        <w:pStyle w:val="ExhibitTitle"/>
      </w:pPr>
      <w:r>
        <w:rPr>
          <w:rFonts w:ascii="Calibri" w:hAnsi="Calibri" w:eastAsia="Calibri"/>
        </w:rPr>
        <w:t>Exhibit 8. End-to-end participant journey</w:t>
      </w:r>
    </w:p>
    <w:p>
      <w:pPr>
        <w:keepNext/>
        <w:spacing w:before="0" w:after="40" w:line="259" w:lineRule="auto"/>
        <w:jc w:val="center"/>
      </w:pPr>
      <w:r>
        <w:drawing>
          <wp:inline xmlns:a="http://schemas.openxmlformats.org/drawingml/2006/main" xmlns:pic="http://schemas.openxmlformats.org/drawingml/2006/picture">
            <wp:extent cx="5760000" cy="4889244"/>
            <wp:docPr id="4" name="Picture 4"/>
            <wp:cNvGraphicFramePr>
              <a:graphicFrameLocks noChangeAspect="1"/>
            </wp:cNvGraphicFramePr>
            <a:graphic>
              <a:graphicData uri="http://schemas.openxmlformats.org/drawingml/2006/picture">
                <pic:pic>
                  <pic:nvPicPr>
                    <pic:cNvPr id="0" name="f3_journey.png"/>
                    <pic:cNvPicPr/>
                  </pic:nvPicPr>
                  <pic:blipFill>
                    <a:blip r:embed="rId11"/>
                    <a:stretch>
                      <a:fillRect/>
                    </a:stretch>
                  </pic:blipFill>
                  <pic:spPr>
                    <a:xfrm>
                      <a:off x="0" y="0"/>
                      <a:ext cx="5760000" cy="4889244"/>
                    </a:xfrm>
                    <a:prstGeom prst="rect"/>
                  </pic:spPr>
                </pic:pic>
              </a:graphicData>
            </a:graphic>
          </wp:inline>
        </w:drawing>
      </w:r>
    </w:p>
    <w:p>
      <w:pPr>
        <w:spacing w:before="40" w:after="160" w:line="240" w:lineRule="auto"/>
      </w:pPr>
      <w:r>
        <w:rPr>
          <w:rFonts w:ascii="Calibri" w:hAnsi="Calibri" w:eastAsia="Calibri"/>
          <w:color w:val="6B6E70"/>
          <w:sz w:val="15"/>
        </w:rPr>
        <w:t>WD = working days. Service levels (SLAs) are management planning assumptions, not verified benchmarks. *The regulator's consent period is to be agreed by MoU. Express track: decision within 21 days of a complete application, matching the stated target of MAS.</w:t>
      </w:r>
    </w:p>
    <w:p>
      <w:pPr>
        <w:pStyle w:val="ExhibitTitle"/>
      </w:pPr>
      <w:r>
        <w:rPr>
          <w:rFonts w:ascii="Calibri" w:hAnsi="Calibri" w:eastAsia="Calibri"/>
        </w:rPr>
        <w:t>Exhibit 9. Stage outputs and digital platform functionality</w:t>
      </w:r>
    </w:p>
    <w:tbl>
      <w:tblPr>
        <w:tblW w:w="9639" w:type="dxa"/>
        <w:jc w:val="center"/>
        <w:tblLayout w:type="fixed"/>
        <w:tblLook w:firstColumn="1" w:firstRow="1" w:lastColumn="0" w:lastRow="0" w:noHBand="0" w:noVBand="1" w:val="04A0"/>
      </w:tblPr>
      <w:tblGrid>
        <w:gridCol w:w="1417"/>
        <w:gridCol w:w="2835"/>
        <w:gridCol w:w="2721"/>
        <w:gridCol w:w="2664"/>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Stage</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Required inputs</w:t>
            </w:r>
          </w:p>
        </w:tc>
        <w:tc>
          <w:tcPr>
            <w:tcW w:type="dxa" w:w="272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Output</w:t>
            </w:r>
          </w:p>
        </w:tc>
        <w:tc>
          <w:tcPr>
            <w:tcW w:type="dxa" w:w="266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Platform functionality</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Application</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Company profile, technology description, problem statement, readiness checklist</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Complete file, case number</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Online form; document upload; auto-completeness check</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Screening</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File; eligibility criteria (genuine novelty, user benefit, need to test, readiness)</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Admit to assessment, or redirect to Guidance Track</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Scoring-free checklist; reasons recorded</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Regulatory assessment</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Product description; rule library</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Regulatory mapping memo: applicable rules, waivable by whom, consents needed</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Rule library; consent tracker per authority</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Test design</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Mapping memo; participant plan</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plan: scope, caps, safeguards, KPIs, exit evidence</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Test-plan template; versioning</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5 Approval</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plan; risk report; consent letters</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Committee decision with published reasons</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Decision log; e-signature</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6 Testing</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Approved conditions</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Live or synthetic-data test within caps</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Secure environment; API gateway; logging</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7 Monitoring</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Monthly data; incident reports</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Monitoring report; interventions</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Dashboard; incident form; alerts on cap breaches</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8 Evaluation</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data; KPIs; user outcomes</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Evaluation report; regulatory findings</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 template; outcome capture</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9 Exit</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Evaluation; licence or permit status</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Exit decision; register update; insight input</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Register interface; follow-up surveys at 12 and 24 months</w:t>
            </w:r>
          </w:p>
        </w:tc>
      </w:tr>
    </w:tbl>
    <w:p>
      <w:pPr>
        <w:spacing w:before="0" w:after="40" w:line="144" w:lineRule="auto"/>
      </w:pPr>
    </w:p>
    <w:p>
      <w:pPr>
        <w:spacing w:before="0" w:after="80" w:line="259" w:lineRule="auto"/>
      </w:pPr>
      <w:r>
        <w:rPr>
          <w:rFonts w:ascii="Calibri" w:hAnsi="Calibri" w:eastAsia="Calibri"/>
          <w:sz w:val="18"/>
        </w:rPr>
        <w:t>Total planning-assumption time from complete application to Committee decision for a Full Sandbox case is about 50 working days across stages 2-5, in the same range as MAS's reported median of about 3 months including applicant response time [S7]. EUz should publish the median it actually achieves.</w:t>
      </w:r>
    </w:p>
    <w:p>
      <w:pPr>
        <w:pStyle w:val="Heading2"/>
      </w:pPr>
      <w:r>
        <w:rPr>
          <w:rFonts w:ascii="Calibri" w:hAnsi="Calibri" w:eastAsia="Calibri"/>
        </w:rPr>
        <w:t>5.3 Operating tracks: launch two, pilot two after the first cohort, defer one</w:t>
      </w:r>
    </w:p>
    <w:p>
      <w:pPr>
        <w:pStyle w:val="ExhibitTitle"/>
      </w:pPr>
      <w:r>
        <w:rPr>
          <w:rFonts w:ascii="Calibri" w:hAnsi="Calibri" w:eastAsia="Calibri"/>
        </w:rPr>
        <w:t>Exhibit 10. Sandbox track comparison and sequencing</w:t>
      </w:r>
    </w:p>
    <w:tbl>
      <w:tblPr>
        <w:tblW w:w="9639" w:type="dxa"/>
        <w:jc w:val="center"/>
        <w:tblLayout w:type="fixed"/>
        <w:tblLook w:firstColumn="1" w:firstRow="1" w:lastColumn="0" w:lastRow="0" w:noHBand="0" w:noVBand="1" w:val="04A0"/>
      </w:tblPr>
      <w:tblGrid>
        <w:gridCol w:w="1360"/>
        <w:gridCol w:w="1814"/>
        <w:gridCol w:w="1871"/>
        <w:gridCol w:w="1814"/>
        <w:gridCol w:w="963"/>
        <w:gridCol w:w="1814"/>
      </w:tblGrid>
      <w:tr>
        <w:trPr>
          <w:cantSplit/>
          <w:tblHeader/>
        </w:trPr>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Track</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it is</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International evidence</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Legal feasibility (to verify)</w:t>
            </w:r>
          </w:p>
        </w:tc>
        <w:tc>
          <w:tcPr>
            <w:tcW w:type="dxa" w:w="96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Capacity need</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Recommendation</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Regulatory Guidance</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Written regulatory position; no exemption</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ICO exit reports [S5]; Ofgem 22 of 30 feedback-only [S6]</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 needs no exemption power; confirm services mandate</w:t>
            </w:r>
          </w:p>
        </w:tc>
        <w:tc>
          <w:tcPr>
            <w:tcW w:type="dxa" w:w="96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Launch on day 1</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Full Regulatory Sandbox</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Capped live test with conditions; consent where needed</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15 of 19 licensed [S7]; UK funding effect [S2]</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Reported in law; scope of exemptions to verify [S27]</w:t>
            </w:r>
          </w:p>
        </w:tc>
        <w:tc>
          <w:tcPr>
            <w:tcW w:type="dxa" w:w="96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Launch on day 1</w:t>
            </w:r>
            <w:r>
              <w:rPr>
                <w:rFonts w:ascii="Calibri" w:hAnsi="Calibri" w:eastAsia="Calibri"/>
                <w:color w:val="39393B"/>
                <w:sz w:val="15"/>
              </w:rPr>
              <w:t>, capped at three to four projects</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Sandbox Express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Predefined low-risk categories with standard conditions</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target 21 days, attainment unpublished [S8]</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Needs Council-approved standard conditions</w:t>
            </w:r>
          </w:p>
        </w:tc>
        <w:tc>
          <w:tcPr>
            <w:tcW w:type="dxa" w:w="96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Pilot after month 6</w:t>
            </w:r>
            <w:r>
              <w:rPr>
                <w:rFonts w:ascii="Calibri" w:hAnsi="Calibri" w:eastAsia="Calibri"/>
                <w:color w:val="39393B"/>
                <w:sz w:val="15"/>
              </w:rPr>
              <w:t>, two categories</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Regulation Prototyping</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draft rules with participants before adoption</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Japan reform cases (S) [S20]</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Needs Council rule-making route; limited to EUz rules</w:t>
            </w:r>
          </w:p>
        </w:tc>
        <w:tc>
          <w:tcPr>
            <w:tcW w:type="dxa" w:w="96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Medium-high</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Pilot after month 9</w:t>
            </w:r>
            <w:r>
              <w:rPr>
                <w:rFonts w:ascii="Calibri" w:hAnsi="Calibri" w:eastAsia="Calibri"/>
                <w:color w:val="39393B"/>
                <w:sz w:val="15"/>
              </w:rPr>
              <w:t>, attached to completed tests</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5 Cross-border Sandbox</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One test across jurisdictions</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GFIN: 0 of 8 began testing [S15]</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Needs MoUs and partner regulators' consent</w:t>
            </w:r>
          </w:p>
        </w:tc>
        <w:tc>
          <w:tcPr>
            <w:tcW w:type="dxa" w:w="96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Defer to year 2</w:t>
            </w:r>
            <w:r>
              <w:rPr>
                <w:rFonts w:ascii="Calibri" w:hAnsi="Calibri" w:eastAsia="Calibri"/>
                <w:color w:val="39393B"/>
                <w:sz w:val="15"/>
              </w:rPr>
              <w:t>; MoUs only in year 1</w:t>
            </w:r>
          </w:p>
        </w:tc>
      </w:tr>
    </w:tbl>
    <w:p>
      <w:pPr>
        <w:spacing w:before="0" w:after="40" w:line="144" w:lineRule="auto"/>
      </w:pPr>
    </w:p>
    <w:p>
      <w:pPr>
        <w:spacing w:before="0" w:after="80" w:line="259" w:lineRule="auto"/>
      </w:pPr>
      <w:r>
        <w:rPr>
          <w:rFonts w:ascii="Calibri" w:hAnsi="Calibri" w:eastAsia="Calibri"/>
          <w:b/>
          <w:sz w:val="18"/>
        </w:rPr>
        <w:t>Reasoning.</w:t>
      </w:r>
      <w:r>
        <w:rPr>
          <w:rFonts w:ascii="Calibri" w:hAnsi="Calibri" w:eastAsia="Calibri"/>
          <w:sz w:val="18"/>
        </w:rPr>
        <w:t xml:space="preserve"> Evidence favours leading with the cheapest, best-evidenced tracks. Guidance outputs exist without legal exemptions, and the Full Sandbox is the track the reported EUz provisions most directly describe. Express needs data on what is genuinely low-risk, which only a first cohort supplies; MAS's own experience shows a faster or richer track can sit unused. Prototyping needs completed tests to prototype from. Cross-border tests failed in the only documented multi-regulator pilot and depend on counterparts EUz does not control.</w:t>
      </w:r>
    </w:p>
    <w:p>
      <w:pPr>
        <w:pStyle w:val="Heading2"/>
      </w:pPr>
      <w:r>
        <w:rPr>
          <w:rFonts w:ascii="Calibri" w:hAnsi="Calibri" w:eastAsia="Calibri"/>
        </w:rPr>
        <w:t>5.4 Services provided to companies: a clear answer to "why EUz"</w:t>
      </w:r>
    </w:p>
    <w:p>
      <w:pPr>
        <w:spacing w:before="0" w:after="80" w:line="259" w:lineRule="auto"/>
      </w:pPr>
      <w:r>
        <w:rPr>
          <w:rFonts w:ascii="Calibri" w:hAnsi="Calibri" w:eastAsia="Calibri"/>
          <w:sz w:val="18"/>
        </w:rPr>
        <w:t>Singapore, the UK and the UAE already offer sandboxes with documented track records. EUz should not claim to outperform them on the evidence available. The credible proposition is narrower and has to be tested with prospective participants (Action 10, Section 8.1).</w:t>
      </w:r>
    </w:p>
    <w:p>
      <w:pPr>
        <w:numPr>
          <w:ilvl w:val="0"/>
          <w:numId w:val="90"/>
        </w:numPr>
        <w:spacing w:before="0" w:after="40" w:line="259" w:lineRule="auto"/>
      </w:pPr>
      <w:r>
        <w:rPr>
          <w:rFonts w:ascii="Calibri" w:hAnsi="Calibri" w:eastAsia="Calibri"/>
          <w:b/>
          <w:sz w:val="18"/>
        </w:rPr>
        <w:t>Emerging-technology scope in one place.</w:t>
      </w:r>
      <w:r>
        <w:rPr>
          <w:rFonts w:ascii="Calibri" w:hAnsi="Calibri" w:eastAsia="Calibri"/>
          <w:sz w:val="18"/>
        </w:rPr>
        <w:t xml:space="preserve"> The best-evidenced sandboxes are mainly financial (MAS, DFSA, ADGM, SAMA). EUz can serve AI, data, trade technology and identity under one door, using the reported cross-sector mandate [S27] (A).</w:t>
      </w:r>
    </w:p>
    <w:p>
      <w:pPr>
        <w:numPr>
          <w:ilvl w:val="0"/>
          <w:numId w:val="90"/>
        </w:numPr>
        <w:spacing w:before="0" w:after="40" w:line="259" w:lineRule="auto"/>
      </w:pPr>
      <w:r>
        <w:rPr>
          <w:rFonts w:ascii="Calibri" w:hAnsi="Calibri" w:eastAsia="Calibri"/>
          <w:b/>
          <w:sz w:val="18"/>
        </w:rPr>
        <w:t>One jurisdiction for registration, testing and dispute resolution.</w:t>
      </w:r>
      <w:r>
        <w:rPr>
          <w:rFonts w:ascii="Calibri" w:hAnsi="Calibri" w:eastAsia="Calibri"/>
          <w:sz w:val="18"/>
        </w:rPr>
        <w:t xml:space="preserve"> Reported features include English-law principles where necessary, English as working language and a commercial court in Tashkent [S27]. Whether this is attractive is a hypothesis to test (A).</w:t>
      </w:r>
    </w:p>
    <w:p>
      <w:pPr>
        <w:numPr>
          <w:ilvl w:val="0"/>
          <w:numId w:val="90"/>
        </w:numPr>
        <w:spacing w:before="0" w:after="40" w:line="259" w:lineRule="auto"/>
      </w:pPr>
      <w:r>
        <w:rPr>
          <w:rFonts w:ascii="Calibri" w:hAnsi="Calibri" w:eastAsia="Calibri"/>
          <w:b/>
          <w:sz w:val="18"/>
        </w:rPr>
        <w:t>A published decision clock and a named case manager.</w:t>
      </w:r>
      <w:r>
        <w:rPr>
          <w:rFonts w:ascii="Calibri" w:hAnsi="Calibri" w:eastAsia="Calibri"/>
          <w:sz w:val="18"/>
        </w:rPr>
        <w:t xml:space="preserve"> MAS publishes a median but no Express attainment; EUz can publish both.</w:t>
      </w:r>
    </w:p>
    <w:p>
      <w:pPr>
        <w:numPr>
          <w:ilvl w:val="0"/>
          <w:numId w:val="90"/>
        </w:numPr>
        <w:spacing w:before="0" w:after="40" w:line="259" w:lineRule="auto"/>
      </w:pPr>
      <w:r>
        <w:rPr>
          <w:rFonts w:ascii="Calibri" w:hAnsi="Calibri" w:eastAsia="Calibri"/>
          <w:b/>
          <w:sz w:val="18"/>
        </w:rPr>
        <w:t>Reported tax and infrastructure benefits</w:t>
      </w:r>
      <w:r>
        <w:rPr>
          <w:rFonts w:ascii="Calibri" w:hAnsi="Calibri" w:eastAsia="Calibri"/>
          <w:sz w:val="18"/>
        </w:rPr>
        <w:t xml:space="preserve"> [S27], subject to verification and secondary rules.</w:t>
      </w:r>
    </w:p>
    <w:p>
      <w:pPr>
        <w:pStyle w:val="ExhibitTitle"/>
      </w:pPr>
      <w:r>
        <w:rPr>
          <w:rFonts w:ascii="Calibri" w:hAnsi="Calibri" w:eastAsia="Calibri"/>
        </w:rPr>
        <w:t>Exhibit 11. Services and when they should be available</w:t>
      </w:r>
    </w:p>
    <w:tbl>
      <w:tblPr>
        <w:tblW w:w="9639" w:type="dxa"/>
        <w:jc w:val="center"/>
        <w:tblLayout w:type="fixed"/>
        <w:tblLook w:firstColumn="1" w:firstRow="1" w:lastColumn="0" w:lastRow="0" w:noHBand="0" w:noVBand="1" w:val="04A0"/>
      </w:tblPr>
      <w:tblGrid>
        <w:gridCol w:w="2778"/>
        <w:gridCol w:w="2381"/>
        <w:gridCol w:w="2211"/>
        <w:gridCol w:w="2268"/>
      </w:tblGrid>
      <w:tr>
        <w:trPr>
          <w:cantSplit/>
          <w:tblHeader/>
        </w:trPr>
        <w:tc>
          <w:tcPr>
            <w:tcW w:type="dxa" w:w="277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Service</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Day 1 (essential)</w:t>
            </w:r>
          </w:p>
        </w:tc>
        <w:tc>
          <w:tcPr>
            <w:tcW w:type="dxa" w:w="221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Later (differentiator)</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 or reason</w:t>
            </w:r>
          </w:p>
        </w:tc>
      </w:tr>
      <w:tr>
        <w:trPr>
          <w:cantSplit/>
        </w:trPr>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Clear regulatory guidance, published positions</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ICO, Ofgem [S5][S6]</w:t>
            </w:r>
          </w:p>
        </w:tc>
      </w:tr>
      <w:tr>
        <w:trPr>
          <w:cantSplit/>
        </w:trPr>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Fast eligibility assessment</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Yes: 10 WD screening (planning assumption)</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Express decisions in 21 days</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target [S8]</w:t>
            </w:r>
          </w:p>
        </w:tc>
      </w:tr>
      <w:tr>
        <w:trPr>
          <w:cantSplit/>
        </w:trPr>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Dedicated case manager</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Single point of contact reduces hand-offs (A)</w:t>
            </w:r>
          </w:p>
        </w:tc>
      </w:tr>
      <w:tr>
        <w:trPr>
          <w:cantSplit/>
        </w:trPr>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Defined testing conditions and safeguards</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tools; ICO limits [S1]</w:t>
            </w:r>
          </w:p>
        </w:tc>
      </w:tr>
      <w:tr>
        <w:trPr>
          <w:cantSplit/>
        </w:trPr>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Controlled regulatory flexibility</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 for EUz-controlled requirements only</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Extended through regulator consent protocols</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 powers to verify [S27]</w:t>
            </w:r>
          </w:p>
        </w:tc>
      </w:tr>
      <w:tr>
        <w:trPr>
          <w:cantSplit/>
        </w:trPr>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Testing infrastructure, APIs, synthetic data</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Minimum viable environment</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Richer datasets, compute</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Digital Sandbox [S4]</w:t>
            </w:r>
          </w:p>
        </w:tc>
      </w:tr>
      <w:tr>
        <w:trPr>
          <w:cantSplit/>
        </w:trPr>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Cybersecurity and privacy advisory</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 via expert roster</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Standing lab</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Risk in live tests (A)</w:t>
            </w:r>
          </w:p>
        </w:tc>
      </w:tr>
      <w:tr>
        <w:trPr>
          <w:cantSplit/>
        </w:trPr>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International expert engagement</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Peer review of rules</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Standing advisory panel</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WEF and others (Chapter 6)</w:t>
            </w:r>
          </w:p>
        </w:tc>
      </w:tr>
      <w:tr>
        <w:trPr>
          <w:cantSplit/>
        </w:trPr>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Market-entry support and commercialisation pathway</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Introductions to licensing bodies</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Demo events, investor access</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UK funding effect [S2]; Plus unused [S7]</w:t>
            </w:r>
          </w:p>
        </w:tc>
      </w:tr>
    </w:tbl>
    <w:p>
      <w:pPr>
        <w:spacing w:before="0" w:after="40" w:line="144" w:lineRule="auto"/>
      </w:pPr>
    </w:p>
    <w:p>
      <w:pPr>
        <w:pStyle w:val="Heading2"/>
      </w:pPr>
      <w:r>
        <w:rPr>
          <w:rFonts w:ascii="Calibri" w:hAnsi="Calibri" w:eastAsia="Calibri"/>
        </w:rPr>
        <w:t>5.5 Exit and graduation: successful testing does not automatically grant a licence</w:t>
      </w:r>
    </w:p>
    <w:p>
      <w:pPr>
        <w:pStyle w:val="ExhibitTitle"/>
      </w:pPr>
      <w:r>
        <w:rPr>
          <w:rFonts w:ascii="Calibri" w:hAnsi="Calibri" w:eastAsia="Calibri"/>
        </w:rPr>
        <w:t>Exhibit 12. Exit routes</w:t>
      </w:r>
    </w:p>
    <w:tbl>
      <w:tblPr>
        <w:tblW w:w="9639" w:type="dxa"/>
        <w:jc w:val="center"/>
        <w:tblLayout w:type="fixed"/>
        <w:tblLook w:firstColumn="1" w:firstRow="1" w:lastColumn="0" w:lastRow="0" w:noHBand="0" w:noVBand="1" w:val="04A0"/>
      </w:tblPr>
      <w:tblGrid>
        <w:gridCol w:w="1927"/>
        <w:gridCol w:w="2608"/>
        <w:gridCol w:w="2381"/>
        <w:gridCol w:w="2721"/>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Route</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When it applies</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Decided by</w:t>
            </w:r>
          </w:p>
        </w:tc>
        <w:tc>
          <w:tcPr>
            <w:tcW w:type="dxa" w:w="272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Legal note (to verify)</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Continue under existing rules</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showed the activity is lawful without a licence</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Committee, with regulator confirmation where relevant</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Written confirmation; no EUz waiver of external rules</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Apply for permanent licence or permit</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Activity needs authorisation from EUz or a national regulator</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The licensing authority, not the Committee</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evidence supports but does not bind the authority</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Transition to revised regime</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led to a new rule or standard</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 (EUz rules) or national bodies</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Requires rule-making; may need amendments</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Extension or further testing</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Material evidence gap; legally permissible</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within the Board-set term</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Reported term of 12 months unless Board decides otherwise [S27]</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Commercial expansion</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Beyond the approved clients, territory or volume</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Committee on new application</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Admission gives no automatic launch right [S31]</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Termination or corrective action</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Breach, harm, stop-loss trigger, no longer eligible</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enforcement under the Center's regime</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Enforcement powers reportedly include warning, order, removal of benefits, sanctions, suspension [S31]</w:t>
            </w:r>
          </w:p>
        </w:tc>
      </w:tr>
    </w:tbl>
    <w:p>
      <w:pPr>
        <w:spacing w:before="0" w:after="40" w:line="144" w:lineRule="auto"/>
      </w:pPr>
    </w:p>
    <w:p>
      <w:pPr>
        <w:pStyle w:val="Heading2"/>
      </w:pPr>
      <w:r>
        <w:rPr>
          <w:rFonts w:ascii="Calibri" w:hAnsi="Calibri" w:eastAsia="Calibri"/>
        </w:rPr>
        <w:t>5.6 Legal fit-gap analysis: a checklist for counsel, not a legal opinion</w:t>
      </w:r>
    </w:p>
    <w:p>
      <w:pPr>
        <w:spacing w:before="0" w:after="80" w:line="259" w:lineRule="auto"/>
      </w:pPr>
      <w:r>
        <w:rPr>
          <w:rFonts w:ascii="Calibri" w:hAnsi="Calibri" w:eastAsia="Calibri"/>
          <w:sz w:val="18"/>
        </w:rPr>
        <w:t xml:space="preserve">Categories: </w:t>
      </w:r>
      <w:r>
        <w:rPr>
          <w:rFonts w:ascii="Calibri" w:hAnsi="Calibri" w:eastAsia="Calibri"/>
          <w:b/>
          <w:sz w:val="18"/>
        </w:rPr>
        <w:t>V</w:t>
      </w:r>
      <w:r>
        <w:rPr>
          <w:rFonts w:ascii="Calibri" w:hAnsi="Calibri" w:eastAsia="Calibri"/>
          <w:sz w:val="18"/>
        </w:rPr>
        <w:t xml:space="preserve"> verify in official text; </w:t>
      </w:r>
      <w:r>
        <w:rPr>
          <w:rFonts w:ascii="Calibri" w:hAnsi="Calibri" w:eastAsia="Calibri"/>
          <w:b/>
          <w:sz w:val="18"/>
        </w:rPr>
        <w:t>R</w:t>
      </w:r>
      <w:r>
        <w:rPr>
          <w:rFonts w:ascii="Calibri" w:hAnsi="Calibri" w:eastAsia="Calibri"/>
          <w:sz w:val="18"/>
        </w:rPr>
        <w:t xml:space="preserve"> needs secondary regulation; </w:t>
      </w:r>
      <w:r>
        <w:rPr>
          <w:rFonts w:ascii="Calibri" w:hAnsi="Calibri" w:eastAsia="Calibri"/>
          <w:b/>
          <w:sz w:val="18"/>
        </w:rPr>
        <w:t>N</w:t>
      </w:r>
      <w:r>
        <w:rPr>
          <w:rFonts w:ascii="Calibri" w:hAnsi="Calibri" w:eastAsia="Calibri"/>
          <w:sz w:val="18"/>
        </w:rPr>
        <w:t xml:space="preserve"> needs a national regulator's approval; </w:t>
      </w:r>
      <w:r>
        <w:rPr>
          <w:rFonts w:ascii="Calibri" w:hAnsi="Calibri" w:eastAsia="Calibri"/>
          <w:b/>
          <w:sz w:val="18"/>
        </w:rPr>
        <w:t>A</w:t>
      </w:r>
      <w:r>
        <w:rPr>
          <w:rFonts w:ascii="Calibri" w:hAnsi="Calibri" w:eastAsia="Calibri"/>
          <w:sz w:val="18"/>
        </w:rPr>
        <w:t xml:space="preserve"> may need amendment. "Existing basis" reflects press reports (S) or EUz working files (L), not official texts.</w:t>
      </w:r>
    </w:p>
    <w:p>
      <w:pPr>
        <w:pStyle w:val="ExhibitTitle"/>
      </w:pPr>
      <w:r>
        <w:rPr>
          <w:rFonts w:ascii="Calibri" w:hAnsi="Calibri" w:eastAsia="Calibri"/>
        </w:rPr>
        <w:t>Exhibit 13. Legal fit-gap matrix</w:t>
      </w:r>
    </w:p>
    <w:tbl>
      <w:tblPr>
        <w:tblW w:w="9639" w:type="dxa"/>
        <w:jc w:val="center"/>
        <w:tblLayout w:type="fixed"/>
        <w:tblLook w:firstColumn="1" w:firstRow="1" w:lastColumn="0" w:lastRow="0" w:noHBand="0" w:noVBand="1" w:val="04A0"/>
      </w:tblPr>
      <w:tblGrid>
        <w:gridCol w:w="1701"/>
        <w:gridCol w:w="2948"/>
        <w:gridCol w:w="567"/>
        <w:gridCol w:w="2608"/>
        <w:gridCol w:w="1814"/>
      </w:tblGrid>
      <w:tr>
        <w:trPr>
          <w:cantSplit/>
          <w:tblHeader/>
        </w:trPr>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Proposed mechanism</w:t>
            </w:r>
          </w:p>
        </w:tc>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Existing EUz basis (status)</w:t>
            </w:r>
          </w:p>
        </w:tc>
        <w:tc>
          <w:tcPr>
            <w:tcW w:type="dxa" w:w="56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Cat.</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Additional action required</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Responsible authority</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Sandbox with temporary exemptions</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Reported: sandbox with temporary exemptions from some statutory requirements; simplified licensing (S) [S27]. EUz file: Art. 39-43 (L, unverified) [S31]</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 R</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Read text; define exemption classes in Sandbox Rules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General Counsel</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Test term up to 12 months</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Reported: up to 12 months unless the Board sets another period (S) [S27]</w:t>
            </w:r>
          </w:p>
        </w:tc>
        <w:tc>
          <w:tcPr>
            <w:tcW w:type="dxa" w:w="56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Confirm; set track-specific terms</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Admission delegated to Sandbox Committee</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EUz file: admission decided by the Governing Council; Art. 15-17 (L) [S31]</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 R</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Confirm Council may delegate; else Council ratification by written procedure</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General Counsel</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Guidance Track</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found. Possible basis in services provisions, Art. 66-70 (L, unverified) [S31]</w:t>
            </w:r>
          </w:p>
        </w:tc>
        <w:tc>
          <w:tcPr>
            <w:tcW w:type="dxa" w:w="56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 R</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Confirm mandate; rule on effect of written positions</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Express standard conditions</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found. Reported: Council approves key rules (S) [S27]</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R</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approves a standard-conditions schedule</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Flexibility on national requirements</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EUz file: financial testing follows the competent regulator's decision (L) [S31]</w:t>
            </w:r>
          </w:p>
        </w:tc>
        <w:tc>
          <w:tcPr>
            <w:tcW w:type="dxa" w:w="56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N</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Consent protocol per regulator; list of non-waivable requirements</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National regulators; Council</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Participant safeguards (caps, disclosure, redress, stop-loss)</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found in sources reached</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 R</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Include in Sandbox Rules; check against consumer and liability provisions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General Counsel</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Digital sandbox and synthetic data</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Reported: participants access the Center's infrastructure (S) [S27]</w:t>
            </w:r>
          </w:p>
        </w:tc>
        <w:tc>
          <w:tcPr>
            <w:tcW w:type="dxa" w:w="56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 N</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Data-handling rules; check personal-data law</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Administration; data authority</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Regulation Prototyping</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found</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R, A</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rule on prototyping notes; recommendations to national bodies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national bodies</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Registrar role in sandbox</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EUz file: role not defined (L) [S31]</w:t>
            </w:r>
          </w:p>
        </w:tc>
        <w:tc>
          <w:tcPr>
            <w:tcW w:type="dxa" w:w="56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R</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Define status recording and removal</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Registrar</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Enforcement against participants</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EUz file: Art. 78-79 warning to suspension (L) [S31]</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Confirm application to sandbox participants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Dispute forum for test agreements</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Reported: Tashkent International Commercial Court; a 2025 report said a separate court (discrepancy) (S) [S27]</w:t>
            </w:r>
          </w:p>
        </w:tc>
        <w:tc>
          <w:tcPr>
            <w:tcW w:type="dxa" w:w="56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Specify law and forum in test agreement</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Coordination with existing national sandboxes and legal-experiment regimes</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Reported: Central Bank Reg. 3391, PQ-255, PP-359 (S) [S29][S30]; Cabinet sandbox regime (2023) and Law on Legal Experiments (2026) (S) [S37][S38]</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V, N</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Read the texts; referral protocol; avoid dual admission; confirm how EUz tests relate to the 2026 law</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Administration; Central Bank; NAPP; General Counsel</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Cross-border sandbox</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found</w:t>
            </w:r>
          </w:p>
        </w:tc>
        <w:tc>
          <w:tcPr>
            <w:tcW w:type="dxa" w:w="56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A, N</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MoUs; recognition of partner decisions</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counterpart regulators</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Publication of case register and exit reports</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found</w:t>
            </w:r>
          </w:p>
        </w:tc>
        <w:tc>
          <w:tcPr>
            <w:tcW w:type="dxa" w:w="56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R</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Confidentiality and consent clauses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r>
    </w:tbl>
    <w:p>
      <w:pPr>
        <w:spacing w:before="0" w:after="40" w:line="144" w:lineRule="auto"/>
      </w:pPr>
    </w:p>
    <w:p>
      <w:pPr>
        <w:pStyle w:val="Heading2"/>
      </w:pPr>
      <w:r>
        <w:rPr>
          <w:rFonts w:ascii="Calibri" w:hAnsi="Calibri" w:eastAsia="Calibri"/>
        </w:rPr>
        <w:t>5.7 Admission criteria and standard safeguards</w:t>
      </w:r>
    </w:p>
    <w:p>
      <w:pPr>
        <w:spacing w:before="0" w:after="80" w:line="259" w:lineRule="auto"/>
      </w:pPr>
      <w:r>
        <w:rPr>
          <w:rFonts w:ascii="Calibri" w:hAnsi="Calibri" w:eastAsia="Calibri"/>
          <w:sz w:val="18"/>
        </w:rPr>
        <w:t>Criteria are assessed by the Secretariat and decided by the Committee. They are a recommendation to be adopted in the Sandbox Rules, not a reported feature of the law.</w:t>
      </w:r>
    </w:p>
    <w:p>
      <w:pPr>
        <w:pStyle w:val="ExhibitTitle"/>
      </w:pPr>
      <w:r>
        <w:rPr>
          <w:rFonts w:ascii="Calibri" w:hAnsi="Calibri" w:eastAsia="Calibri"/>
        </w:rPr>
        <w:t>Exhibit 14. Admission criteria and standard safeguards</w:t>
      </w:r>
    </w:p>
    <w:tbl>
      <w:tblPr>
        <w:tblW w:w="9639" w:type="dxa"/>
        <w:jc w:val="center"/>
        <w:tblLayout w:type="fixed"/>
        <w:tblLook w:firstColumn="1" w:firstRow="1" w:lastColumn="0" w:lastRow="0" w:noHBand="0" w:noVBand="1" w:val="04A0"/>
      </w:tblPr>
      <w:tblGrid>
        <w:gridCol w:w="1701"/>
        <w:gridCol w:w="4536"/>
        <w:gridCol w:w="3402"/>
      </w:tblGrid>
      <w:tr>
        <w:trPr>
          <w:cantSplit/>
          <w:tblHeader/>
        </w:trPr>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Element</w:t>
            </w:r>
          </w:p>
        </w:tc>
        <w:tc>
          <w:tcPr>
            <w:tcW w:type="dxa" w:w="45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Standard</w:t>
            </w:r>
          </w:p>
        </w:tc>
        <w:tc>
          <w:tcPr>
            <w:tcW w:type="dxa" w:w="340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Why (evidence or reasoning)</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Genuine innovation</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Technology or business model is new to Uzbekistan or materially improves on what exists</w:t>
            </w:r>
          </w:p>
        </w:tc>
        <w:tc>
          <w:tcPr>
            <w:tcW w:type="dxa" w:w="34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Plus found most applicants used technology already in Singapore [S7]</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Need for testing</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 specific regulatory uncertainty or barrier is identified; otherwise redirect to the Guidance Track</w:t>
            </w:r>
          </w:p>
        </w:tc>
        <w:tc>
          <w:tcPr>
            <w:tcW w:type="dxa" w:w="34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Ofgem: 22 of 30 had no specific barrier [S6]</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User or economic benefit</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Plausible benefit to users, trade or the data economy</w:t>
            </w:r>
          </w:p>
        </w:tc>
        <w:tc>
          <w:tcPr>
            <w:tcW w:type="dxa" w:w="34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Consumer-outcome gap in the UK evidence [S2]</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Readiness</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Working prototype, governance, security basics and resources to complete the test and meet exit conditions</w:t>
            </w:r>
          </w:p>
        </w:tc>
        <w:tc>
          <w:tcPr>
            <w:tcW w:type="dxa" w:w="34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DFSA exits depend on meeting full authorisation requirements [S14]</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Priority fit</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Falls within EUz's emerging-technology mandate</w:t>
            </w:r>
          </w:p>
        </w:tc>
        <w:tc>
          <w:tcPr>
            <w:tcW w:type="dxa" w:w="34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Scope reported in [S27]</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Caps</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Maximum clients, transaction value or volume, territory and term set in the decision</w:t>
            </w:r>
          </w:p>
        </w:tc>
        <w:tc>
          <w:tcPr>
            <w:tcW w:type="dxa" w:w="34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EUz working files: admission limited to product, clients, territory, term, volume [S31]</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Disclosure and redress</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Users told they are in a test; defined complaint and compensation route</w:t>
            </w:r>
          </w:p>
        </w:tc>
        <w:tc>
          <w:tcPr>
            <w:tcW w:type="dxa" w:w="34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FCA retained consumer safeguards in the sandbox [S1]</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Stop-loss and incidents</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Pre-agreed triggers; incident reporting to the Secretariat within two working days (planning assumption)</w:t>
            </w:r>
          </w:p>
        </w:tc>
        <w:tc>
          <w:tcPr>
            <w:tcW w:type="dxa" w:w="34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control in live tests (A)</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Data and cyber</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Data-handling plan; synthetic data first where possible; security review by an expert</w:t>
            </w:r>
          </w:p>
        </w:tc>
        <w:tc>
          <w:tcPr>
            <w:tcW w:type="dxa" w:w="34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FCA Digital Sandbox model [S4]</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Non-waivable core</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 short list set with counsel and each regulator. Presumption: sanctions and financial-crime duties, core personal-data protections and safety-critical requirements are not waived</w:t>
            </w:r>
          </w:p>
        </w:tc>
        <w:tc>
          <w:tcPr>
            <w:tcW w:type="dxa" w:w="34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Recommendation (A); to be confirmed against official texts</w:t>
            </w:r>
          </w:p>
        </w:tc>
      </w:tr>
    </w:tbl>
    <w:p>
      <w:pPr>
        <w:spacing w:before="0" w:after="40" w:line="144" w:lineRule="auto"/>
      </w:pPr>
    </w:p>
    <w:p>
      <w:pPr>
        <w:pStyle w:val="Heading2"/>
      </w:pPr>
      <w:r>
        <w:rPr>
          <w:rFonts w:ascii="Calibri" w:hAnsi="Calibri" w:eastAsia="Calibri"/>
        </w:rPr>
        <w:t>5.8 How regulators, experts and technology companies interact</w:t>
      </w:r>
    </w:p>
    <w:p>
      <w:pPr>
        <w:pStyle w:val="ExhibitTitle"/>
      </w:pPr>
      <w:r>
        <w:rPr>
          <w:rFonts w:ascii="Calibri" w:hAnsi="Calibri" w:eastAsia="Calibri"/>
        </w:rPr>
        <w:t>Exhibit 15. Engagement protocol across the participant lifecycle</w:t>
      </w:r>
    </w:p>
    <w:tbl>
      <w:tblPr>
        <w:tblW w:w="9639" w:type="dxa"/>
        <w:jc w:val="center"/>
        <w:tblLayout w:type="fixed"/>
        <w:tblLook w:firstColumn="1" w:firstRow="1" w:lastColumn="0" w:lastRow="0" w:noHBand="0" w:noVBand="1" w:val="04A0"/>
      </w:tblPr>
      <w:tblGrid>
        <w:gridCol w:w="1701"/>
        <w:gridCol w:w="2835"/>
        <w:gridCol w:w="2268"/>
        <w:gridCol w:w="2835"/>
      </w:tblGrid>
      <w:tr>
        <w:trPr>
          <w:cantSplit/>
          <w:tblHeader/>
        </w:trPr>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Moment</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Regulators</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Independent experts</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Technology company</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Before application</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Publish contact points and what they will and will not consent to</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None</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Uses Guidance Track and readiness checklist; speaks to a case manager</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Regulatory mapping (stage 3)</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Confirm which requirements are theirs and whether they would consent; written reply within an agreed period (set by MoU)</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Advise on technical risk classification</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Supplies product and data-flow descriptions</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Test design (stage 4)</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Agree conditions in their remit; may attend as observer</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Review AI, cyber and privacy risk; propose test protocols</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Co-designs scope, KPIs and exit evidence</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Approval (stage 5)</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Non-voting consent seat on the Committee for their matters</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Two voting seats on the Committee</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Presents; accepts conditions in writing</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Testing and monitoring (6-7)</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Receive incident notices in their remit; quarterly regulator forum</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 call for incidents</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Reports monthly; escalates incidents within two working days</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Evaluation and exit (8-9)</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Confirm exit route in their remit; co-sign insights where relevant</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Review evaluation findings</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Provides outcome data for 24 months (funding, licence status, survival)</w:t>
            </w:r>
          </w:p>
        </w:tc>
      </w:tr>
    </w:tbl>
    <w:p>
      <w:pPr>
        <w:spacing w:before="0" w:after="40" w:line="144" w:lineRule="auto"/>
      </w:pPr>
    </w:p>
    <w:p>
      <w:pPr>
        <w:spacing w:before="0" w:after="80" w:line="259" w:lineRule="auto"/>
      </w:pPr>
      <w:r>
        <w:rPr>
          <w:rFonts w:ascii="Calibri" w:hAnsi="Calibri" w:eastAsia="Calibri"/>
          <w:sz w:val="18"/>
        </w:rPr>
        <w:t>A standing quarterly forum of participating national regulators, chaired by the Secretariat head, reviews live cases, consent turnaround and rule-change proposals. The European Blockchain Sandbox reports more than 50 regulators in its first cohort and annual recognition of regulators [S17]; EUz should aim at a much smaller, named group.</w:t>
      </w:r>
    </w:p>
    <w:p>
      <w:pPr>
        <w:pStyle w:val="Heading2"/>
      </w:pPr>
      <w:r>
        <w:rPr>
          <w:rFonts w:ascii="Calibri" w:hAnsi="Calibri" w:eastAsia="Calibri"/>
        </w:rPr>
        <w:t>5.9 Launch sequence: what must work on day one and what can wait</w:t>
      </w:r>
    </w:p>
    <w:p>
      <w:pPr>
        <w:pStyle w:val="ExhibitTitle"/>
      </w:pPr>
      <w:r>
        <w:rPr>
          <w:rFonts w:ascii="Calibri" w:hAnsi="Calibri" w:eastAsia="Calibri"/>
        </w:rPr>
        <w:t>Exhibit 16. Day-one capabilities and later additions</w:t>
      </w:r>
    </w:p>
    <w:tbl>
      <w:tblPr>
        <w:tblW w:w="9639" w:type="dxa"/>
        <w:jc w:val="center"/>
        <w:tblLayout w:type="fixed"/>
        <w:tblLook w:firstColumn="1" w:firstRow="1" w:lastColumn="0" w:lastRow="0" w:noHBand="0" w:noVBand="1" w:val="04A0"/>
      </w:tblPr>
      <w:tblGrid>
        <w:gridCol w:w="2948"/>
        <w:gridCol w:w="1474"/>
        <w:gridCol w:w="1587"/>
        <w:gridCol w:w="1757"/>
        <w:gridCol w:w="1871"/>
      </w:tblGrid>
      <w:tr>
        <w:trPr>
          <w:cantSplit/>
          <w:tblHeader/>
        </w:trPr>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Capability</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Day one</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After month 6</w:t>
            </w:r>
          </w:p>
        </w:tc>
        <w:tc>
          <w:tcPr>
            <w:tcW w:type="dxa" w:w="175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After month 12</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Basis</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Guidance Track with published positions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ICO, Ofgem [S5][S6]</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Full Sandbox, capped at three to four projects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Throughput evidence, Chapter 2</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Sandbox Committee with independent experts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Section 5.1</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Regulatory mapping memo and consent protocol</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[S15]</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Minimum digital platform: intake, case file, decision log</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FCA Digital Sandbox [S4]</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Synthetic-data test environment</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For pilots P1 and P3</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Extend to more domains</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evaluation [S4]</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Published SLAs and quarterly attainment</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SLAs published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Attainment reported</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reporting gap [S8]</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Outcome tracking at 12 and 24 months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Clauses in test agreements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First survey</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First annual report</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BIS evidence [S2]</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Express track</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Pilot, two categories</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Extend if attainment is met</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Express [S8]</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Regulation Prototyping</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Pilot (from month 9)</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Japan [S20]</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Investor and demo events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Annual programme</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UK funding effect [S2]</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Cross-border pilots and recognition</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MoU discussions only</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MoU discussions</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First bilateral pilot if regulators agree</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[S15]</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Standing expert panel and advanced testing infrastructure</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 on evidence of demand</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Long-term (Section 8.3)</w:t>
            </w:r>
          </w:p>
        </w:tc>
      </w:tr>
    </w:tbl>
    <w:p>
      <w:pPr>
        <w:spacing w:before="0" w:after="40" w:line="144" w:lineRule="auto"/>
      </w:pPr>
    </w:p>
    <w:p>
      <w:pPr>
        <w:pStyle w:val="Heading2"/>
      </w:pPr>
      <w:r>
        <w:rPr>
          <w:rFonts w:ascii="Calibri" w:hAnsi="Calibri" w:eastAsia="Calibri"/>
        </w:rPr>
        <w:t>5.10 Compact risk assessment</w:t>
      </w:r>
    </w:p>
    <w:p>
      <w:pPr>
        <w:pStyle w:val="ExhibitTitle"/>
      </w:pPr>
      <w:r>
        <w:rPr>
          <w:rFonts w:ascii="Calibri" w:hAnsi="Calibri" w:eastAsia="Calibri"/>
        </w:rPr>
        <w:t>Exhibit 17. Principal risks (qualitative analyst judgement, not scored)</w:t>
      </w:r>
    </w:p>
    <w:tbl>
      <w:tblPr>
        <w:tblW w:w="9639" w:type="dxa"/>
        <w:jc w:val="center"/>
        <w:tblLayout w:type="fixed"/>
        <w:tblLook w:firstColumn="1" w:firstRow="1" w:lastColumn="0" w:lastRow="0" w:noHBand="0" w:noVBand="1" w:val="04A0"/>
      </w:tblPr>
      <w:tblGrid>
        <w:gridCol w:w="2041"/>
        <w:gridCol w:w="2438"/>
        <w:gridCol w:w="2608"/>
        <w:gridCol w:w="1474"/>
        <w:gridCol w:w="1077"/>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Risk</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Mitigation</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Owner</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Exposure</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Legal basis narrower than assumed</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Official texts not read for this report</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Verification sprint; counsel opinion before rules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General Counsel</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National regulators do not consent</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no test began [S15]</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Consent protocol; start with pilots with a willing owner</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Low or mismatched demand</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Plus 0 approvals [S7]; Korea ICT decline [S23]</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Demand interviews; two tracks first</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Business development</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Harm to users or data in live tests</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Live tests carry real risk (A)</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Caps; stop-loss; expert review; incident rule</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lead</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Capacity overload</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Ofgem w1: 30 EOIs for 3 sandboxes [S6]</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Triage to Guidance Track; cap intake</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Weak selection weakens the signal</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UK effect is a certification effect [S2]</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Published criteria and reasons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Dependence on a single partner</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WEF outputs self-reported (Chapter 6)</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Define deliverables; keep decisions internal</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affairs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bl>
    <w:p>
      <w:pPr>
        <w:spacing w:before="0" w:after="40" w:line="144" w:lineRule="auto"/>
      </w:pPr>
    </w:p>
    <w:p>
      <w:pPr>
        <w:pStyle w:val="Heading1"/>
        <w:pageBreakBefore/>
        <w:pBdr>
          <w:bottom w:val="single" w:sz="12" w:space="3" w:color="009162"/>
        </w:pBdr>
      </w:pPr>
      <w:r>
        <w:rPr>
          <w:rFonts w:ascii="Calibri" w:hAnsi="Calibri" w:eastAsia="Calibri"/>
        </w:rPr>
        <w:t>6. WEF partnership assessment: best used as convener and peer reviewer, not as design owner</w:t>
      </w:r>
    </w:p>
    <w:p>
      <w:pPr>
        <w:spacing w:before="0" w:after="80" w:line="259" w:lineRule="auto"/>
      </w:pPr>
      <w:r>
        <w:rPr>
          <w:rFonts w:ascii="Calibri" w:hAnsi="Calibri" w:eastAsia="Calibri"/>
          <w:sz w:val="18"/>
        </w:rPr>
        <w:t>Research caveat: weforum.org could not be opened directly. WEF facts below come from search summaries of WEF, UAE government and vendor pages, and all outcome claims are convener-reported (P). No independent evaluation of any WEF regulatory programme was found.</w:t>
      </w:r>
    </w:p>
    <w:p>
      <w:pPr>
        <w:pStyle w:val="ExhibitTitle"/>
      </w:pPr>
      <w:r>
        <w:rPr>
          <w:rFonts w:ascii="Calibri" w:hAnsi="Calibri" w:eastAsia="Calibri"/>
        </w:rPr>
        <w:t>Exhibit 18. What WEF has actually delivered: documented record</w:t>
      </w:r>
    </w:p>
    <w:tbl>
      <w:tblPr>
        <w:tblW w:w="9639" w:type="dxa"/>
        <w:jc w:val="center"/>
        <w:tblLayout w:type="fixed"/>
        <w:tblLook w:firstColumn="1" w:firstRow="1" w:lastColumn="0" w:lastRow="0" w:noHBand="0" w:noVBand="1" w:val="04A0"/>
      </w:tblPr>
      <w:tblGrid>
        <w:gridCol w:w="1927"/>
        <w:gridCol w:w="1701"/>
        <w:gridCol w:w="1871"/>
        <w:gridCol w:w="2948"/>
        <w:gridCol w:w="1190"/>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Programme</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Dates</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WEF's role</w:t>
            </w:r>
          </w:p>
        </w:tc>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Documented output</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 type</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UAE TradeTech Regulatory Sandbox</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MoU Jan 2024; preliminary findings Apr 2025; report 1 Oct 2025</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Convener and publisher; UAE regulators supervised; vendor supplied platform</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8 start-ups, 4 UAE regulators; themes: digital trade documents, SSI, stablecoin payments, DeFi lending [S10][S11][S32]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 (convener); per-firm outcomes not verified</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Global Regulatory Innovation Platform (GRIP)</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Signed Jan 2025; launched Jul 2025</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Platform with UAE Cabinet General Secretariat</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Planned over two years: Global Regulatory Playbook, Regulatory Future Readiness Index, Global Regulatory Innovation Hub (T). No delivered output, member list or fee model verified [S12]</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Rwanda drone regulation; India drone toolkit</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From 2017; Jan 2019</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Partnership and open-source guide</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Performance-based drone regulation in Rwanda; toolkit with an Andhra Pradesh pilot (WEF-reported) [S12]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Centre for the Fourth Industrial Revolution network</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Impact report 2023-24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Network</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 exists; not read</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 verified</w:t>
            </w:r>
          </w:p>
        </w:tc>
      </w:tr>
    </w:tbl>
    <w:p>
      <w:pPr>
        <w:spacing w:before="0" w:after="40" w:line="144" w:lineRule="auto"/>
      </w:pPr>
    </w:p>
    <w:p>
      <w:pPr>
        <w:pStyle w:val="Heading2"/>
      </w:pPr>
      <w:r>
        <w:rPr>
          <w:rFonts w:ascii="Calibri" w:hAnsi="Calibri" w:eastAsia="Calibri"/>
        </w:rPr>
        <w:t>6.1 Four questions, answered from the evidence</w:t>
      </w:r>
    </w:p>
    <w:p>
      <w:pPr>
        <w:numPr>
          <w:ilvl w:val="0"/>
          <w:numId w:val="102"/>
        </w:numPr>
        <w:spacing w:before="0" w:after="60" w:line="259" w:lineRule="auto"/>
      </w:pPr>
      <w:r>
        <w:rPr>
          <w:rFonts w:ascii="Calibri" w:hAnsi="Calibri" w:eastAsia="Calibri"/>
          <w:b/>
          <w:sz w:val="18"/>
        </w:rPr>
        <w:t>What has WEF delivered elsewhere?</w:t>
      </w:r>
      <w:r>
        <w:rPr>
          <w:rFonts w:ascii="Calibri" w:hAnsi="Calibri" w:eastAsia="Calibri"/>
          <w:sz w:val="18"/>
        </w:rPr>
        <w:t xml:space="preserve"> Convening and publication, most concretely the TradeTech sandbox (8 start-ups, 4 UAE regulators) and earlier drone-regulation toolkits. WEF is not a regulator or licensing body, and its platform outputs (GRIP) were still in prospect as at this research [S11][S12].</w:t>
      </w:r>
    </w:p>
    <w:p>
      <w:pPr>
        <w:numPr>
          <w:ilvl w:val="0"/>
          <w:numId w:val="102"/>
        </w:numPr>
        <w:spacing w:before="0" w:after="60" w:line="259" w:lineRule="auto"/>
      </w:pPr>
      <w:r>
        <w:rPr>
          <w:rFonts w:ascii="Calibri" w:hAnsi="Calibri" w:eastAsia="Calibri"/>
          <w:b/>
          <w:sz w:val="18"/>
        </w:rPr>
        <w:t>Which capabilities are relevant to EUz?</w:t>
      </w:r>
      <w:r>
        <w:rPr>
          <w:rFonts w:ascii="Calibri" w:hAnsi="Calibri" w:eastAsia="Calibri"/>
          <w:sz w:val="18"/>
        </w:rPr>
        <w:t xml:space="preserve"> Convening regulators and companies across jurisdictions; multi-authority pilot coordination; published methodology that gives EUz's design an external reference; international visibility.</w:t>
      </w:r>
    </w:p>
    <w:p>
      <w:pPr>
        <w:numPr>
          <w:ilvl w:val="0"/>
          <w:numId w:val="102"/>
        </w:numPr>
        <w:spacing w:before="0" w:after="60" w:line="259" w:lineRule="auto"/>
      </w:pPr>
      <w:r>
        <w:rPr>
          <w:rFonts w:ascii="Calibri" w:hAnsi="Calibri" w:eastAsia="Calibri"/>
          <w:b/>
          <w:sz w:val="18"/>
        </w:rPr>
        <w:t>What work products should EUz request?</w:t>
      </w:r>
      <w:r>
        <w:rPr>
          <w:rFonts w:ascii="Calibri" w:hAnsi="Calibri" w:eastAsia="Calibri"/>
          <w:sz w:val="18"/>
        </w:rPr>
        <w:t xml:space="preserve"> A peer review of this operating model against the TradeTech experience; a structured introduction to a small number of regulators and companies; a pilot-design review for Pilot 2; and access to GRIP material when published. Each should have defined outputs, dates and a requirement to report outcomes and limitations.</w:t>
      </w:r>
    </w:p>
    <w:p>
      <w:pPr>
        <w:numPr>
          <w:ilvl w:val="0"/>
          <w:numId w:val="102"/>
        </w:numPr>
        <w:spacing w:before="0" w:after="60" w:line="259" w:lineRule="auto"/>
      </w:pPr>
      <w:r>
        <w:rPr>
          <w:rFonts w:ascii="Calibri" w:hAnsi="Calibri" w:eastAsia="Calibri"/>
          <w:b/>
          <w:sz w:val="18"/>
        </w:rPr>
        <w:t>What could EUz do without WEF, and what needs a partner?</w:t>
      </w:r>
      <w:r>
        <w:rPr>
          <w:rFonts w:ascii="Calibri" w:hAnsi="Calibri" w:eastAsia="Calibri"/>
          <w:sz w:val="18"/>
        </w:rPr>
        <w:t xml:space="preserve"> EUz can do benchmarking, rule drafting, case management, platform build, domestic regulator engagement and the first cohort alone. A partner genuinely adds independence of review, access to foreign regulators and companies, and a convener for multi-jurisdiction pilots.</w:t>
      </w:r>
    </w:p>
    <w:p>
      <w:pPr>
        <w:pStyle w:val="ExhibitTitle"/>
      </w:pPr>
      <w:r>
        <w:rPr>
          <w:rFonts w:ascii="Calibri" w:hAnsi="Calibri" w:eastAsia="Calibri"/>
        </w:rPr>
        <w:t>Exhibit 19. Proposed WEF deliverables assessed against evidence</w:t>
      </w:r>
    </w:p>
    <w:tbl>
      <w:tblPr>
        <w:tblW w:w="9639" w:type="dxa"/>
        <w:jc w:val="center"/>
        <w:tblLayout w:type="fixed"/>
        <w:tblLook w:firstColumn="1" w:firstRow="1" w:lastColumn="0" w:lastRow="0" w:noHBand="0" w:noVBand="1" w:val="04A0"/>
      </w:tblPr>
      <w:tblGrid>
        <w:gridCol w:w="2268"/>
        <w:gridCol w:w="2551"/>
        <w:gridCol w:w="2041"/>
        <w:gridCol w:w="2778"/>
      </w:tblGrid>
      <w:tr>
        <w:trPr>
          <w:cantSplit/>
          <w:tblHeader/>
        </w:trPr>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Proposed deliverable</w:t>
            </w:r>
          </w:p>
        </w:tc>
        <w:tc>
          <w:tcPr>
            <w:tcW w:type="dxa" w:w="255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 of WEF capability</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Assessment</w:t>
            </w:r>
          </w:p>
        </w:tc>
        <w:tc>
          <w:tcPr>
            <w:tcW w:type="dxa" w:w="277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Recommended stance</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International benchmarking and design review</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GRIP playbook planned, not delivered (T) [S12]</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Weak evidence</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Do not commission production; request review of this report's benchmarking</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Operating-model peer review</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Convening role in TradeTech [S11]</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Moderate</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Request</w:t>
            </w:r>
            <w:r>
              <w:rPr>
                <w:rFonts w:ascii="Calibri" w:hAnsi="Calibri" w:eastAsia="Calibri"/>
                <w:color w:val="39393B"/>
                <w:sz w:val="15"/>
              </w:rPr>
              <w:t>: written review with named reviewers</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Governance and risk framework</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None found</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 evidence</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EUz and counsel draft; WEF reviews only</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Initial pilot design support</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TradeTech: 8 start-ups, 4 regulators [S11]</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Moderate for multi-party trade pilots</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Request</w:t>
            </w:r>
            <w:r>
              <w:rPr>
                <w:rFonts w:ascii="Calibri" w:hAnsi="Calibri" w:eastAsia="Calibri"/>
                <w:color w:val="39393B"/>
                <w:sz w:val="15"/>
              </w:rPr>
              <w:t xml:space="preserve"> for Pilot 2 only, with outcome reporting</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Regulator and industry engagement</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Convening record (Davos MoU, TradeTech Forum) [S10]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Moderate to strong</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Request</w:t>
            </w:r>
            <w:r>
              <w:rPr>
                <w:rFonts w:ascii="Calibri" w:hAnsi="Calibri" w:eastAsia="Calibri"/>
                <w:color w:val="39393B"/>
                <w:sz w:val="15"/>
              </w:rPr>
              <w:t>: introductions and a convened roundtable</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Training and knowledge transfer</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GRIP outputs not yet delivered [S12]</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 evidenced</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Request only against defined content</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International regulatory cooperation</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Introductions, not agreements</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Limited: regulators sign MoUs themselves</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Direct regulator-to-regulator</w:t>
            </w:r>
          </w:p>
        </w:tc>
      </w:tr>
    </w:tbl>
    <w:p>
      <w:pPr>
        <w:spacing w:before="0" w:after="40" w:line="144" w:lineRule="auto"/>
      </w:pPr>
    </w:p>
    <w:p>
      <w:pPr>
        <w:pStyle w:val="ExhibitTitle"/>
      </w:pPr>
      <w:r>
        <w:rPr>
          <w:rFonts w:ascii="Calibri" w:hAnsi="Calibri" w:eastAsia="Calibri"/>
        </w:rPr>
        <w:t>Exhibit 20. Alternatives to WEF</w:t>
      </w:r>
    </w:p>
    <w:tbl>
      <w:tblPr>
        <w:tblW w:w="9639" w:type="dxa"/>
        <w:jc w:val="center"/>
        <w:tblLayout w:type="fixed"/>
        <w:tblLook w:firstColumn="1" w:firstRow="1" w:lastColumn="0" w:lastRow="0" w:noHBand="0" w:noVBand="1" w:val="04A0"/>
      </w:tblPr>
      <w:tblGrid>
        <w:gridCol w:w="1814"/>
        <w:gridCol w:w="1701"/>
        <w:gridCol w:w="2381"/>
        <w:gridCol w:w="1927"/>
        <w:gridCol w:w="1814"/>
      </w:tblGrid>
      <w:tr>
        <w:trPr>
          <w:cantSplit/>
          <w:tblHeader/>
        </w:trPr>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Option</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it offers</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Documented basis</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Limits</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Best use for EUz</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WEF</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Convening, publication, brand</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TradeTech; GRIP (planned) [S11][S12]</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Self-reported results; no regulatory power</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Peer review; convening; Pilot 2</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Regulator-to-regulator (FCA, MAS, ADGM FSRA, DFSA, HKMA)</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Operating knowledge, direct recognition</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Documented programmes [S1][S7][S13][S14][S21]</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Mostly financial; capacity limits</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Study visits; recognition MoUs</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GFIN and similar networks</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Cross-border application route</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GFIN pilot: 44 applications, 0 tested [S15]</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Membership terms for EUz not verified</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Learning from failure; later option</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Specialist consultants and counsel</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Design, drafting, platform</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 evidenced here</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Cost; independence</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Rules, platform, legal verification</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World Bank, OECD, UNCITRAL</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Guides and standards</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World Bank 73 sandboxes in 57 jurisdictions (2020) [S16]; OECD 2023 AI-sandbox paper [S26]; MLETR [S34]</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General, not hands-on</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Reference methods; MLETR alignment</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Technology vendors</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platforms</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NayaOne in TradeTech (vendor-reported) [S32]</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Commercial interest</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Platform MVP through open tender</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rPr>
          <w:cantSplit/>
        </w:trP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Conclusion</w:t>
            </w:r>
          </w:p>
          <w:p>
            <w:pPr>
              <w:spacing w:before="0" w:after="40" w:line="252" w:lineRule="auto"/>
            </w:pPr>
            <w:r>
              <w:rPr>
                <w:rFonts w:ascii="Calibri" w:hAnsi="Calibri" w:eastAsia="Calibri"/>
                <w:sz w:val="18"/>
              </w:rPr>
              <w:t xml:space="preserve">On documented capability, WEF is best suited to </w:t>
            </w:r>
            <w:r>
              <w:rPr>
                <w:rFonts w:ascii="Calibri" w:hAnsi="Calibri" w:eastAsia="Calibri"/>
                <w:b/>
                <w:sz w:val="18"/>
              </w:rPr>
              <w:t>international convening and peer review</w:t>
            </w:r>
            <w:r>
              <w:rPr>
                <w:rFonts w:ascii="Calibri" w:hAnsi="Calibri" w:eastAsia="Calibri"/>
                <w:sz w:val="18"/>
              </w:rPr>
              <w:t xml:space="preserve">, and conditionally to </w:t>
            </w:r>
            <w:r>
              <w:rPr>
                <w:rFonts w:ascii="Calibri" w:hAnsi="Calibri" w:eastAsia="Calibri"/>
                <w:b/>
                <w:sz w:val="18"/>
              </w:rPr>
              <w:t>pilot facilitation</w:t>
            </w:r>
            <w:r>
              <w:rPr>
                <w:rFonts w:ascii="Calibri" w:hAnsi="Calibri" w:eastAsia="Calibri"/>
                <w:sz w:val="18"/>
              </w:rPr>
              <w:t xml:space="preserve"> for multi-party, multi-authority pilots such as TradeTech. The evidence does not support WEF as technical designer or governance owner. EUz should retain admission decisions, rules, risk management, regulator relations and data handling. Any engagement should fix deliverables, dates and a duty to report outcomes and limitations, and its fee model must be confirmed (not verified here).</w:t>
            </w:r>
          </w:p>
        </w:tc>
      </w:tr>
    </w:tbl>
    <w:p>
      <w:pPr>
        <w:spacing w:before="0" w:after="40" w:line="144" w:lineRule="auto"/>
      </w:pPr>
    </w:p>
    <w:p>
      <w:pPr>
        <w:pStyle w:val="Heading1"/>
        <w:pageBreakBefore/>
        <w:pBdr>
          <w:bottom w:val="single" w:sz="12" w:space="3" w:color="009162"/>
        </w:pBdr>
      </w:pPr>
      <w:r>
        <w:rPr>
          <w:rFonts w:ascii="Calibri" w:hAnsi="Calibri" w:eastAsia="Calibri"/>
        </w:rPr>
        <w:t>7. First pilot portfolio: four pilots chosen from ten for measurable value and a realistic regulatory owner</w:t>
      </w:r>
    </w:p>
    <w:p>
      <w:pPr>
        <w:spacing w:before="0" w:after="80" w:line="259" w:lineRule="auto"/>
      </w:pPr>
      <w:r>
        <w:rPr>
          <w:rFonts w:ascii="Calibri" w:hAnsi="Calibri" w:eastAsia="Calibri"/>
          <w:sz w:val="18"/>
        </w:rPr>
        <w:t>Ratings are analyst judgement against the seven selection criteria and are not scores. No company or regulator named below is a committed partner; the participant lists describe the types needed.</w:t>
      </w:r>
    </w:p>
    <w:p>
      <w:pPr>
        <w:pStyle w:val="ExhibitTitle"/>
      </w:pPr>
      <w:r>
        <w:rPr>
          <w:rFonts w:ascii="Calibri" w:hAnsi="Calibri" w:eastAsia="Calibri"/>
        </w:rPr>
        <w:t>Exhibit 21. Shortlist of ten pilot ideas</w:t>
      </w:r>
    </w:p>
    <w:tbl>
      <w:tblPr>
        <w:tblW w:w="9639" w:type="dxa"/>
        <w:jc w:val="center"/>
        <w:tblLayout w:type="fixed"/>
        <w:tblLook w:firstColumn="1" w:firstRow="1" w:lastColumn="0" w:lastRow="0" w:noHBand="0" w:noVBand="1" w:val="04A0"/>
      </w:tblPr>
      <w:tblGrid>
        <w:gridCol w:w="2097"/>
        <w:gridCol w:w="1134"/>
        <w:gridCol w:w="1247"/>
        <w:gridCol w:w="1134"/>
        <w:gridCol w:w="1360"/>
        <w:gridCol w:w="1077"/>
        <w:gridCol w:w="1587"/>
      </w:tblGrid>
      <w:tr>
        <w:trPr>
          <w:cantSplit/>
          <w:tblHeader/>
        </w:trPr>
        <w:tc>
          <w:tcPr>
            <w:tcW w:type="dxa" w:w="209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Pilot idea</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Regulatory uncertainty</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Commercial demand</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Technical feasibility</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Realistic regulatory owner</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Resource need</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Decision</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AI agents and autonomous transactions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 (unverified)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Selected: P1</w:t>
            </w:r>
            <w:r>
              <w:rPr>
                <w:rFonts w:ascii="Calibri" w:hAnsi="Calibri" w:eastAsia="Calibri"/>
                <w:color w:val="39393B"/>
                <w:sz w:val="15"/>
              </w:rPr>
              <w:t xml:space="preserve"> (with 8)</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AI-driven trade compliance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P2</w:t>
            </w:r>
            <w:r>
              <w:rPr>
                <w:rFonts w:ascii="Calibri" w:hAnsi="Calibri" w:eastAsia="Calibri"/>
                <w:color w:val="39393B"/>
                <w:sz w:val="15"/>
              </w:rPr>
              <w:t xml:space="preserve"> (with 5)</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Cross-border digital identity</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 (unverified)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Defer to year 2</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Privacy-preserving data exchange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Medium-high</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P3</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5 Electronic transferable records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Low-medium</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Selected: P2</w:t>
            </w:r>
            <w:r>
              <w:rPr>
                <w:rFonts w:ascii="Calibri" w:hAnsi="Calibri" w:eastAsia="Calibri"/>
                <w:color w:val="39393B"/>
                <w:sz w:val="15"/>
              </w:rPr>
              <w:t xml:space="preserve"> (with 2)</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6 AI-based regulatory compliance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 (EUz itself)</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P4</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7 Digital credentials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Medium-high</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Defer; bundle with 3</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8 Trusted AI testing</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P1</w:t>
            </w:r>
            <w:r>
              <w:rPr>
                <w:rFonts w:ascii="Calibri" w:hAnsi="Calibri" w:eastAsia="Calibri"/>
                <w:color w:val="39393B"/>
                <w:sz w:val="15"/>
              </w:rPr>
              <w:t xml:space="preserve"> (with 1)</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9 Data-economy infrastructure</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 evidenced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Defer</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10 Autonomous systems (drones, robotaxis)</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Reported interest (S) [S27]</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Low (physical safety bodies)</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Watch item</w:t>
            </w:r>
          </w:p>
        </w:tc>
      </w:tr>
    </w:tbl>
    <w:p>
      <w:pPr>
        <w:spacing w:before="0" w:after="40" w:line="144"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P1  Assurance testing for AI agents that execute transactions</w:t>
            </w:r>
          </w:p>
          <w:p>
            <w:pPr>
              <w:keepNext/>
              <w:spacing w:before="0" w:after="0" w:line="259" w:lineRule="auto"/>
            </w:pPr>
            <w:r>
              <w:rPr>
                <w:rFonts w:ascii="Calibri" w:hAnsi="Calibri" w:eastAsia="Calibri"/>
                <w:color w:val="D7EFE7"/>
                <w:sz w:val="16"/>
              </w:rPr>
              <w:t>AI, autonomous systems | owner: Sandbox Committee with competent regulator as observer</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Firms deploying AI agents that place orders, pay or contract lack clarity on attribution, authentication and evidence standards.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No confirmed EUz position on attributing agent actions to a principal. EUz reportedly applies English common-law principles where necessary [S27]; their application to AI agents is untested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Phase 1 on synthetic data with an independent red-team; phase 2 live, low-value business-to-business transactions with human-approval thresholds, full logging and a stop-loss.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Two to three AI-agent developers; one or two enterprise buyers; an independent assurance provider; a competent-regulator observer.</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Design months 3-6; synthetic phase months 6-8; live phase months 8-12 (planning assumption).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Cost drivers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Test environment; independent assurance; legal drafting; case-manager time.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Share of agent actions correctly attributed and logged; incidents and stop-loss triggers; time to resolve disputed actions; number of rules clarified.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Published guidance on attribution, authentication and evidence; a candidate Council rule.</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P2  Electronic trade documents with AI compliance screening</w:t>
            </w:r>
          </w:p>
          <w:p>
            <w:pPr>
              <w:keepNext/>
              <w:spacing w:before="0" w:after="0" w:line="259" w:lineRule="auto"/>
            </w:pPr>
            <w:r>
              <w:rPr>
                <w:rFonts w:ascii="Calibri" w:hAnsi="Calibri" w:eastAsia="Calibri"/>
                <w:color w:val="D7EFE7"/>
                <w:sz w:val="16"/>
              </w:rPr>
              <w:t>TradeTech | owner: lead authority named at design, with trade authorities as observers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Paper-based trade documents and manual compliance checks slow trade and raise error rates.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Legal recognition of electronic transferable records and acceptance by trade authorities. Status of UNCITRAL MLETR-aligned law in Uzbekistan was not verified; Bahrain, Singapore and ADGM have adopted it [S34].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Issue and transfer electronic documents between EUz participants on a defined domestic route, with AI screening for completeness and sanctions flags; compare with manual process.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platform provider; one or two trading companies; a trade-finance provider; a customs or trade authority observer.</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Design months 3-6; test months 6-12.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Cost drivers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Platform integration; legal review; authority engagement.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Processing time against participant-recorded baseline; error rate; number of authorities accepting electronic documents.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Recognition guidance or rule; candidate bilateral MoU for later cross-border extension.</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P3  Privacy-preserving data exchange with synthetic data</w:t>
            </w:r>
          </w:p>
          <w:p>
            <w:pPr>
              <w:keepNext/>
              <w:spacing w:before="0" w:after="0" w:line="259" w:lineRule="auto"/>
            </w:pPr>
            <w:r>
              <w:rPr>
                <w:rFonts w:ascii="Calibri" w:hAnsi="Calibri" w:eastAsia="Calibri"/>
                <w:color w:val="D7EFE7"/>
                <w:sz w:val="16"/>
              </w:rPr>
              <w:t>Data economy | owner: data-protection authority as observer, Administration as host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AI and data firms cannot access sensitive datasets to build and test products.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Limits on secondary use and transfer under personal-data law (requirements not verified here) and no confirmed criteria for acceptable anonymisation.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A secure environment where data holders and developers run analytics using synthetic data or privacy-enhancing techniques; test re-identification risk independently.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One or two data holders; developers; independent privacy assessor; authority observer.</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Design months 3-6; test months 6-12.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Cost drivers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Secure environment; synthetic-data generation; independent testing.</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Utility of outputs against a real-data baseline; re-identification test result; time to data access.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Published technical and legal criteria for anonymisation and privacy-enhancing methods in the Center.</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P4  AI-enabled regulatory reporting with EUz as regulator-in-the-loop</w:t>
            </w:r>
          </w:p>
          <w:p>
            <w:pPr>
              <w:keepNext/>
              <w:spacing w:before="0" w:after="0" w:line="259" w:lineRule="auto"/>
            </w:pPr>
            <w:r>
              <w:rPr>
                <w:rFonts w:ascii="Calibri" w:hAnsi="Calibri" w:eastAsia="Calibri"/>
                <w:color w:val="D7EFE7"/>
                <w:sz w:val="16"/>
              </w:rPr>
              <w:t>RegTech and GovTech | owner: EUz Administration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Onboarding and ongoing compliance reporting are manual for both participants and EUz.</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Mostly internal: rules on automated checks, explainability and human review. Low dependence on national regulators.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Participants file compliance reports by API; an AI tool pre-checks and flags issues; EUz staff review; compare with manual handling.</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Two RegTech providers; three to five Center participants; EUz Registrar and supervision staff.</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Design months 3-5; test months 6-11.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Cost drivers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Integration; staff time; model assessment.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keepNext/>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keepNext/>
              <w:spacing w:before="0" w:after="20" w:line="250" w:lineRule="auto"/>
            </w:pPr>
            <w:r>
              <w:rPr>
                <w:rFonts w:ascii="Calibri" w:hAnsi="Calibri" w:eastAsia="Calibri"/>
                <w:sz w:val="17"/>
              </w:rPr>
              <w:t>Review time per filing; false-positive rate; participant effort; reviewer overrides.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Adoption decision and a Council rule on automated compliance checks. Fastest visible result because EUz owns the outcome.</w:t>
            </w:r>
          </w:p>
        </w:tc>
      </w:tr>
    </w:tbl>
    <w:p>
      <w:pPr>
        <w:spacing w:before="0" w:after="100" w:line="168" w:lineRule="auto"/>
      </w:pPr>
    </w:p>
    <w:p>
      <w:pPr>
        <w:pStyle w:val="Heading1"/>
        <w:pageBreakBefore/>
        <w:pBdr>
          <w:bottom w:val="single" w:sz="12" w:space="3" w:color="009162"/>
        </w:pBdr>
      </w:pPr>
      <w:r>
        <w:rPr>
          <w:rFonts w:ascii="Calibri" w:hAnsi="Calibri" w:eastAsia="Calibri"/>
        </w:rPr>
        <w:t>8. Roadmap, KPIs and management decisions: a 90-day plan that fits the pre-commencement window</w:t>
      </w:r>
    </w:p>
    <w:p>
      <w:pPr>
        <w:pStyle w:val="Heading2"/>
      </w:pPr>
      <w:r>
        <w:rPr>
          <w:rFonts w:ascii="Calibri" w:hAnsi="Calibri" w:eastAsia="Calibri"/>
        </w:rPr>
        <w:t>8.1 First 90 days: fifteen actions</w:t>
      </w:r>
    </w:p>
    <w:p>
      <w:pPr>
        <w:spacing w:before="0" w:after="80" w:line="259" w:lineRule="auto"/>
      </w:pPr>
      <w:r>
        <w:rPr>
          <w:rFonts w:ascii="Calibri" w:hAnsi="Calibri" w:eastAsia="Calibri"/>
          <w:sz w:val="18"/>
        </w:rPr>
        <w:t>Day 0 is the date this report is accepted. If the Constitutional Law enters into force on 21 January 2027, as press reports state (S) [S27], the 90 days fall within the preparation period. Priorities: C = critical, H = high, M = medium.</w:t>
      </w:r>
    </w:p>
    <w:p>
      <w:pPr>
        <w:pStyle w:val="ExhibitTitle"/>
      </w:pPr>
      <w:r>
        <w:rPr>
          <w:rFonts w:ascii="Calibri" w:hAnsi="Calibri" w:eastAsia="Calibri"/>
        </w:rPr>
        <w:t>Exhibit 22. 90-day action plan</w:t>
      </w:r>
    </w:p>
    <w:tbl>
      <w:tblPr>
        <w:tblW w:w="9639" w:type="dxa"/>
        <w:jc w:val="center"/>
        <w:tblLayout w:type="fixed"/>
        <w:tblLook w:firstColumn="1" w:firstRow="1" w:lastColumn="0" w:lastRow="0" w:noHBand="0" w:noVBand="1" w:val="04A0"/>
      </w:tblPr>
      <w:tblGrid>
        <w:gridCol w:w="340"/>
        <w:gridCol w:w="2381"/>
        <w:gridCol w:w="1304"/>
        <w:gridCol w:w="1474"/>
        <w:gridCol w:w="737"/>
        <w:gridCol w:w="453"/>
        <w:gridCol w:w="2948"/>
      </w:tblGrid>
      <w:tr>
        <w:trPr>
          <w:cantSplit/>
          <w:tblHeader/>
        </w:trPr>
        <w:tc>
          <w:tcPr>
            <w:tcW w:type="dxa" w:w="34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Action</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Function</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Deliverable</w:t>
            </w:r>
          </w:p>
        </w:tc>
        <w:tc>
          <w:tcPr>
            <w:tcW w:type="dxa" w:w="73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Depends on</w:t>
            </w:r>
          </w:p>
        </w:tc>
        <w:tc>
          <w:tcPr>
            <w:tcW w:type="dxa" w:w="4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Pri.</w:t>
            </w:r>
          </w:p>
        </w:tc>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Completion criterion</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Obtain and read the official texts; verify sandbox provisions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Verified legal baseline memo</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Access to texts</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Memo signed; Section 5.6 updated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2</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Confirm powers: delegation, Registrar role, exemption scope</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Written opinion</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w:t>
            </w:r>
          </w:p>
        </w:tc>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Opinion issued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3</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approves operating model and track sequencing</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Executive Director; Council secretary</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resolution</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1, 2</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Resolution adopted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4</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Draft Sandbox Rules: eligibility, conditions, safeguards, exit, publication</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 Sandbox head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Draft rules for consultation</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Draft published for comment</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5</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Appoint Sandbox head; recruit core team of about six (planning assumption)</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Executive Director; HR</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Named head; job specifications</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Head in post; recruitment open</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6</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Establish expert roster and conflict policy</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Roster across AI, cyber, data, law</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Roster approved (size set by need)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7</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Identify competent national authorities per pilot; draft consent protocol</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International affairs; counsel</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Protocol template</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Template agreed in principle with at least two authorities</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8</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Open the Guidance Track: public call and intake form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Live intake</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w:t>
            </w:r>
          </w:p>
        </w:tc>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First guidance case logged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9</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Scope digital platform MVP and sourcing route</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Platform lead</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Requirements; sourcing decision</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Decision memo approved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10</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Demand test: structured interviews with prospective participants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Business development</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Demand report</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None</w:t>
            </w:r>
          </w:p>
        </w:tc>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 delivered; proposition refined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11</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Pilot shortlist workshop and selection of three to four pilots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Selection memo</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7, 10</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Pilots and regulator owners named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12</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Scope WEF and alternative support; request defined deliverables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International affairs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Scoping note and term sheet</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Decision on engagement</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13</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KPI data dictionary and outcome-tracking clauses for test agreements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 analytics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Data dictionary; clause library</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Dictionary approved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14</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Risk and cyber framework: incident rule, stop-loss, data handling</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Risk lead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Framework</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w:t>
            </w:r>
          </w:p>
        </w:tc>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Framework approved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15</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Publish the EUz Sandbox prospectus (offer, SLAs, exclusions)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Communications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Prospectus v1</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4, 11</w:t>
            </w:r>
          </w:p>
        </w:tc>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Published</w:t>
            </w:r>
          </w:p>
        </w:tc>
      </w:tr>
    </w:tbl>
    <w:p>
      <w:pPr>
        <w:spacing w:before="0" w:after="40" w:line="144" w:lineRule="auto"/>
      </w:pPr>
    </w:p>
    <w:p>
      <w:pPr>
        <w:pStyle w:val="Heading2"/>
      </w:pPr>
      <w:r>
        <w:rPr>
          <w:rFonts w:ascii="Calibri" w:hAnsi="Calibri" w:eastAsia="Calibri"/>
        </w:rPr>
        <w:t>8.2 First 12 months: phased roadmap</w:t>
      </w:r>
    </w:p>
    <w:p>
      <w:pPr>
        <w:pStyle w:val="ExhibitTitle"/>
      </w:pPr>
      <w:r>
        <w:rPr>
          <w:rFonts w:ascii="Calibri" w:hAnsi="Calibri" w:eastAsia="Calibri"/>
        </w:rPr>
        <w:t>Exhibit 23. 12-month implementation roadmap (month 0 = Council approval of the operating model)</w:t>
      </w:r>
    </w:p>
    <w:p>
      <w:pPr>
        <w:keepNext/>
        <w:spacing w:before="0" w:after="40" w:line="259" w:lineRule="auto"/>
        <w:jc w:val="center"/>
      </w:pPr>
      <w:r>
        <w:drawing>
          <wp:inline xmlns:a="http://schemas.openxmlformats.org/drawingml/2006/main" xmlns:pic="http://schemas.openxmlformats.org/drawingml/2006/picture">
            <wp:extent cx="5832000" cy="2542572"/>
            <wp:docPr id="5" name="Picture 5"/>
            <wp:cNvGraphicFramePr>
              <a:graphicFrameLocks noChangeAspect="1"/>
            </wp:cNvGraphicFramePr>
            <a:graphic>
              <a:graphicData uri="http://schemas.openxmlformats.org/drawingml/2006/picture">
                <pic:pic>
                  <pic:nvPicPr>
                    <pic:cNvPr id="0" name="f4_roadmap.png"/>
                    <pic:cNvPicPr/>
                  </pic:nvPicPr>
                  <pic:blipFill>
                    <a:blip r:embed="rId12"/>
                    <a:stretch>
                      <a:fillRect/>
                    </a:stretch>
                  </pic:blipFill>
                  <pic:spPr>
                    <a:xfrm>
                      <a:off x="0" y="0"/>
                      <a:ext cx="5832000" cy="2542572"/>
                    </a:xfrm>
                    <a:prstGeom prst="rect"/>
                  </pic:spPr>
                </pic:pic>
              </a:graphicData>
            </a:graphic>
          </wp:inline>
        </w:drawing>
      </w:r>
    </w:p>
    <w:tbl>
      <w:tblPr>
        <w:tblW w:w="9639" w:type="dxa"/>
        <w:jc w:val="center"/>
        <w:tblLayout w:type="fixed"/>
        <w:tblLook w:firstColumn="1" w:firstRow="1" w:lastColumn="0" w:lastRow="0" w:noHBand="0" w:noVBand="1" w:val="04A0"/>
      </w:tblPr>
      <w:tblGrid>
        <w:gridCol w:w="1701"/>
        <w:gridCol w:w="907"/>
        <w:gridCol w:w="4082"/>
        <w:gridCol w:w="2948"/>
      </w:tblGrid>
      <w:tr>
        <w:trPr>
          <w:cantSplit/>
          <w:tblHeader/>
        </w:trPr>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Phase</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Months</w:t>
            </w:r>
          </w:p>
        </w:tc>
        <w:tc>
          <w:tcPr>
            <w:tcW w:type="dxa" w:w="408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Focus</w:t>
            </w:r>
          </w:p>
        </w:tc>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Exit criterion</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1 Foundations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0-3</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Operating model, rules, team, legal verification, regulator protocol</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Rules drafted; head appointed; Guidance Track live</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2 Soft launch</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3-6</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Guidance Track operating; pilot design; platform MVP; expert roster</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Three to four pilots designed with regulator owners</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3 Controlled launch</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6-9</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First pilots admitted and tested; monitoring; Express conditions drafted</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Mid-term review (month 9)</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4 Evaluate and extend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9-12</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Express pilot; prototyping pilot; first insights report; MoU discussions</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Annual report with KPI scorecard</w:t>
            </w:r>
          </w:p>
        </w:tc>
      </w:tr>
    </w:tbl>
    <w:p>
      <w:pPr>
        <w:spacing w:before="0" w:after="40" w:line="144" w:lineRule="auto"/>
      </w:pPr>
    </w:p>
    <w:p>
      <w:pPr>
        <w:pStyle w:val="Heading2"/>
      </w:pPr>
      <w:r>
        <w:rPr>
          <w:rFonts w:ascii="Calibri" w:hAnsi="Calibri" w:eastAsia="Calibri"/>
        </w:rPr>
        <w:t>8.3 Long-term development</w:t>
      </w:r>
    </w:p>
    <w:p>
      <w:pPr>
        <w:spacing w:before="0" w:after="80" w:line="259" w:lineRule="auto"/>
      </w:pPr>
      <w:r>
        <w:rPr>
          <w:rFonts w:ascii="Calibri" w:hAnsi="Calibri" w:eastAsia="Calibri"/>
          <w:sz w:val="18"/>
        </w:rPr>
        <w:t>After year one and subject to evidence: cross-border pilots under bilateral MoUs; recognition of partner regulators' test decisions; richer digital testing infrastructure; a standing advisory panel; and a regular regulatory-innovation programme for emerging technology. None should start before the first annual report shows demand, throughput and regulator cooperation.</w:t>
      </w:r>
    </w:p>
    <w:p>
      <w:pPr>
        <w:pStyle w:val="Heading2"/>
      </w:pPr>
      <w:r>
        <w:rPr>
          <w:rFonts w:ascii="Calibri" w:hAnsi="Calibri" w:eastAsia="Calibri"/>
        </w:rPr>
        <w:t>8.4 KPIs: fourteen measures of actual success</w:t>
      </w:r>
    </w:p>
    <w:p>
      <w:pPr>
        <w:spacing w:before="0" w:after="80" w:line="259" w:lineRule="auto"/>
      </w:pPr>
      <w:r>
        <w:rPr>
          <w:rFonts w:ascii="Calibri" w:hAnsi="Calibri" w:eastAsia="Calibri"/>
          <w:sz w:val="18"/>
        </w:rPr>
        <w:t>EUz has no baseline yet. Targets below are described by approach, and any numerical target should be labelled a management planning assumption until the first cohort provides data.</w:t>
      </w:r>
    </w:p>
    <w:p>
      <w:pPr>
        <w:pStyle w:val="ExhibitTitle"/>
      </w:pPr>
      <w:r>
        <w:rPr>
          <w:rFonts w:ascii="Calibri" w:hAnsi="Calibri" w:eastAsia="Calibri"/>
        </w:rPr>
        <w:t>Exhibit 24. KPI scorecard</w:t>
      </w:r>
    </w:p>
    <w:tbl>
      <w:tblPr>
        <w:tblW w:w="9639" w:type="dxa"/>
        <w:jc w:val="center"/>
        <w:tblLayout w:type="fixed"/>
        <w:tblLook w:firstColumn="1" w:firstRow="1" w:lastColumn="0" w:lastRow="0" w:noHBand="0" w:noVBand="1" w:val="04A0"/>
      </w:tblPr>
      <w:tblGrid>
        <w:gridCol w:w="1530"/>
        <w:gridCol w:w="2664"/>
        <w:gridCol w:w="1304"/>
        <w:gridCol w:w="1190"/>
        <w:gridCol w:w="793"/>
        <w:gridCol w:w="2154"/>
      </w:tblGrid>
      <w:tr>
        <w:trPr>
          <w:cantSplit/>
          <w:tblHeader/>
        </w:trPr>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KPI</w:t>
            </w:r>
          </w:p>
        </w:tc>
        <w:tc>
          <w:tcPr>
            <w:tcW w:type="dxa" w:w="266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Definition and measurement</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Data source</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Owner</w:t>
            </w:r>
          </w:p>
        </w:tc>
        <w:tc>
          <w:tcPr>
            <w:tcW w:type="dxa" w:w="7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Freq.</w:t>
            </w:r>
          </w:p>
        </w:tc>
        <w:tc>
          <w:tcPr>
            <w:tcW w:type="dxa" w:w="21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Target-setting approach</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Time to decision (Full)</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Median calendar days from complete application to Committee decision</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Platform timestamps</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Monthly</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Compare with published SLA; set after first ten decisions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Screening turnaround</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Share of applications screened within SLA</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Platform</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Monthly</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Planning-assumption SLA 10 WD</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Guidance response</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Share of guidance cases closed with a written position within SLA</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Regulatory counsel</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Set after first 20 cases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Pilots launched</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Number admitted that began testing</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Planning range three to four in year 1</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Completion rate</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Share of pilots finishing the term without termination</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Committee</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Per cohort</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Benchmark: none reliable; set after cohort 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6 Permanent-route conversion</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Share of exited participants holding a permanent route within 12 months of exit</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Exit survey; register</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Committee</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Annual</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Compare with MAS 15 of 19 as context only</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7 Regulatory issues resolved</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Documented uncertainties closed by position, consent or rule</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Position library</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Regulatory counsel</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Count; no target in year 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8 Rules improved</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Council-approved rule changes or guidance originating from tests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minutes</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Annual</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Count; aim that every pilot ends with a note</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9 Private investment</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Funds raised by participants in 24 months after admission (participant-reported, documented)</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Participant reports</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Business development</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Annual</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 only; no target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10 International companies attracted</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Participants and applicants headquartered outside Uzbekistan</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Application data</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Business development</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Set after demand test</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11 Cross-border experiments</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Completed multi-jurisdiction tests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International affairs</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Annual</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Zero expected in year 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12 Participant satisfaction</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Mean rating on a five-point scale after exit</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Survey</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Per cohort</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Trend over cohorts</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13 Cost and time savings</w:t>
            </w:r>
          </w:p>
        </w:tc>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Participant-estimated saving against baseline recorded at admission (label: estimate)</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Participant reports</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Per cohort</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 only; never extrapolate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14 Harm incidents</w:t>
            </w:r>
          </w:p>
        </w:tc>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Material incidents and stop-loss triggers per active pilot</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Incident log</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Risk lead</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Monthly</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Threshold set in risk framework</w:t>
            </w:r>
          </w:p>
        </w:tc>
      </w:tr>
    </w:tbl>
    <w:p>
      <w:pPr>
        <w:spacing w:before="0" w:after="40" w:line="144" w:lineRule="auto"/>
      </w:pPr>
    </w:p>
    <w:p>
      <w:pPr>
        <w:pStyle w:val="Heading2"/>
      </w:pPr>
      <w:r>
        <w:rPr>
          <w:rFonts w:ascii="Calibri" w:hAnsi="Calibri" w:eastAsia="Calibri"/>
        </w:rPr>
        <w:t>8.5 Management decision matrix</w:t>
      </w:r>
    </w:p>
    <w:p>
      <w:pPr>
        <w:pStyle w:val="ExhibitTitle"/>
      </w:pPr>
      <w:r>
        <w:rPr>
          <w:rFonts w:ascii="Calibri" w:hAnsi="Calibri" w:eastAsia="Calibri"/>
        </w:rPr>
        <w:t>Exhibit 25. Decisions required to launch the institution</w:t>
      </w:r>
    </w:p>
    <w:tbl>
      <w:tblPr>
        <w:tblW w:w="9639" w:type="dxa"/>
        <w:jc w:val="center"/>
        <w:tblLayout w:type="fixed"/>
        <w:tblLook w:firstColumn="1" w:firstRow="1" w:lastColumn="0" w:lastRow="0" w:noHBand="0" w:noVBand="1" w:val="04A0"/>
      </w:tblPr>
      <w:tblGrid>
        <w:gridCol w:w="510"/>
        <w:gridCol w:w="1701"/>
        <w:gridCol w:w="3005"/>
        <w:gridCol w:w="2041"/>
        <w:gridCol w:w="1360"/>
        <w:gridCol w:w="1020"/>
      </w:tblGrid>
      <w:tr>
        <w:trPr>
          <w:cantSplit/>
          <w:tblHeader/>
        </w:trPr>
        <w:tc>
          <w:tcPr>
            <w:tcW w:type="dxa" w:w="51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5"/>
              </w:rPr>
              <w:t>#</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Decision</w:t>
            </w:r>
          </w:p>
        </w:tc>
        <w:tc>
          <w:tcPr>
            <w:tcW w:type="dxa" w:w="300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Recommended option</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Alternatives considered</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Owner</w:t>
            </w:r>
          </w:p>
        </w:tc>
        <w:tc>
          <w:tcPr>
            <w:tcW w:type="dxa" w:w="102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By</w:t>
            </w:r>
          </w:p>
        </w:tc>
      </w:tr>
      <w:tr>
        <w:trPr>
          <w:cantSplit/>
        </w:trPr>
        <w:tc>
          <w:tcPr>
            <w:tcW w:type="dxa" w:w="51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D1</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Operating model and track sequencing</w:t>
            </w:r>
          </w:p>
        </w:tc>
        <w:tc>
          <w:tcPr>
            <w:tcW w:type="dxa" w:w="300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Two tracks at launch; Express after month 6; Prototyping after month 9; Cross-border year 2</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All five tracks at launch; financial-only scope</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w:t>
            </w:r>
          </w:p>
        </w:tc>
        <w:tc>
          <w:tcPr>
            <w:tcW w:type="dxa" w:w="102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Day 30</w:t>
            </w:r>
          </w:p>
        </w:tc>
      </w:tr>
      <w:tr>
        <w:trPr>
          <w:cantSplit/>
        </w:trPr>
        <w:tc>
          <w:tcPr>
            <w:tcW w:type="dxa" w:w="51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D2</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Admission authority</w:t>
            </w:r>
          </w:p>
        </w:tc>
        <w:tc>
          <w:tcPr>
            <w:tcW w:type="dxa" w:w="300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Delegate to Sandbox Committee if counsel confirms; otherwise Council on a written procedure</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Council decides every case</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Council</w:t>
            </w:r>
          </w:p>
        </w:tc>
        <w:tc>
          <w:tcPr>
            <w:tcW w:type="dxa" w:w="102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Day 30</w:t>
            </w:r>
          </w:p>
        </w:tc>
      </w:tr>
      <w:tr>
        <w:trPr>
          <w:cantSplit/>
        </w:trPr>
        <w:tc>
          <w:tcPr>
            <w:tcW w:type="dxa" w:w="51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D3</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Secretariat and budget</w:t>
            </w:r>
          </w:p>
        </w:tc>
        <w:tc>
          <w:tcPr>
            <w:tcW w:type="dxa" w:w="300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Named head and core team of about six; budget to be sized</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Outsource the function; part-time unit</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Executive Director</w:t>
            </w:r>
          </w:p>
        </w:tc>
        <w:tc>
          <w:tcPr>
            <w:tcW w:type="dxa" w:w="102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Day 45</w:t>
            </w:r>
          </w:p>
        </w:tc>
      </w:tr>
      <w:tr>
        <w:trPr>
          <w:cantSplit/>
        </w:trPr>
        <w:tc>
          <w:tcPr>
            <w:tcW w:type="dxa" w:w="51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D4</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Legal verification and rules</w:t>
            </w:r>
          </w:p>
        </w:tc>
        <w:tc>
          <w:tcPr>
            <w:tcW w:type="dxa" w:w="300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Counsel reads official texts, then drafts Sandbox Rules</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Draft rules first and check later</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General Counsel</w:t>
            </w:r>
          </w:p>
        </w:tc>
        <w:tc>
          <w:tcPr>
            <w:tcW w:type="dxa" w:w="102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Day 20</w:t>
            </w:r>
          </w:p>
        </w:tc>
      </w:tr>
      <w:tr>
        <w:trPr>
          <w:cantSplit/>
        </w:trPr>
        <w:tc>
          <w:tcPr>
            <w:tcW w:type="dxa" w:w="51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D5</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Safeguards and non-waivable list</w:t>
            </w:r>
          </w:p>
        </w:tc>
        <w:tc>
          <w:tcPr>
            <w:tcW w:type="dxa" w:w="300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Caps, disclosure, redress, stop-loss, incident rule on every test</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Case-by-case safeguards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w:t>
            </w:r>
          </w:p>
        </w:tc>
        <w:tc>
          <w:tcPr>
            <w:tcW w:type="dxa" w:w="102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Day 60</w:t>
            </w:r>
          </w:p>
        </w:tc>
      </w:tr>
      <w:tr>
        <w:trPr>
          <w:cantSplit/>
        </w:trPr>
        <w:tc>
          <w:tcPr>
            <w:tcW w:type="dxa" w:w="51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D6</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Pilot portfolio</w:t>
            </w:r>
          </w:p>
        </w:tc>
        <w:tc>
          <w:tcPr>
            <w:tcW w:type="dxa" w:w="300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Four pilots P1-P4 with named regulator owners</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Wider portfolio; single flagship pilot</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Sandbox head; Committee</w:t>
            </w:r>
          </w:p>
        </w:tc>
        <w:tc>
          <w:tcPr>
            <w:tcW w:type="dxa" w:w="102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Day 75</w:t>
            </w:r>
          </w:p>
        </w:tc>
      </w:tr>
      <w:tr>
        <w:trPr>
          <w:cantSplit/>
        </w:trPr>
        <w:tc>
          <w:tcPr>
            <w:tcW w:type="dxa" w:w="51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D7</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Digital platform</w:t>
            </w:r>
          </w:p>
        </w:tc>
        <w:tc>
          <w:tcPr>
            <w:tcW w:type="dxa" w:w="300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Minimum viable platform; open tender; synthetic data first</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Build full platform; no platform</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Platform lead</w:t>
            </w:r>
          </w:p>
        </w:tc>
        <w:tc>
          <w:tcPr>
            <w:tcW w:type="dxa" w:w="102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Day 60</w:t>
            </w:r>
          </w:p>
        </w:tc>
      </w:tr>
      <w:tr>
        <w:trPr>
          <w:cantSplit/>
        </w:trPr>
        <w:tc>
          <w:tcPr>
            <w:tcW w:type="dxa" w:w="51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D8</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partner scope</w:t>
            </w:r>
          </w:p>
        </w:tc>
        <w:tc>
          <w:tcPr>
            <w:tcW w:type="dxa" w:w="300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WEF for convening and peer review; direct regulator MoUs; counsel for drafting</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WEF as design lead; no partner</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affairs</w:t>
            </w:r>
          </w:p>
        </w:tc>
        <w:tc>
          <w:tcPr>
            <w:tcW w:type="dxa" w:w="102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Day 75</w:t>
            </w:r>
          </w:p>
        </w:tc>
      </w:tr>
      <w:tr>
        <w:trPr>
          <w:cantSplit/>
        </w:trPr>
        <w:tc>
          <w:tcPr>
            <w:tcW w:type="dxa" w:w="51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D9</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Publication policy</w:t>
            </w:r>
          </w:p>
        </w:tc>
        <w:tc>
          <w:tcPr>
            <w:tcW w:type="dxa" w:w="300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Publish SLAs, attainment, case register (anonymised), exit and insight reports</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Publish annual summary only</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w:t>
            </w:r>
          </w:p>
        </w:tc>
        <w:tc>
          <w:tcPr>
            <w:tcW w:type="dxa" w:w="102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Day 60</w:t>
            </w:r>
          </w:p>
        </w:tc>
      </w:tr>
      <w:tr>
        <w:trPr>
          <w:cantSplit/>
        </w:trPr>
        <w:tc>
          <w:tcPr>
            <w:tcW w:type="dxa" w:w="51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5"/>
              </w:rPr>
              <w:t>D10</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KPI framework</w:t>
            </w:r>
          </w:p>
        </w:tc>
        <w:tc>
          <w:tcPr>
            <w:tcW w:type="dxa" w:w="300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Adopt Section 8.4 scorecard; baselines after cohort 1</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Targets fixed now</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Executive Director</w:t>
            </w:r>
          </w:p>
        </w:tc>
        <w:tc>
          <w:tcPr>
            <w:tcW w:type="dxa" w:w="102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Day 75</w:t>
            </w:r>
          </w:p>
        </w:tc>
      </w:tr>
    </w:tbl>
    <w:p>
      <w:pPr>
        <w:spacing w:before="0" w:after="40" w:line="144" w:lineRule="auto"/>
      </w:pPr>
    </w:p>
    <w:p>
      <w:pPr>
        <w:pStyle w:val="Heading1"/>
        <w:pageBreakBefore/>
        <w:pBdr>
          <w:bottom w:val="single" w:sz="12" w:space="3" w:color="009162"/>
        </w:pBdr>
      </w:pPr>
      <w:r>
        <w:rPr>
          <w:rFonts w:ascii="Calibri" w:hAnsi="Calibri" w:eastAsia="Calibri"/>
        </w:rPr>
        <w:t>Annex A. Extended benchmarking matrix</w:t>
      </w:r>
    </w:p>
    <w:p>
      <w:pPr>
        <w:spacing w:before="0" w:after="80" w:line="259" w:lineRule="auto"/>
      </w:pPr>
      <w:r>
        <w:rPr>
          <w:rFonts w:ascii="Calibri" w:hAnsi="Calibri" w:eastAsia="Calibri"/>
          <w:sz w:val="18"/>
        </w:rPr>
        <w:t xml:space="preserve">Status: </w:t>
      </w:r>
      <w:r>
        <w:rPr>
          <w:rFonts w:ascii="Calibri" w:hAnsi="Calibri" w:eastAsia="Calibri"/>
          <w:b/>
          <w:sz w:val="18"/>
        </w:rPr>
        <w:t>L</w:t>
      </w:r>
      <w:r>
        <w:rPr>
          <w:rFonts w:ascii="Calibri" w:hAnsi="Calibri" w:eastAsia="Calibri"/>
          <w:sz w:val="18"/>
        </w:rPr>
        <w:t xml:space="preserve"> = legally established; </w:t>
      </w:r>
      <w:r>
        <w:rPr>
          <w:rFonts w:ascii="Calibri" w:hAnsi="Calibri" w:eastAsia="Calibri"/>
          <w:b/>
          <w:sz w:val="18"/>
        </w:rPr>
        <w:t>O</w:t>
      </w:r>
      <w:r>
        <w:rPr>
          <w:rFonts w:ascii="Calibri" w:hAnsi="Calibri" w:eastAsia="Calibri"/>
          <w:sz w:val="18"/>
        </w:rPr>
        <w:t xml:space="preserve"> = operational; </w:t>
      </w:r>
      <w:r>
        <w:rPr>
          <w:rFonts w:ascii="Calibri" w:hAnsi="Calibri" w:eastAsia="Calibri"/>
          <w:b/>
          <w:sz w:val="18"/>
        </w:rPr>
        <w:t>A</w:t>
      </w:r>
      <w:r>
        <w:rPr>
          <w:rFonts w:ascii="Calibri" w:hAnsi="Calibri" w:eastAsia="Calibri"/>
          <w:sz w:val="18"/>
        </w:rPr>
        <w:t xml:space="preserve"> = announced. All figures as reported by the cited source, primary page not opened. "Not verified" = no figure found.</w:t>
      </w:r>
    </w:p>
    <w:tbl>
      <w:tblPr>
        <w:tblW w:w="9639" w:type="dxa"/>
        <w:jc w:val="center"/>
        <w:tblLayout w:type="fixed"/>
        <w:tblLook w:firstColumn="1" w:firstRow="1" w:lastColumn="0" w:lastRow="0" w:noHBand="0" w:noVBand="1" w:val="04A0"/>
      </w:tblPr>
      <w:tblGrid>
        <w:gridCol w:w="2097"/>
        <w:gridCol w:w="1134"/>
        <w:gridCol w:w="1247"/>
        <w:gridCol w:w="4422"/>
        <w:gridCol w:w="737"/>
      </w:tblGrid>
      <w:tr>
        <w:trPr>
          <w:cantSplit/>
          <w:tblHeader/>
        </w:trPr>
        <w:tc>
          <w:tcPr>
            <w:tcW w:type="dxa" w:w="209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Programme</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Launch</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Status</w:t>
            </w:r>
          </w:p>
        </w:tc>
        <w:tc>
          <w:tcPr>
            <w:tcW w:type="dxa" w:w="442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Documented figures and notes</w:t>
            </w:r>
          </w:p>
        </w:tc>
        <w:tc>
          <w:tcPr>
            <w:tcW w:type="dxa" w:w="73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Src</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FCA Sandbox</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629 applied, 172 accepted to Dec 2023; AI Live Testing cohort 1 Dec 2025 (outcomes pending)</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 S3 S33</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FCA Digital Sandbox</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2020</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 (pilots)</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28 organisations in two pilots; permanent status not verified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S4</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ICO Sandbox</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10 chosen of about 64-65; statutory option found feasible (S, Jul 2026)</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Ofgem Sandbox</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2016-17</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Window 1: 30 EOIs, 3 sandboxes, 22 feedback only; later counts not verified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S6</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Singapore MAS Sandbox, Express, Plus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 2019; 2022</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15 of 19 graduated; median about 3 months; Plus 0 approvals; Express target 21 days</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S7-S9</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UAE ADGM RegLab</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2016</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26 admitted of 69 to Sep 2018; later not verified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S13</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UAE DFSA ITL</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105 applicants, 51 accepted, 3 exited (Jun 2021); 130 and 67 hosted (Jul 2022)</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S14</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WEF-UAE TradeTech</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2024</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 (report issued)</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8 start-ups, 4 UAE regulators (P); outcomes not verified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S10 S11</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GFIN cross-border pilot</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2018-20</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 (concluded)</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44 applications, 17 regulators, 8 shortlisted, none tested</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S15</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European Blockchain Sandbox</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2023</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 (2023-26)</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87 applied, 20 admitted, &gt;50 regulators (cohort 1); 60 use cases overall</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S17</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EU AI Act sandboxes (Arts 57-59)</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Law 2024</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 deadline moved to 2 Aug 2027 (S)</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Spain pilot closed 12 Jun 2026: 11 systems completed (12 selected of 44 per secondary sources); implementing act not verified</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S18 S19</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Japan cross-sector sandbox</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 (permanent 2021)</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33 plans, 152 entities, Mar 2025; reform count not verified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S20</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HKMA FSS and GenAI sandbox</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 2024</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FSS 234 initiatives to end-2021; GenAI 15, 27, 36 use cases</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S21</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Saudi SAMA sandbox</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45 permitted, 18 graduated (May 2023); 25 operating (Sep 2025, stock)</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S22</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South Korea financial sandbox</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&gt;300 designations (Mar 2024) vs 1,072 (Jun 2026 press): unreconciled</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S23</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South Korea ICT convergence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2019: 278 received, 195 approved; applications fell 110 to 67 over two years (S)</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S23</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Australia ASIC enhanced sandbox</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2020</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103 applied, 19 accepted; 1 licence among 16 exits (press account of review)</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S24</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Canada CSA / OSC LaunchPad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Participant counts not verified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Bahrain CBB sandbox</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About 35 admitted, 2 graduates (2019 reports); newer data not verified</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S25</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Qatar QCB sandbox</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2024 (BNPL)</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First BNPL cohort 5 firms (Apr 2024); QFC counts not verified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S35</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AIFC (Kazakhstan) FinTech Lab</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n/v</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First graduate to full licence reported 2022; totals not verified</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S36</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Uzbekistan Central Bank sandbox</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Reg. 3391, Oct 2022</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 update announced</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Up to three years; three-track draft; upgrade planned 2026-27 (S)</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S29</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Uzbekistan capital-markets sandbox</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PQ-255, Oct 2025</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 Oct 2025 to 1 Oct 2026; five firms added Jun 2026 (S)</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S30</w:t>
            </w:r>
          </w:p>
        </w:tc>
      </w:tr>
      <w:tr>
        <w:trPr>
          <w:cantSplit/>
        </w:trPr>
        <w:tc>
          <w:tcPr>
            <w:tcW w:type="dxa" w:w="209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Uzbekistan Cabinet regulatory sandbox regime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Nov 2023</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 (reported)</w:t>
            </w:r>
          </w:p>
        </w:tc>
        <w:tc>
          <w:tcPr>
            <w:tcW w:type="dxa" w:w="442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Procedure and temporary regulation for legal-entity businesses testing technology-based goods and services; ministries named include digital, transport, investment, industry and trade, agriculture and construction (S; text not read)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S37</w:t>
            </w:r>
          </w:p>
        </w:tc>
      </w:tr>
      <w:tr>
        <w:trPr>
          <w:cantSplit/>
        </w:trPr>
        <w:tc>
          <w:tcPr>
            <w:tcW w:type="dxa" w:w="209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Uzbekistan Law on Legal Experiments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27 Mar 2026</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 (reported)</w:t>
            </w:r>
          </w:p>
        </w:tc>
        <w:tc>
          <w:tcPr>
            <w:tcW w:type="dxa" w:w="442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Legal experiments of 6 months to 3 years, with a unified register; may not restrict constitutional rights (S; text not read)</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S38</w:t>
            </w:r>
          </w:p>
        </w:tc>
      </w:tr>
    </w:tbl>
    <w:p>
      <w:pPr>
        <w:spacing w:before="0" w:after="40" w:line="144" w:lineRule="auto"/>
      </w:pPr>
    </w:p>
    <w:p>
      <w:pPr>
        <w:pStyle w:val="Heading1"/>
        <w:pBdr>
          <w:bottom w:val="single" w:sz="12" w:space="3" w:color="009162"/>
        </w:pBdr>
      </w:pPr>
      <w:r>
        <w:rPr>
          <w:rFonts w:ascii="Calibri" w:hAnsi="Calibri" w:eastAsia="Calibri"/>
        </w:rPr>
        <w:t>Annex B. Unreconciled and unverified data points</w:t>
      </w:r>
    </w:p>
    <w:tbl>
      <w:tblPr>
        <w:tblW w:w="9639" w:type="dxa"/>
        <w:jc w:val="center"/>
        <w:tblLayout w:type="fixed"/>
        <w:tblLook w:firstColumn="1" w:firstRow="1" w:lastColumn="0" w:lastRow="0" w:noHBand="0" w:noVBand="1" w:val="04A0"/>
      </w:tblPr>
      <w:tblGrid>
        <w:gridCol w:w="2608"/>
        <w:gridCol w:w="4649"/>
        <w:gridCol w:w="2381"/>
      </w:tblGrid>
      <w:tr>
        <w:trPr>
          <w:cantSplit/>
          <w:tblHeader/>
        </w:trPr>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Item</w:t>
            </w:r>
          </w:p>
        </w:tc>
        <w:tc>
          <w:tcPr>
            <w:tcW w:type="dxa" w:w="464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Conflict or gap</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Treatment</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FCA per-cohort figures</w:t>
            </w:r>
          </w:p>
        </w:tc>
        <w:tc>
          <w:tcPr>
            <w:tcW w:type="dxa" w:w="464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Counts differ across sources (e.g. cohort 1: 69 applications / 24 accepted vs other splits; Deloitte split does not match the FCA's 50 accepted)</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Only FCA 2017 report totals and FCA FOI totals used</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MAS 19 accepted</w:t>
            </w:r>
          </w:p>
        </w:tc>
        <w:tc>
          <w:tcPr>
            <w:tcW w:type="dxa" w:w="464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Unclear whether the figure spans standard, Express and Plus</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Quoted with that caveat</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TradeTech regulators</w:t>
            </w:r>
          </w:p>
        </w:tc>
        <w:tc>
          <w:tcPr>
            <w:tcW w:type="dxa" w:w="464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WEF Oct 2025 says 4; a later WEF report lists more bodies</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Both shown; flagged</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Spain AI sandbox</w:t>
            </w:r>
          </w:p>
        </w:tc>
        <w:tc>
          <w:tcPr>
            <w:tcW w:type="dxa" w:w="464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11 completed (official release) vs 12 selected from 44 (secondary)</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Both shown; flagged</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Korea designations</w:t>
            </w:r>
          </w:p>
        </w:tc>
        <w:tc>
          <w:tcPr>
            <w:tcW w:type="dxa" w:w="464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&gt;300 (FSC, Mar 2024) vs 1,072 (press, Jun 2026)</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Both shown; not used as headline</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Dates of EU AI Omnibus</w:t>
            </w:r>
          </w:p>
        </w:tc>
        <w:tc>
          <w:tcPr>
            <w:tcW w:type="dxa" w:w="464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Law-firm notes give publication 24 Jul 2026 and Regulation (EU) 2026/1744; not confirmed in EUR-Lex</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Described as secondary-source</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Constitutional Law signing date</w:t>
            </w:r>
          </w:p>
        </w:tc>
        <w:tc>
          <w:tcPr>
            <w:tcW w:type="dxa" w:w="464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Reported as 16, 19 and 21 August 2026; number not found</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Month only; entry into force 21 Jan 2027 is press-reported</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Tax and court details</w:t>
            </w:r>
          </w:p>
        </w:tc>
        <w:tc>
          <w:tcPr>
            <w:tcW w:type="dxa" w:w="464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Personal income tax 7% vs 7.5%; separate opt-in court (2025) vs Tashkent International Commercial Court (2026)</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 relied upon</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BIS WP 901 authorship</w:t>
            </w:r>
          </w:p>
        </w:tc>
        <w:tc>
          <w:tcPr>
            <w:tcW w:type="dxa" w:w="464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Authors are Cornelli, Doerr, Gambacorta and Merrouche (the research brief named different authors)</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Corrected in citations</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Post-2018 ADGM; post-2022 DFSA; Canada; QFC; AIFC totals; HKMA FSS after 2021; Japan reform count; GRIP outputs; MLETR enactments</w:t>
            </w:r>
          </w:p>
        </w:tc>
        <w:tc>
          <w:tcPr>
            <w:tcW w:type="dxa" w:w="464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 reliable figure found</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Marked "Not verified"</w:t>
            </w:r>
          </w:p>
        </w:tc>
      </w:tr>
    </w:tbl>
    <w:p>
      <w:pPr>
        <w:spacing w:before="0" w:after="40" w:line="144" w:lineRule="auto"/>
      </w:pPr>
    </w:p>
    <w:p>
      <w:pPr>
        <w:pStyle w:val="Heading1"/>
        <w:pBdr>
          <w:bottom w:val="single" w:sz="12" w:space="3" w:color="009162"/>
        </w:pBdr>
      </w:pPr>
      <w:r>
        <w:rPr>
          <w:rFonts w:ascii="Calibri" w:hAnsi="Calibri" w:eastAsia="Calibri"/>
        </w:rPr>
        <w:t>Annex C. Legal references and verification status</w:t>
      </w:r>
    </w:p>
    <w:tbl>
      <w:tblPr>
        <w:tblW w:w="9639" w:type="dxa"/>
        <w:jc w:val="center"/>
        <w:tblLayout w:type="fixed"/>
        <w:tblLook w:firstColumn="1" w:firstRow="1" w:lastColumn="0" w:lastRow="0" w:noHBand="0" w:noVBand="1" w:val="04A0"/>
      </w:tblPr>
      <w:tblGrid>
        <w:gridCol w:w="2948"/>
        <w:gridCol w:w="4082"/>
        <w:gridCol w:w="2608"/>
      </w:tblGrid>
      <w:tr>
        <w:trPr>
          <w:cantSplit/>
          <w:tblHeader/>
        </w:trPr>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Instrument</w:t>
            </w:r>
          </w:p>
        </w:tc>
        <w:tc>
          <w:tcPr>
            <w:tcW w:type="dxa" w:w="408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is reported</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Status in this research</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Presidential Decree UP-233, 26 Nov 2025, "On organisation of the activity of the International Centre for Digital Technologies"</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Listed on lex.uz (title, date, number); press says it set up Enterprise Uzbekistan on English and Welsh common law principles [S28][S27]</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Listing seen in search; </w:t>
            </w:r>
            <w:r>
              <w:rPr>
                <w:rFonts w:ascii="Calibri" w:hAnsi="Calibri" w:eastAsia="Calibri"/>
                <w:b/>
                <w:color w:val="39393B"/>
                <w:sz w:val="15"/>
              </w:rPr>
              <w:t>text not read</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Constitutional Law on the International Centre for Digital Technologies</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Press: Senate approval 7 Aug 2026; signed Aug 2026; in force 21 Jan 2027; special regime to 2100; sandbox of up to 12 months, temporary exemptions, simplified licensing [S27]</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Press only; </w:t>
            </w:r>
            <w:r>
              <w:rPr>
                <w:rFonts w:ascii="Calibri" w:hAnsi="Calibri" w:eastAsia="Calibri"/>
                <w:b/>
                <w:color w:val="39393B"/>
                <w:sz w:val="15"/>
              </w:rPr>
              <w:t>official text and number not found</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Tashkent International Financial Centre law LRU-1158 (13 Jul 2026)</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 separate law for a different centre</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 to be conflated</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EUz working files (Registrar map)</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Article map: Art. 15-17 Council; 22-23 residents; 39-43 sandbox; 66-70 services; 74-75 AI; 78-79 enforcement; Operating Regulations dated 31 Aug 2026 [S31]</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Draft, unverified</w:t>
            </w:r>
          </w:p>
        </w:tc>
      </w:tr>
      <w:tr>
        <w:trPr>
          <w:cantSplit/>
        </w:trPr>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Central Bank Regulation 3391 (4 Oct 2022); PQ-255; PP-359 (27 Nov 2025); UP-35 (5 Mar 2026, pharma sandbox)</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Existing national sandbox and pilot regimes [S29][S30]</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Press and law-firm reports; not read</w:t>
            </w:r>
          </w:p>
        </w:tc>
      </w:tr>
      <w:tr>
        <w:trPr>
          <w:cantSplit/>
        </w:trPr>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Cabinet of Ministers decision on regulatory sandbox for businesses (Nov 2023); Law on Legal Experiments (27 Mar 2026)</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Press: a Cabinet regime for testing technology-based goods and services, and a general law on legal experiments with a unified register [S37][S38]</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Press only; </w:t>
            </w:r>
            <w:r>
              <w:rPr>
                <w:rFonts w:ascii="Calibri" w:hAnsi="Calibri" w:eastAsia="Calibri"/>
                <w:b/>
                <w:color w:val="39393B"/>
                <w:sz w:val="15"/>
              </w:rPr>
              <w:t>texts and numbers not read</w:t>
            </w:r>
            <w:r>
              <w:rPr>
                <w:rFonts w:ascii="Calibri" w:hAnsi="Calibri" w:eastAsia="Calibri"/>
                <w:color w:val="39393B"/>
                <w:sz w:val="15"/>
              </w:rPr>
              <w:t>; relation to EUz not established</w:t>
            </w:r>
          </w:p>
        </w:tc>
      </w:tr>
    </w:tbl>
    <w:p>
      <w:pPr>
        <w:spacing w:before="0" w:after="40" w:line="144" w:lineRule="auto"/>
      </w:pPr>
    </w:p>
    <w:p>
      <w:pPr>
        <w:spacing w:before="0" w:after="80" w:line="259" w:lineRule="auto"/>
      </w:pPr>
      <w:r>
        <w:rPr>
          <w:rFonts w:ascii="Calibri" w:hAnsi="Calibri" w:eastAsia="Calibri"/>
          <w:sz w:val="18"/>
        </w:rPr>
        <w:t xml:space="preserve">Legally confirmed EUz powers: </w:t>
      </w:r>
      <w:r>
        <w:rPr>
          <w:rFonts w:ascii="Calibri" w:hAnsi="Calibri" w:eastAsia="Calibri"/>
          <w:b/>
          <w:sz w:val="18"/>
        </w:rPr>
        <w:t>none confirmed in this research.</w:t>
      </w:r>
      <w:r>
        <w:rPr>
          <w:rFonts w:ascii="Calibri" w:hAnsi="Calibri" w:eastAsia="Calibri"/>
          <w:sz w:val="18"/>
        </w:rPr>
        <w:t xml:space="preserve"> Powers requiring secondary regulation (reported): registration, licensing, sandbox procedures. Activities needing national-regulator approval (EUz working files): financial-product testing. Mechanisms that may need amendment: cross-border tests, Regulation Prototyping beyond EUz's own rules.</w:t>
      </w:r>
    </w:p>
    <w:p>
      <w:pPr>
        <w:pStyle w:val="Heading1"/>
        <w:pBdr>
          <w:bottom w:val="single" w:sz="12" w:space="3" w:color="009162"/>
        </w:pBdr>
      </w:pPr>
      <w:r>
        <w:rPr>
          <w:rFonts w:ascii="Calibri" w:hAnsi="Calibri" w:eastAsia="Calibri"/>
        </w:rPr>
        <w:t>Annex D. Verification plan before external use</w:t>
      </w:r>
    </w:p>
    <w:p>
      <w:pPr>
        <w:numPr>
          <w:ilvl w:val="0"/>
          <w:numId w:val="103"/>
        </w:numPr>
        <w:spacing w:before="0" w:after="40" w:line="259" w:lineRule="auto"/>
      </w:pPr>
      <w:r>
        <w:rPr>
          <w:rFonts w:ascii="Calibri" w:hAnsi="Calibri" w:eastAsia="Calibri"/>
          <w:sz w:val="18"/>
        </w:rPr>
        <w:t>Open and read lex.uz texts of UP-233 and the Constitutional Law; confirm Art. 39-43, the 12-month term, Council powers of delegation and the Registrar's role; check how EUz tests relate to the national Law on Legal Experiments (2026); update Section 5.6.</w:t>
      </w:r>
    </w:p>
    <w:p>
      <w:pPr>
        <w:numPr>
          <w:ilvl w:val="0"/>
          <w:numId w:val="103"/>
        </w:numPr>
        <w:spacing w:before="0" w:after="40" w:line="259" w:lineRule="auto"/>
      </w:pPr>
      <w:r>
        <w:rPr>
          <w:rFonts w:ascii="Calibri" w:hAnsi="Calibri" w:eastAsia="Calibri"/>
          <w:sz w:val="18"/>
        </w:rPr>
        <w:t>Open each primary source for figures quoted in headline tiles and the scorecard: MAS reply (S7), FCA reports and FOI (S1, S3), BIS WP 901 (S2), GFIN report (S15), HKMA releases (S21), WEF report (S11).</w:t>
      </w:r>
    </w:p>
    <w:p>
      <w:pPr>
        <w:numPr>
          <w:ilvl w:val="0"/>
          <w:numId w:val="103"/>
        </w:numPr>
        <w:spacing w:before="0" w:after="40" w:line="259" w:lineRule="auto"/>
      </w:pPr>
      <w:r>
        <w:rPr>
          <w:rFonts w:ascii="Calibri" w:hAnsi="Calibri" w:eastAsia="Calibri"/>
          <w:sz w:val="18"/>
        </w:rPr>
        <w:t>Reconcile the items in Annex B; where a conflict persists, drop the figure from external materials.</w:t>
      </w:r>
    </w:p>
    <w:p>
      <w:pPr>
        <w:numPr>
          <w:ilvl w:val="0"/>
          <w:numId w:val="103"/>
        </w:numPr>
        <w:spacing w:before="0" w:after="40" w:line="259" w:lineRule="auto"/>
      </w:pPr>
      <w:r>
        <w:rPr>
          <w:rFonts w:ascii="Calibri" w:hAnsi="Calibri" w:eastAsia="Calibri"/>
          <w:sz w:val="18"/>
        </w:rPr>
        <w:t>Check EUR-Lex for the AI Omnibus number and dates, and for the sandbox implementing act.</w:t>
      </w:r>
    </w:p>
    <w:p>
      <w:pPr>
        <w:numPr>
          <w:ilvl w:val="0"/>
          <w:numId w:val="103"/>
        </w:numPr>
        <w:spacing w:before="0" w:after="40" w:line="259" w:lineRule="auto"/>
      </w:pPr>
      <w:r>
        <w:rPr>
          <w:rFonts w:ascii="Calibri" w:hAnsi="Calibri" w:eastAsia="Calibri"/>
          <w:sz w:val="18"/>
        </w:rPr>
        <w:t>Obtain GRIP terms and any fee model from WEF in writing; request per-participant TradeTech outcomes.</w:t>
      </w:r>
    </w:p>
    <w:p>
      <w:pPr>
        <w:numPr>
          <w:ilvl w:val="0"/>
          <w:numId w:val="103"/>
        </w:numPr>
        <w:spacing w:before="0" w:after="40" w:line="259" w:lineRule="auto"/>
      </w:pPr>
      <w:r>
        <w:rPr>
          <w:rFonts w:ascii="Calibri" w:hAnsi="Calibri" w:eastAsia="Calibri"/>
          <w:sz w:val="18"/>
        </w:rPr>
        <w:t>Complete the demand test (Action 10) before the proposition in Section 5.4 is used in marketing.</w:t>
      </w:r>
    </w:p>
    <w:p>
      <w:pPr>
        <w:pStyle w:val="Heading1"/>
        <w:pageBreakBefore/>
        <w:pBdr>
          <w:bottom w:val="single" w:sz="12" w:space="3" w:color="009162"/>
        </w:pBdr>
      </w:pPr>
      <w:r>
        <w:rPr>
          <w:rFonts w:ascii="Calibri" w:hAnsi="Calibri" w:eastAsia="Calibri"/>
        </w:rPr>
        <w:t>Annex E. Bibliography</w:t>
      </w:r>
    </w:p>
    <w:p>
      <w:pPr>
        <w:spacing w:before="0" w:after="80" w:line="259" w:lineRule="auto"/>
      </w:pPr>
      <w:r>
        <w:rPr>
          <w:rFonts w:ascii="Calibri" w:hAnsi="Calibri" w:eastAsia="Calibri"/>
          <w:sz w:val="17"/>
        </w:rPr>
        <w:t>Codes match citations in the text. URLs are the primary or cited pages; none was opened in full during this research (see evidence-status note).</w:t>
      </w:r>
    </w:p>
    <w:p>
      <w:pPr>
        <w:spacing w:before="0" w:after="50" w:line="240" w:lineRule="auto"/>
        <w:ind w:left="567" w:hanging="567"/>
      </w:pPr>
      <w:r>
        <w:rPr>
          <w:rFonts w:ascii="Calibri" w:hAnsi="Calibri" w:eastAsia="Calibri"/>
          <w:b/>
          <w:color w:val="009162"/>
          <w:sz w:val="16"/>
        </w:rPr>
        <w:t xml:space="preserve">[S1]  </w:t>
      </w:r>
      <w:r>
        <w:rPr>
          <w:rFonts w:ascii="Calibri" w:hAnsi="Calibri" w:eastAsia="Calibri"/>
          <w:sz w:val="16"/>
        </w:rPr>
        <w:t xml:space="preserve">FCA, Regulatory sandbox lessons learned report (Oct 2017). </w:t>
      </w:r>
      <w:hyperlink r:id="rId13">
        <w:r>
          <w:rPr>
            <w:rFonts w:ascii="Calibri" w:hAnsi="Calibri"/>
            <w:color w:val="175C58"/>
            <w:u w:val="single"/>
            <w:sz w:val="15"/>
          </w:rPr>
          <w:t xml:space="preserve">https://www.fca.org.uk/publication/research-and-data/regulatory-sandbox-lessons-learned-report.pdf</w:t>
        </w:r>
      </w:hyperlink>
    </w:p>
    <w:p>
      <w:pPr>
        <w:spacing w:before="0" w:after="50" w:line="240" w:lineRule="auto"/>
        <w:ind w:left="567" w:hanging="567"/>
      </w:pPr>
      <w:r>
        <w:rPr>
          <w:rFonts w:ascii="Calibri" w:hAnsi="Calibri" w:eastAsia="Calibri"/>
          <w:b/>
          <w:color w:val="009162"/>
          <w:sz w:val="16"/>
        </w:rPr>
        <w:t xml:space="preserve">[S2]  </w:t>
      </w:r>
      <w:r>
        <w:rPr>
          <w:rFonts w:ascii="Calibri" w:hAnsi="Calibri" w:eastAsia="Calibri"/>
          <w:sz w:val="16"/>
        </w:rPr>
        <w:t xml:space="preserve">Cornelli, Doerr, Gambacorta, Merrouche, Regulatory sandboxes and fintech funding: evidence from the UK, BIS Working Paper 901; Review of Finance 28(1), 2024. </w:t>
      </w:r>
      <w:hyperlink r:id="rId14">
        <w:r>
          <w:rPr>
            <w:rFonts w:ascii="Calibri" w:hAnsi="Calibri"/>
            <w:color w:val="175C58"/>
            <w:u w:val="single"/>
            <w:sz w:val="15"/>
          </w:rPr>
          <w:t xml:space="preserve">https://www.bis.org/publ/work901.pdf</w:t>
        </w:r>
      </w:hyperlink>
    </w:p>
    <w:p>
      <w:pPr>
        <w:spacing w:before="0" w:after="50" w:line="240" w:lineRule="auto"/>
        <w:ind w:left="567" w:hanging="567"/>
      </w:pPr>
      <w:r>
        <w:rPr>
          <w:rFonts w:ascii="Calibri" w:hAnsi="Calibri" w:eastAsia="Calibri"/>
          <w:b/>
          <w:color w:val="009162"/>
          <w:sz w:val="16"/>
        </w:rPr>
        <w:t xml:space="preserve">[S3]  </w:t>
      </w:r>
      <w:r>
        <w:rPr>
          <w:rFonts w:ascii="Calibri" w:hAnsi="Calibri" w:eastAsia="Calibri"/>
          <w:sz w:val="16"/>
        </w:rPr>
        <w:t xml:space="preserve">FCA, Freedom of Information response: sandbox applications received 2021-2025 (May 2026). </w:t>
      </w:r>
      <w:hyperlink r:id="rId15">
        <w:r>
          <w:rPr>
            <w:rFonts w:ascii="Calibri" w:hAnsi="Calibri"/>
            <w:color w:val="175C58"/>
            <w:u w:val="single"/>
            <w:sz w:val="15"/>
          </w:rPr>
          <w:t xml:space="preserve">https://www.fca.org.uk/freedom-information/information-number-sandbox-applications-received-2021-2025-may-2026</w:t>
        </w:r>
      </w:hyperlink>
    </w:p>
    <w:p>
      <w:pPr>
        <w:spacing w:before="0" w:after="50" w:line="240" w:lineRule="auto"/>
        <w:ind w:left="567" w:hanging="567"/>
      </w:pPr>
      <w:r>
        <w:rPr>
          <w:rFonts w:ascii="Calibri" w:hAnsi="Calibri" w:eastAsia="Calibri"/>
          <w:b/>
          <w:color w:val="009162"/>
          <w:sz w:val="16"/>
        </w:rPr>
        <w:t xml:space="preserve">[S4]  </w:t>
      </w:r>
      <w:r>
        <w:rPr>
          <w:rFonts w:ascii="Calibri" w:hAnsi="Calibri" w:eastAsia="Calibri"/>
          <w:sz w:val="16"/>
        </w:rPr>
        <w:t xml:space="preserve">FCA, Digital Sandbox pilot and DataSprint. </w:t>
      </w:r>
      <w:hyperlink r:id="rId16">
        <w:r>
          <w:rPr>
            <w:rFonts w:ascii="Calibri" w:hAnsi="Calibri"/>
            <w:color w:val="175C58"/>
            <w:u w:val="single"/>
            <w:sz w:val="15"/>
          </w:rPr>
          <w:t xml:space="preserve">https://www.fca.org.uk/firms/digital-sandbox-pilot-fca-datasprint</w:t>
        </w:r>
      </w:hyperlink>
    </w:p>
    <w:p>
      <w:pPr>
        <w:spacing w:before="0" w:after="50" w:line="240" w:lineRule="auto"/>
        <w:ind w:left="567" w:hanging="567"/>
      </w:pPr>
      <w:r>
        <w:rPr>
          <w:rFonts w:ascii="Calibri" w:hAnsi="Calibri" w:eastAsia="Calibri"/>
          <w:b/>
          <w:color w:val="009162"/>
          <w:sz w:val="16"/>
        </w:rPr>
        <w:t xml:space="preserve">[S5]  </w:t>
      </w:r>
      <w:r>
        <w:rPr>
          <w:rFonts w:ascii="Calibri" w:hAnsi="Calibri" w:eastAsia="Calibri"/>
          <w:sz w:val="16"/>
        </w:rPr>
        <w:t xml:space="preserve">ICO, Regulatory Sandbox beta review and previous participants. </w:t>
      </w:r>
      <w:hyperlink r:id="rId17">
        <w:r>
          <w:rPr>
            <w:rFonts w:ascii="Calibri" w:hAnsi="Calibri"/>
            <w:color w:val="175C58"/>
            <w:u w:val="single"/>
            <w:sz w:val="15"/>
          </w:rPr>
          <w:t xml:space="preserve">https://ico.org.uk/for-organisations/advice-and-services/regulatory-sandbox/previous-participants</w:t>
        </w:r>
      </w:hyperlink>
    </w:p>
    <w:p>
      <w:pPr>
        <w:spacing w:before="0" w:after="50" w:line="240" w:lineRule="auto"/>
        <w:ind w:left="567" w:hanging="567"/>
      </w:pPr>
      <w:r>
        <w:rPr>
          <w:rFonts w:ascii="Calibri" w:hAnsi="Calibri" w:eastAsia="Calibri"/>
          <w:b/>
          <w:color w:val="009162"/>
          <w:sz w:val="16"/>
        </w:rPr>
        <w:t xml:space="preserve">[S6]  </w:t>
      </w:r>
      <w:r>
        <w:rPr>
          <w:rFonts w:ascii="Calibri" w:hAnsi="Calibri" w:eastAsia="Calibri"/>
          <w:sz w:val="16"/>
        </w:rPr>
        <w:t xml:space="preserve">Ofgem, Innovation Link: outcome of sandbox window 1 (Sep 2018). </w:t>
      </w:r>
      <w:hyperlink r:id="rId18">
        <w:r>
          <w:rPr>
            <w:rFonts w:ascii="Calibri" w:hAnsi="Calibri"/>
            <w:color w:val="175C58"/>
            <w:u w:val="single"/>
            <w:sz w:val="15"/>
          </w:rPr>
          <w:t xml:space="preserve">https://www.ofgem.gov.uk/guidance/innovation-link-outcome-sandbox-window-1</w:t>
        </w:r>
      </w:hyperlink>
    </w:p>
    <w:p>
      <w:pPr>
        <w:spacing w:before="0" w:after="50" w:line="240" w:lineRule="auto"/>
        <w:ind w:left="567" w:hanging="567"/>
      </w:pPr>
      <w:r>
        <w:rPr>
          <w:rFonts w:ascii="Calibri" w:hAnsi="Calibri" w:eastAsia="Calibri"/>
          <w:b/>
          <w:color w:val="009162"/>
          <w:sz w:val="16"/>
        </w:rPr>
        <w:t xml:space="preserve">[S7]  </w:t>
      </w:r>
      <w:r>
        <w:rPr>
          <w:rFonts w:ascii="Calibri" w:hAnsi="Calibri" w:eastAsia="Calibri"/>
          <w:sz w:val="16"/>
        </w:rPr>
        <w:t xml:space="preserve">MAS, Written reply on MAS regulatory sandboxes, Parliament of Singapore (14 Oct 2025). </w:t>
      </w:r>
      <w:hyperlink r:id="rId19">
        <w:r>
          <w:rPr>
            <w:rFonts w:ascii="Calibri" w:hAnsi="Calibri"/>
            <w:color w:val="175C58"/>
            <w:u w:val="single"/>
            <w:sz w:val="15"/>
          </w:rPr>
          <w:t xml:space="preserve">https://www.mas.gov.sg/news/parliamentary-replies/2025/written-reply-on-mas-regulatory-sandboxes</w:t>
        </w:r>
      </w:hyperlink>
    </w:p>
    <w:p>
      <w:pPr>
        <w:spacing w:before="0" w:after="50" w:line="240" w:lineRule="auto"/>
        <w:ind w:left="567" w:hanging="567"/>
      </w:pPr>
      <w:r>
        <w:rPr>
          <w:rFonts w:ascii="Calibri" w:hAnsi="Calibri" w:eastAsia="Calibri"/>
          <w:b/>
          <w:color w:val="009162"/>
          <w:sz w:val="16"/>
        </w:rPr>
        <w:t xml:space="preserve">[S8]  </w:t>
      </w:r>
      <w:r>
        <w:rPr>
          <w:rFonts w:ascii="Calibri" w:hAnsi="Calibri" w:eastAsia="Calibri"/>
          <w:sz w:val="16"/>
        </w:rPr>
        <w:t xml:space="preserve">MAS, Consultation paper on Sandbox Express (2018); Allen &amp; Gledhill summary. </w:t>
      </w:r>
      <w:hyperlink r:id="rId20">
        <w:r>
          <w:rPr>
            <w:rFonts w:ascii="Calibri" w:hAnsi="Calibri"/>
            <w:color w:val="175C58"/>
            <w:u w:val="single"/>
            <w:sz w:val="15"/>
          </w:rPr>
          <w:t xml:space="preserve">https://www.mas.gov.sg/publications/consultations/2018/consultation-paper-on-sandbox-express</w:t>
        </w:r>
      </w:hyperlink>
    </w:p>
    <w:p>
      <w:pPr>
        <w:spacing w:before="0" w:after="50" w:line="240" w:lineRule="auto"/>
        <w:ind w:left="567" w:hanging="567"/>
      </w:pPr>
      <w:r>
        <w:rPr>
          <w:rFonts w:ascii="Calibri" w:hAnsi="Calibri" w:eastAsia="Calibri"/>
          <w:b/>
          <w:color w:val="009162"/>
          <w:sz w:val="16"/>
        </w:rPr>
        <w:t xml:space="preserve">[S9]  </w:t>
      </w:r>
      <w:r>
        <w:rPr>
          <w:rFonts w:ascii="Calibri" w:hAnsi="Calibri" w:eastAsia="Calibri"/>
          <w:sz w:val="16"/>
        </w:rPr>
        <w:t xml:space="preserve">MAS, Media release: Sandbox Plus (Nov 2021). </w:t>
      </w:r>
      <w:hyperlink r:id="rId21">
        <w:r>
          <w:rPr>
            <w:rFonts w:ascii="Calibri" w:hAnsi="Calibri"/>
            <w:color w:val="175C58"/>
            <w:u w:val="single"/>
            <w:sz w:val="15"/>
          </w:rPr>
          <w:t xml:space="preserve">https://www.mas.gov.sg/news/media-releases/2021/mas-enhances-fintech-regulatory-sandbox-with-sandbox-plus</w:t>
        </w:r>
      </w:hyperlink>
    </w:p>
    <w:p>
      <w:pPr>
        <w:spacing w:before="0" w:after="50" w:line="240" w:lineRule="auto"/>
        <w:ind w:left="567" w:hanging="567"/>
      </w:pPr>
      <w:r>
        <w:rPr>
          <w:rFonts w:ascii="Calibri" w:hAnsi="Calibri" w:eastAsia="Calibri"/>
          <w:b/>
          <w:color w:val="009162"/>
          <w:sz w:val="16"/>
        </w:rPr>
        <w:t xml:space="preserve">[S10]  </w:t>
      </w:r>
      <w:r>
        <w:rPr>
          <w:rFonts w:ascii="Calibri" w:hAnsi="Calibri" w:eastAsia="Calibri"/>
          <w:sz w:val="16"/>
        </w:rPr>
        <w:t xml:space="preserve">WAM, UAE launches global TradeTech sandbox during World Economic Forum (Jan 2024). </w:t>
      </w:r>
      <w:hyperlink r:id="rId22">
        <w:r>
          <w:rPr>
            <w:rFonts w:ascii="Calibri" w:hAnsi="Calibri"/>
            <w:color w:val="175C58"/>
            <w:u w:val="single"/>
            <w:sz w:val="15"/>
          </w:rPr>
          <w:t xml:space="preserve">https://wam.ae/en/article/b18wfrc-uae-launches-global-tradetech-sandbox-during-world</w:t>
        </w:r>
      </w:hyperlink>
    </w:p>
    <w:p>
      <w:pPr>
        <w:spacing w:before="0" w:after="50" w:line="240" w:lineRule="auto"/>
        <w:ind w:left="567" w:hanging="567"/>
      </w:pPr>
      <w:r>
        <w:rPr>
          <w:rFonts w:ascii="Calibri" w:hAnsi="Calibri" w:eastAsia="Calibri"/>
          <w:b/>
          <w:color w:val="009162"/>
          <w:sz w:val="16"/>
        </w:rPr>
        <w:t xml:space="preserve">[S11]  </w:t>
      </w:r>
      <w:r>
        <w:rPr>
          <w:rFonts w:ascii="Calibri" w:hAnsi="Calibri" w:eastAsia="Calibri"/>
          <w:sz w:val="16"/>
        </w:rPr>
        <w:t xml:space="preserve">World Economic Forum, Advancing Digital Trade: insights from the UAE TradeTech Regulatory Sandbox (1 Oct 2025). </w:t>
      </w:r>
      <w:hyperlink r:id="rId23">
        <w:r>
          <w:rPr>
            <w:rFonts w:ascii="Calibri" w:hAnsi="Calibri"/>
            <w:color w:val="175C58"/>
            <w:u w:val="single"/>
            <w:sz w:val="15"/>
          </w:rPr>
          <w:t xml:space="preserve">https://www.weforum.org/publications/advancing-digital-trade-insights-from-the-uae-tradetech-regulatory-sandbox</w:t>
        </w:r>
      </w:hyperlink>
    </w:p>
    <w:p>
      <w:pPr>
        <w:spacing w:before="0" w:after="50" w:line="240" w:lineRule="auto"/>
        <w:ind w:left="567" w:hanging="567"/>
      </w:pPr>
      <w:r>
        <w:rPr>
          <w:rFonts w:ascii="Calibri" w:hAnsi="Calibri" w:eastAsia="Calibri"/>
          <w:b/>
          <w:color w:val="009162"/>
          <w:sz w:val="16"/>
        </w:rPr>
        <w:t xml:space="preserve">[S12]  </w:t>
      </w:r>
      <w:r>
        <w:rPr>
          <w:rFonts w:ascii="Calibri" w:hAnsi="Calibri" w:eastAsia="Calibri"/>
          <w:sz w:val="16"/>
        </w:rPr>
        <w:t xml:space="preserve">WEF and UAE Government, Global Regulatory Innovation Platform (Jan and Jul 2025); WEF drone-regulation material (2019). </w:t>
      </w:r>
      <w:hyperlink r:id="rId24">
        <w:r>
          <w:rPr>
            <w:rFonts w:ascii="Calibri" w:hAnsi="Calibri"/>
            <w:color w:val="175C58"/>
            <w:u w:val="single"/>
            <w:sz w:val="15"/>
          </w:rPr>
          <w:t xml:space="preserve">https://www.weforum.org/press/2025/07/new-global-platform-launched-to-reimagine-regulation-in-age-of-disruptive-tech</w:t>
        </w:r>
      </w:hyperlink>
    </w:p>
    <w:p>
      <w:pPr>
        <w:spacing w:before="0" w:after="50" w:line="240" w:lineRule="auto"/>
        <w:ind w:left="567" w:hanging="567"/>
      </w:pPr>
      <w:r>
        <w:rPr>
          <w:rFonts w:ascii="Calibri" w:hAnsi="Calibri" w:eastAsia="Calibri"/>
          <w:b/>
          <w:color w:val="009162"/>
          <w:sz w:val="16"/>
        </w:rPr>
        <w:t xml:space="preserve">[S13]  </w:t>
      </w:r>
      <w:r>
        <w:rPr>
          <w:rFonts w:ascii="Calibri" w:hAnsi="Calibri" w:eastAsia="Calibri"/>
          <w:sz w:val="16"/>
        </w:rPr>
        <w:t xml:space="preserve">ADGM, RegLab cohort announcements (2016-2018). </w:t>
      </w:r>
      <w:hyperlink r:id="rId25">
        <w:r>
          <w:rPr>
            <w:rFonts w:ascii="Calibri" w:hAnsi="Calibri"/>
            <w:color w:val="175C58"/>
            <w:u w:val="single"/>
            <w:sz w:val="15"/>
          </w:rPr>
          <w:t xml:space="preserve">https://www.adgm.com/media/announcements/adgm-reglab-attracts-record-number-of-applications-for-its-3rd-cohort</w:t>
        </w:r>
      </w:hyperlink>
    </w:p>
    <w:p>
      <w:pPr>
        <w:spacing w:before="0" w:after="50" w:line="240" w:lineRule="auto"/>
        <w:ind w:left="567" w:hanging="567"/>
      </w:pPr>
      <w:r>
        <w:rPr>
          <w:rFonts w:ascii="Calibri" w:hAnsi="Calibri" w:eastAsia="Calibri"/>
          <w:b/>
          <w:color w:val="009162"/>
          <w:sz w:val="16"/>
        </w:rPr>
        <w:t xml:space="preserve">[S14]  </w:t>
      </w:r>
      <w:r>
        <w:rPr>
          <w:rFonts w:ascii="Calibri" w:hAnsi="Calibri" w:eastAsia="Calibri"/>
          <w:sz w:val="16"/>
        </w:rPr>
        <w:t xml:space="preserve">DFSA, first graduate Sarwa (Nov 2018); Finance Magnates, DFSA ITL open window (2022). </w:t>
      </w:r>
      <w:hyperlink r:id="rId26">
        <w:r>
          <w:rPr>
            <w:rFonts w:ascii="Calibri" w:hAnsi="Calibri"/>
            <w:color w:val="175C58"/>
            <w:u w:val="single"/>
            <w:sz w:val="15"/>
          </w:rPr>
          <w:t xml:space="preserve">https://www.dfsa.ae/news/robo-advisory-firm-sarwa-first-graduate-dfsas-regulatory-sandbox</w:t>
        </w:r>
      </w:hyperlink>
    </w:p>
    <w:p>
      <w:pPr>
        <w:spacing w:before="0" w:after="50" w:line="240" w:lineRule="auto"/>
        <w:ind w:left="567" w:hanging="567"/>
      </w:pPr>
      <w:r>
        <w:rPr>
          <w:rFonts w:ascii="Calibri" w:hAnsi="Calibri" w:eastAsia="Calibri"/>
          <w:b/>
          <w:color w:val="009162"/>
          <w:sz w:val="16"/>
        </w:rPr>
        <w:t xml:space="preserve">[S15]  </w:t>
      </w:r>
      <w:r>
        <w:rPr>
          <w:rFonts w:ascii="Calibri" w:hAnsi="Calibri" w:eastAsia="Calibri"/>
          <w:sz w:val="16"/>
        </w:rPr>
        <w:t xml:space="preserve">Global Financial Innovation Network, Cross-border testing pilot: lessons learned (Jan 2020). </w:t>
      </w:r>
      <w:hyperlink r:id="rId27">
        <w:r>
          <w:rPr>
            <w:rFonts w:ascii="Calibri" w:hAnsi="Calibri"/>
            <w:color w:val="175C58"/>
            <w:u w:val="single"/>
            <w:sz w:val="15"/>
          </w:rPr>
          <w:t xml:space="preserve">https://www.mnb.hu/letoltes/gfin-cbt-pilot-lessons-learned.pdf</w:t>
        </w:r>
      </w:hyperlink>
    </w:p>
    <w:p>
      <w:pPr>
        <w:spacing w:before="0" w:after="50" w:line="240" w:lineRule="auto"/>
        <w:ind w:left="567" w:hanging="567"/>
      </w:pPr>
      <w:r>
        <w:rPr>
          <w:rFonts w:ascii="Calibri" w:hAnsi="Calibri" w:eastAsia="Calibri"/>
          <w:b/>
          <w:color w:val="009162"/>
          <w:sz w:val="16"/>
        </w:rPr>
        <w:t xml:space="preserve">[S16]  </w:t>
      </w:r>
      <w:r>
        <w:rPr>
          <w:rFonts w:ascii="Calibri" w:hAnsi="Calibri" w:eastAsia="Calibri"/>
          <w:sz w:val="16"/>
        </w:rPr>
        <w:t xml:space="preserve">World Bank, Key data from regulatory sandboxes across the globe (2020). </w:t>
      </w:r>
      <w:hyperlink r:id="rId28">
        <w:r>
          <w:rPr>
            <w:rFonts w:ascii="Calibri" w:hAnsi="Calibri"/>
            <w:color w:val="175C58"/>
            <w:u w:val="single"/>
            <w:sz w:val="15"/>
          </w:rPr>
          <w:t xml:space="preserve">https://www.worldbank.org/en/topic/fintech/brief/key-data-from-regulatory-sandboxes-across-the-globe</w:t>
        </w:r>
      </w:hyperlink>
    </w:p>
    <w:p>
      <w:pPr>
        <w:spacing w:before="0" w:after="50" w:line="240" w:lineRule="auto"/>
        <w:ind w:left="567" w:hanging="567"/>
      </w:pPr>
      <w:r>
        <w:rPr>
          <w:rFonts w:ascii="Calibri" w:hAnsi="Calibri" w:eastAsia="Calibri"/>
          <w:b/>
          <w:color w:val="009162"/>
          <w:sz w:val="16"/>
        </w:rPr>
        <w:t xml:space="preserve">[S17]  </w:t>
      </w:r>
      <w:r>
        <w:rPr>
          <w:rFonts w:ascii="Calibri" w:hAnsi="Calibri" w:eastAsia="Calibri"/>
          <w:sz w:val="16"/>
        </w:rPr>
        <w:t xml:space="preserve">European Commission, European Blockchain Sandbox pages; Bird &amp; Bird / OXYGY final best-practices report (11 Feb 2026). </w:t>
      </w:r>
      <w:hyperlink r:id="rId29">
        <w:r>
          <w:rPr>
            <w:rFonts w:ascii="Calibri" w:hAnsi="Calibri"/>
            <w:color w:val="175C58"/>
            <w:u w:val="single"/>
            <w:sz w:val="15"/>
          </w:rPr>
          <w:t xml:space="preserve">https://blockchain-observatory.ec.europa.eu/european-blockchain-sandbox-announces-selected-projects-first-cohort_en</w:t>
        </w:r>
      </w:hyperlink>
    </w:p>
    <w:p>
      <w:pPr>
        <w:spacing w:before="0" w:after="50" w:line="240" w:lineRule="auto"/>
        <w:ind w:left="567" w:hanging="567"/>
      </w:pPr>
      <w:r>
        <w:rPr>
          <w:rFonts w:ascii="Calibri" w:hAnsi="Calibri" w:eastAsia="Calibri"/>
          <w:b/>
          <w:color w:val="009162"/>
          <w:sz w:val="16"/>
        </w:rPr>
        <w:t xml:space="preserve">[S18]  </w:t>
      </w:r>
      <w:r>
        <w:rPr>
          <w:rFonts w:ascii="Calibri" w:hAnsi="Calibri" w:eastAsia="Calibri"/>
          <w:sz w:val="16"/>
        </w:rPr>
        <w:t xml:space="preserve">White &amp; Case, EU AI Omnibus enters into force (2026); artificialintelligenceact.eu sandbox overview. </w:t>
      </w:r>
      <w:hyperlink r:id="rId30">
        <w:r>
          <w:rPr>
            <w:rFonts w:ascii="Calibri" w:hAnsi="Calibri"/>
            <w:color w:val="175C58"/>
            <w:u w:val="single"/>
            <w:sz w:val="15"/>
          </w:rPr>
          <w:t xml:space="preserve">https://www.whitecase.com/insight-alert/eu-ai-omnibus-enters-force-amending-ai-act</w:t>
        </w:r>
      </w:hyperlink>
    </w:p>
    <w:p>
      <w:pPr>
        <w:spacing w:before="0" w:after="50" w:line="240" w:lineRule="auto"/>
        <w:ind w:left="567" w:hanging="567"/>
      </w:pPr>
      <w:r>
        <w:rPr>
          <w:rFonts w:ascii="Calibri" w:hAnsi="Calibri" w:eastAsia="Calibri"/>
          <w:b/>
          <w:color w:val="009162"/>
          <w:sz w:val="16"/>
        </w:rPr>
        <w:t xml:space="preserve">[S19]  </w:t>
      </w:r>
      <w:r>
        <w:rPr>
          <w:rFonts w:ascii="Calibri" w:hAnsi="Calibri" w:eastAsia="Calibri"/>
          <w:sz w:val="16"/>
        </w:rPr>
        <w:t xml:space="preserve">Spanish Government, conclusion of first AI sandbox (Jun 2026) and results report. </w:t>
      </w:r>
      <w:hyperlink r:id="rId31">
        <w:r>
          <w:rPr>
            <w:rFonts w:ascii="Calibri" w:hAnsi="Calibri"/>
            <w:color w:val="175C58"/>
            <w:u w:val="single"/>
            <w:sz w:val="15"/>
          </w:rPr>
          <w:t xml:space="preserve">https://digital.gob.es/en/comunicacion/notas-prensa/secretaria-digitalizacion-e-inteligencia-artificial/2026/06/el-gobierno-concluye-con-exito-el-primer-sandbox-de-inteligencia</w:t>
        </w:r>
      </w:hyperlink>
    </w:p>
    <w:p>
      <w:pPr>
        <w:spacing w:before="0" w:after="50" w:line="240" w:lineRule="auto"/>
        <w:ind w:left="567" w:hanging="567"/>
      </w:pPr>
      <w:r>
        <w:rPr>
          <w:rFonts w:ascii="Calibri" w:hAnsi="Calibri" w:eastAsia="Calibri"/>
          <w:b/>
          <w:color w:val="009162"/>
          <w:sz w:val="16"/>
        </w:rPr>
        <w:t xml:space="preserve">[S20]  </w:t>
      </w:r>
      <w:r>
        <w:rPr>
          <w:rFonts w:ascii="Calibri" w:hAnsi="Calibri" w:eastAsia="Calibri"/>
          <w:sz w:val="16"/>
        </w:rPr>
        <w:t xml:space="preserve">Japan Cabinet Secretariat, Japan's Regulatory Sandbox presentation; IMF FSAP note (2024). </w:t>
      </w:r>
      <w:hyperlink r:id="rId32">
        <w:r>
          <w:rPr>
            <w:rFonts w:ascii="Calibri" w:hAnsi="Calibri"/>
            <w:color w:val="175C58"/>
            <w:u w:val="single"/>
            <w:sz w:val="15"/>
          </w:rPr>
          <w:t xml:space="preserve">https://www.cas.go.jp/jp/seisaku/s-portal/pdf/underlyinglaw/Japans_Regulatory_Sandbox_presentation.pdf</w:t>
        </w:r>
      </w:hyperlink>
    </w:p>
    <w:p>
      <w:pPr>
        <w:spacing w:before="0" w:after="50" w:line="240" w:lineRule="auto"/>
        <w:ind w:left="567" w:hanging="567"/>
      </w:pPr>
      <w:r>
        <w:rPr>
          <w:rFonts w:ascii="Calibri" w:hAnsi="Calibri" w:eastAsia="Calibri"/>
          <w:b/>
          <w:color w:val="009162"/>
          <w:sz w:val="16"/>
        </w:rPr>
        <w:t xml:space="preserve">[S21]  </w:t>
      </w:r>
      <w:r>
        <w:rPr>
          <w:rFonts w:ascii="Calibri" w:hAnsi="Calibri" w:eastAsia="Calibri"/>
          <w:sz w:val="16"/>
        </w:rPr>
        <w:t xml:space="preserve">HKMA press releases on GenAI Sandbox (19 Dec 2024, 15 Oct 2025, 27 Aug 2026); Hong Kong LegCo research paper (Feb 2022). </w:t>
      </w:r>
      <w:hyperlink r:id="rId33">
        <w:r>
          <w:rPr>
            <w:rFonts w:ascii="Calibri" w:hAnsi="Calibri"/>
            <w:color w:val="175C58"/>
            <w:u w:val="single"/>
            <w:sz w:val="15"/>
          </w:rPr>
          <w:t xml:space="preserve">https://www.hkma.gov.hk/eng/news-and-media/press-releases/2026/08/20260827-3/</w:t>
        </w:r>
      </w:hyperlink>
    </w:p>
    <w:p>
      <w:pPr>
        <w:spacing w:before="0" w:after="50" w:line="240" w:lineRule="auto"/>
        <w:ind w:left="567" w:hanging="567"/>
      </w:pPr>
      <w:r>
        <w:rPr>
          <w:rFonts w:ascii="Calibri" w:hAnsi="Calibri" w:eastAsia="Calibri"/>
          <w:b/>
          <w:color w:val="009162"/>
          <w:sz w:val="16"/>
        </w:rPr>
        <w:t xml:space="preserve">[S22]  </w:t>
      </w:r>
      <w:r>
        <w:rPr>
          <w:rFonts w:ascii="Calibri" w:hAnsi="Calibri" w:eastAsia="Calibri"/>
          <w:sz w:val="16"/>
        </w:rPr>
        <w:t xml:space="preserve">Saudi Central Bank, news releases on regulatory sandbox (2022-2025). </w:t>
      </w:r>
      <w:hyperlink r:id="rId34">
        <w:r>
          <w:rPr>
            <w:rFonts w:ascii="Calibri" w:hAnsi="Calibri"/>
            <w:color w:val="175C58"/>
            <w:u w:val="single"/>
            <w:sz w:val="15"/>
          </w:rPr>
          <w:t xml:space="preserve">https://www.sama.gov.sa/en-US/MediaCenter/News/Pages/news-849.aspx</w:t>
        </w:r>
      </w:hyperlink>
    </w:p>
    <w:p>
      <w:pPr>
        <w:spacing w:before="0" w:after="50" w:line="240" w:lineRule="auto"/>
        <w:ind w:left="567" w:hanging="567"/>
      </w:pPr>
      <w:r>
        <w:rPr>
          <w:rFonts w:ascii="Calibri" w:hAnsi="Calibri" w:eastAsia="Calibri"/>
          <w:b/>
          <w:color w:val="009162"/>
          <w:sz w:val="16"/>
        </w:rPr>
        <w:t xml:space="preserve">[S23]  </w:t>
      </w:r>
      <w:r>
        <w:rPr>
          <w:rFonts w:ascii="Calibri" w:hAnsi="Calibri" w:eastAsia="Calibri"/>
          <w:sz w:val="16"/>
        </w:rPr>
        <w:t xml:space="preserve">Korea FSC five-year sandbox event (2024); IFLR; E-Daily on ICT convergence sandbox (Sep 2026). </w:t>
      </w:r>
      <w:hyperlink r:id="rId35">
        <w:r>
          <w:rPr>
            <w:rFonts w:ascii="Calibri" w:hAnsi="Calibri"/>
            <w:color w:val="175C58"/>
            <w:u w:val="single"/>
            <w:sz w:val="15"/>
          </w:rPr>
          <w:t xml:space="preserve">https://fsc.go.kr/eng/pr020101/82001</w:t>
        </w:r>
      </w:hyperlink>
    </w:p>
    <w:p>
      <w:pPr>
        <w:spacing w:before="0" w:after="50" w:line="240" w:lineRule="auto"/>
        <w:ind w:left="567" w:hanging="567"/>
      </w:pPr>
      <w:r>
        <w:rPr>
          <w:rFonts w:ascii="Calibri" w:hAnsi="Calibri" w:eastAsia="Calibri"/>
          <w:b/>
          <w:color w:val="009162"/>
          <w:sz w:val="16"/>
        </w:rPr>
        <w:t xml:space="preserve">[S24]  </w:t>
      </w:r>
      <w:r>
        <w:rPr>
          <w:rFonts w:ascii="Calibri" w:hAnsi="Calibri" w:eastAsia="Calibri"/>
          <w:sz w:val="16"/>
        </w:rPr>
        <w:t xml:space="preserve">Canberra Times, Enhanced regulatory sandbox a bridge to nowhere for fintech (press account of independent review). </w:t>
      </w:r>
      <w:hyperlink r:id="rId36">
        <w:r>
          <w:rPr>
            <w:rFonts w:ascii="Calibri" w:hAnsi="Calibri"/>
            <w:color w:val="175C58"/>
            <w:u w:val="single"/>
            <w:sz w:val="15"/>
          </w:rPr>
          <w:t xml:space="preserve">https://www.canberratimes.com.au/story/9306576/enhanced-regulatory-sandbox-a-bridge-to-nowhere-for-fintech/</w:t>
        </w:r>
      </w:hyperlink>
    </w:p>
    <w:p>
      <w:pPr>
        <w:spacing w:before="0" w:after="50" w:line="240" w:lineRule="auto"/>
        <w:ind w:left="567" w:hanging="567"/>
      </w:pPr>
      <w:r>
        <w:rPr>
          <w:rFonts w:ascii="Calibri" w:hAnsi="Calibri" w:eastAsia="Calibri"/>
          <w:b/>
          <w:color w:val="009162"/>
          <w:sz w:val="16"/>
        </w:rPr>
        <w:t xml:space="preserve">[S25]  </w:t>
      </w:r>
      <w:r>
        <w:rPr>
          <w:rFonts w:ascii="Calibri" w:hAnsi="Calibri" w:eastAsia="Calibri"/>
          <w:sz w:val="16"/>
        </w:rPr>
        <w:t xml:space="preserve">Central Bank of Bahrain, first company to complete regulatory sandbox (2018-2019). </w:t>
      </w:r>
      <w:hyperlink r:id="rId37">
        <w:r>
          <w:rPr>
            <w:rFonts w:ascii="Calibri" w:hAnsi="Calibri"/>
            <w:color w:val="175C58"/>
            <w:u w:val="single"/>
            <w:sz w:val="15"/>
          </w:rPr>
          <w:t xml:space="preserve">https://www.cbb.gov.bh/media-center/central-bank-of-bahrain-announces-first-company-to-successfully-complete-the-regulatory-sandbox-stage/</w:t>
        </w:r>
      </w:hyperlink>
    </w:p>
    <w:p>
      <w:pPr>
        <w:spacing w:before="0" w:after="50" w:line="240" w:lineRule="auto"/>
        <w:ind w:left="567" w:hanging="567"/>
      </w:pPr>
      <w:r>
        <w:rPr>
          <w:rFonts w:ascii="Calibri" w:hAnsi="Calibri" w:eastAsia="Calibri"/>
          <w:b/>
          <w:color w:val="009162"/>
          <w:sz w:val="16"/>
        </w:rPr>
        <w:t xml:space="preserve">[S26]  </w:t>
      </w:r>
      <w:r>
        <w:rPr>
          <w:rFonts w:ascii="Calibri" w:hAnsi="Calibri" w:eastAsia="Calibri"/>
          <w:sz w:val="16"/>
        </w:rPr>
        <w:t xml:space="preserve">OECD, Regulatory sandboxes in artificial intelligence (Jul 2023). </w:t>
      </w:r>
      <w:hyperlink r:id="rId38">
        <w:r>
          <w:rPr>
            <w:rFonts w:ascii="Calibri" w:hAnsi="Calibri"/>
            <w:color w:val="175C58"/>
            <w:u w:val="single"/>
            <w:sz w:val="15"/>
          </w:rPr>
          <w:t xml:space="preserve">https://oecd.org/sti/regulatory-sandboxes-in-artificial-intelligence-8f80a0e6-en.htm</w:t>
        </w:r>
      </w:hyperlink>
    </w:p>
    <w:p>
      <w:pPr>
        <w:spacing w:before="0" w:after="50" w:line="240" w:lineRule="auto"/>
        <w:ind w:left="567" w:hanging="567"/>
      </w:pPr>
      <w:r>
        <w:rPr>
          <w:rFonts w:ascii="Calibri" w:hAnsi="Calibri" w:eastAsia="Calibri"/>
          <w:b/>
          <w:color w:val="009162"/>
          <w:sz w:val="16"/>
        </w:rPr>
        <w:t xml:space="preserve">[S27]  </w:t>
      </w:r>
      <w:r>
        <w:rPr>
          <w:rFonts w:ascii="Calibri" w:hAnsi="Calibri" w:eastAsia="Calibri"/>
          <w:sz w:val="16"/>
        </w:rPr>
        <w:t xml:space="preserve">Gazeta.uz, Enterprise Uzbekistan (21 Aug 2026); UzDaily; Kursiv (20 Aug 2026). </w:t>
      </w:r>
      <w:hyperlink r:id="rId39">
        <w:r>
          <w:rPr>
            <w:rFonts w:ascii="Calibri" w:hAnsi="Calibri"/>
            <w:color w:val="175C58"/>
            <w:u w:val="single"/>
            <w:sz w:val="15"/>
          </w:rPr>
          <w:t xml:space="preserve">https://www.gazeta.uz/en/2026/08/21/enterprise-uzbekistan/</w:t>
        </w:r>
      </w:hyperlink>
    </w:p>
    <w:p>
      <w:pPr>
        <w:spacing w:before="0" w:after="50" w:line="240" w:lineRule="auto"/>
        <w:ind w:left="567" w:hanging="567"/>
      </w:pPr>
      <w:r>
        <w:rPr>
          <w:rFonts w:ascii="Calibri" w:hAnsi="Calibri" w:eastAsia="Calibri"/>
          <w:b/>
          <w:color w:val="009162"/>
          <w:sz w:val="16"/>
        </w:rPr>
        <w:t xml:space="preserve">[S28]  </w:t>
      </w:r>
      <w:r>
        <w:rPr>
          <w:rFonts w:ascii="Calibri" w:hAnsi="Calibri" w:eastAsia="Calibri"/>
          <w:sz w:val="16"/>
        </w:rPr>
        <w:t xml:space="preserve">lex.uz listing: UP-233 of 26.11.2025, On organisation of the International Centre for Digital Technologies (text not read). </w:t>
      </w:r>
      <w:hyperlink r:id="rId40">
        <w:r>
          <w:rPr>
            <w:rFonts w:ascii="Calibri" w:hAnsi="Calibri"/>
            <w:color w:val="175C58"/>
            <w:u w:val="single"/>
            <w:sz w:val="15"/>
          </w:rPr>
          <w:t xml:space="preserve">https://lex.uz/ru/docs/7865800</w:t>
        </w:r>
      </w:hyperlink>
    </w:p>
    <w:p>
      <w:pPr>
        <w:spacing w:before="0" w:after="50" w:line="240" w:lineRule="auto"/>
        <w:ind w:left="567" w:hanging="567"/>
      </w:pPr>
      <w:r>
        <w:rPr>
          <w:rFonts w:ascii="Calibri" w:hAnsi="Calibri" w:eastAsia="Calibri"/>
          <w:b/>
          <w:color w:val="009162"/>
          <w:sz w:val="16"/>
        </w:rPr>
        <w:t xml:space="preserve">[S29]  </w:t>
      </w:r>
      <w:r>
        <w:rPr>
          <w:rFonts w:ascii="Calibri" w:hAnsi="Calibri" w:eastAsia="Calibri"/>
          <w:sz w:val="16"/>
        </w:rPr>
        <w:t xml:space="preserve">Central Bank of Uzbekistan, procedure for special legal regime in financial services (Mondaq); UzDaily on sandbox update. </w:t>
      </w:r>
      <w:hyperlink r:id="rId41">
        <w:r>
          <w:rPr>
            <w:rFonts w:ascii="Calibri" w:hAnsi="Calibri"/>
            <w:color w:val="175C58"/>
            <w:u w:val="single"/>
            <w:sz w:val="15"/>
          </w:rPr>
          <w:t xml:space="preserve">https://www.uzdaily.uz/en/uzbekistan-central-bank-to-update-financial-sandbox-rules/</w:t>
        </w:r>
      </w:hyperlink>
    </w:p>
    <w:p>
      <w:pPr>
        <w:spacing w:before="0" w:after="50" w:line="240" w:lineRule="auto"/>
        <w:ind w:left="567" w:hanging="567"/>
      </w:pPr>
      <w:r>
        <w:rPr>
          <w:rFonts w:ascii="Calibri" w:hAnsi="Calibri" w:eastAsia="Calibri"/>
          <w:b/>
          <w:color w:val="009162"/>
          <w:sz w:val="16"/>
        </w:rPr>
        <w:t xml:space="preserve">[S30]  </w:t>
      </w:r>
      <w:r>
        <w:rPr>
          <w:rFonts w:ascii="Calibri" w:hAnsi="Calibri" w:eastAsia="Calibri"/>
          <w:sz w:val="16"/>
        </w:rPr>
        <w:t xml:space="preserve">Daryo, Uzbekistan adds 5 firms to capital-markets sandbox (18 Jun 2026). </w:t>
      </w:r>
      <w:hyperlink r:id="rId42">
        <w:r>
          <w:rPr>
            <w:rFonts w:ascii="Calibri" w:hAnsi="Calibri"/>
            <w:color w:val="175C58"/>
            <w:u w:val="single"/>
            <w:sz w:val="15"/>
          </w:rPr>
          <w:t xml:space="preserve">https://daryo.uz/en/2026/06/18/uzbekistan-adds-5-firms-to-capital-markets-sandbox-for-foreign-currency-bond-issuance-framework/</w:t>
        </w:r>
      </w:hyperlink>
    </w:p>
    <w:p>
      <w:pPr>
        <w:spacing w:before="0" w:after="50" w:line="240" w:lineRule="auto"/>
        <w:ind w:left="567" w:hanging="567"/>
      </w:pPr>
      <w:r>
        <w:rPr>
          <w:rFonts w:ascii="Calibri" w:hAnsi="Calibri" w:eastAsia="Calibri"/>
          <w:b/>
          <w:color w:val="009162"/>
          <w:sz w:val="16"/>
        </w:rPr>
        <w:t xml:space="preserve">[S31]  </w:t>
      </w:r>
      <w:r>
        <w:rPr>
          <w:rFonts w:ascii="Calibri" w:hAnsi="Calibri" w:eastAsia="Calibri"/>
          <w:sz w:val="16"/>
        </w:rPr>
        <w:t xml:space="preserve">Enterprise Uzbekistan working files: Registrar map and journey map (draft; article references unverified). </w:t>
      </w:r>
      <w:r>
        <w:rPr>
          <w:rFonts w:ascii="Calibri" w:hAnsi="Calibri" w:eastAsia="Calibri"/>
          <w:sz w:val="15"/>
        </w:rPr>
        <w:t>Local file: registrar-onepager/index.html, journey.html</w:t>
      </w:r>
    </w:p>
    <w:p>
      <w:pPr>
        <w:spacing w:before="0" w:after="50" w:line="240" w:lineRule="auto"/>
        <w:ind w:left="567" w:hanging="567"/>
      </w:pPr>
      <w:r>
        <w:rPr>
          <w:rFonts w:ascii="Calibri" w:hAnsi="Calibri" w:eastAsia="Calibri"/>
          <w:b/>
          <w:color w:val="009162"/>
          <w:sz w:val="16"/>
        </w:rPr>
        <w:t xml:space="preserve">[S32]  </w:t>
      </w:r>
      <w:r>
        <w:rPr>
          <w:rFonts w:ascii="Calibri" w:hAnsi="Calibri" w:eastAsia="Calibri"/>
          <w:sz w:val="16"/>
        </w:rPr>
        <w:t xml:space="preserve">NayaOne, press release on TradeTech Regulatory Sandbox (Jan 2025; vendor). </w:t>
      </w:r>
      <w:hyperlink r:id="rId43">
        <w:r>
          <w:rPr>
            <w:rFonts w:ascii="Calibri" w:hAnsi="Calibri"/>
            <w:color w:val="175C58"/>
            <w:u w:val="single"/>
            <w:sz w:val="15"/>
          </w:rPr>
          <w:t xml:space="preserve">https://www.prnewswire.com/news-releases/driving-digital-trade-transformation-nayaone-powers-world-economic-forums-groundbreaking-tradetech-regulatory-sandbox-302362263.html</w:t>
        </w:r>
      </w:hyperlink>
    </w:p>
    <w:p>
      <w:pPr>
        <w:spacing w:before="0" w:after="50" w:line="240" w:lineRule="auto"/>
        <w:ind w:left="567" w:hanging="567"/>
      </w:pPr>
      <w:r>
        <w:rPr>
          <w:rFonts w:ascii="Calibri" w:hAnsi="Calibri" w:eastAsia="Calibri"/>
          <w:b/>
          <w:color w:val="009162"/>
          <w:sz w:val="16"/>
        </w:rPr>
        <w:t xml:space="preserve">[S33]  </w:t>
      </w:r>
      <w:r>
        <w:rPr>
          <w:rFonts w:ascii="Calibri" w:hAnsi="Calibri" w:eastAsia="Calibri"/>
          <w:sz w:val="16"/>
        </w:rPr>
        <w:t xml:space="preserve">Trade press on FCA AI Live Testing (Dec 2025) and ScaleUp Institute on Supercharged Sandbox. </w:t>
      </w:r>
      <w:hyperlink r:id="rId44">
        <w:r>
          <w:rPr>
            <w:rFonts w:ascii="Calibri" w:hAnsi="Calibri"/>
            <w:color w:val="175C58"/>
            <w:u w:val="single"/>
            <w:sz w:val="15"/>
          </w:rPr>
          <w:t xml:space="preserve">https://fintech.global/2025/12/04/fca-begins-live-ai-testing-with-major-uk-banks/</w:t>
        </w:r>
      </w:hyperlink>
    </w:p>
    <w:p>
      <w:pPr>
        <w:spacing w:before="0" w:after="50" w:line="240" w:lineRule="auto"/>
        <w:ind w:left="567" w:hanging="567"/>
      </w:pPr>
      <w:r>
        <w:rPr>
          <w:rFonts w:ascii="Calibri" w:hAnsi="Calibri" w:eastAsia="Calibri"/>
          <w:b/>
          <w:color w:val="009162"/>
          <w:sz w:val="16"/>
        </w:rPr>
        <w:t xml:space="preserve">[S34]  </w:t>
      </w:r>
      <w:r>
        <w:rPr>
          <w:rFonts w:ascii="Calibri" w:hAnsi="Calibri" w:eastAsia="Calibri"/>
          <w:sz w:val="16"/>
        </w:rPr>
        <w:t xml:space="preserve">GTR, Singapore and Abu Dhabi pilot first MLETR-enabled trade transaction; UNCITRAL MLETR. </w:t>
      </w:r>
      <w:hyperlink r:id="rId45">
        <w:r>
          <w:rPr>
            <w:rFonts w:ascii="Calibri" w:hAnsi="Calibri"/>
            <w:color w:val="175C58"/>
            <w:u w:val="single"/>
            <w:sz w:val="15"/>
          </w:rPr>
          <w:t xml:space="preserve">https://www.gtreview.com/news/fintech/singapore-and-abu-dhabi-pilot-first-mletr-enabled-trade-transaction/</w:t>
        </w:r>
      </w:hyperlink>
    </w:p>
    <w:p>
      <w:pPr>
        <w:spacing w:before="0" w:after="50" w:line="240" w:lineRule="auto"/>
        <w:ind w:left="567" w:hanging="567"/>
      </w:pPr>
      <w:r>
        <w:rPr>
          <w:rFonts w:ascii="Calibri" w:hAnsi="Calibri" w:eastAsia="Calibri"/>
          <w:b/>
          <w:color w:val="009162"/>
          <w:sz w:val="16"/>
        </w:rPr>
        <w:t xml:space="preserve">[S35]  </w:t>
      </w:r>
      <w:r>
        <w:rPr>
          <w:rFonts w:ascii="Calibri" w:hAnsi="Calibri" w:eastAsia="Calibri"/>
          <w:sz w:val="16"/>
        </w:rPr>
        <w:t xml:space="preserve">Qatar News Agency, QCB approves five companies as first BNPL sandbox cohort (Apr 2024). </w:t>
      </w:r>
      <w:hyperlink r:id="rId46">
        <w:r>
          <w:rPr>
            <w:rFonts w:ascii="Calibri" w:hAnsi="Calibri"/>
            <w:color w:val="175C58"/>
            <w:u w:val="single"/>
            <w:sz w:val="15"/>
          </w:rPr>
          <w:t xml:space="preserve">https://www.qna.org.qa/en/News-Area/News/2024-04/27/0045-qcb-approves-5-companies-as-a-first-cohort-for-bnpl-service</w:t>
        </w:r>
      </w:hyperlink>
    </w:p>
    <w:p>
      <w:pPr>
        <w:spacing w:before="0" w:after="50" w:line="240" w:lineRule="auto"/>
        <w:ind w:left="567" w:hanging="567"/>
      </w:pPr>
      <w:r>
        <w:rPr>
          <w:rFonts w:ascii="Calibri" w:hAnsi="Calibri" w:eastAsia="Calibri"/>
          <w:b/>
          <w:color w:val="009162"/>
          <w:sz w:val="16"/>
        </w:rPr>
        <w:t xml:space="preserve">[S36]  </w:t>
      </w:r>
      <w:r>
        <w:rPr>
          <w:rFonts w:ascii="Calibri" w:hAnsi="Calibri" w:eastAsia="Calibri"/>
          <w:sz w:val="16"/>
        </w:rPr>
        <w:t xml:space="preserve">AIFC Astana Financial Services Authority, FinTech Lab review. </w:t>
      </w:r>
      <w:hyperlink r:id="rId47">
        <w:r>
          <w:rPr>
            <w:rFonts w:ascii="Calibri" w:hAnsi="Calibri"/>
            <w:color w:val="175C58"/>
            <w:u w:val="single"/>
            <w:sz w:val="15"/>
          </w:rPr>
          <w:t xml:space="preserve">https://afsa.aifc.kz/?p=21628</w:t>
        </w:r>
      </w:hyperlink>
    </w:p>
    <w:p>
      <w:pPr>
        <w:spacing w:before="0" w:after="50" w:line="240" w:lineRule="auto"/>
        <w:ind w:left="567" w:hanging="567"/>
      </w:pPr>
      <w:r>
        <w:rPr>
          <w:rFonts w:ascii="Calibri" w:hAnsi="Calibri" w:eastAsia="Calibri"/>
          <w:b/>
          <w:color w:val="009162"/>
          <w:sz w:val="16"/>
        </w:rPr>
        <w:t xml:space="preserve">[S37]  </w:t>
      </w:r>
      <w:r>
        <w:rPr>
          <w:rFonts w:ascii="Calibri" w:hAnsi="Calibri" w:eastAsia="Calibri"/>
          <w:sz w:val="16"/>
        </w:rPr>
        <w:t xml:space="preserve">Kun.uz, Procedure for introducing the regulatory sandbox in Uzbekistan set (29 Nov 2023; Cabinet of Ministers decision, press report). </w:t>
      </w:r>
      <w:hyperlink r:id="rId48">
        <w:r>
          <w:rPr>
            <w:rFonts w:ascii="Calibri" w:hAnsi="Calibri"/>
            <w:color w:val="175C58"/>
            <w:u w:val="single"/>
            <w:sz w:val="15"/>
          </w:rPr>
          <w:t xml:space="preserve">https://kun.uz/kr/news/2023/11/29/ozbekistonda-tartibga-solish-qumdonini-joriy-etish-tartibi-belgilandi</w:t>
        </w:r>
      </w:hyperlink>
    </w:p>
    <w:p>
      <w:pPr>
        <w:spacing w:before="0" w:after="50" w:line="240" w:lineRule="auto"/>
        <w:ind w:left="567" w:hanging="567"/>
      </w:pPr>
      <w:r>
        <w:rPr>
          <w:rFonts w:ascii="Calibri" w:hAnsi="Calibri" w:eastAsia="Calibri"/>
          <w:b/>
          <w:color w:val="009162"/>
          <w:sz w:val="16"/>
        </w:rPr>
        <w:t xml:space="preserve">[S38]  </w:t>
      </w:r>
      <w:r>
        <w:rPr>
          <w:rFonts w:ascii="Calibri" w:hAnsi="Calibri" w:eastAsia="Calibri"/>
          <w:sz w:val="16"/>
        </w:rPr>
        <w:t xml:space="preserve">Spot.uz, Law on legal experiments (4 Apr 2026); Advice.uz summary of the law (press reports). </w:t>
      </w:r>
      <w:hyperlink r:id="rId49">
        <w:r>
          <w:rPr>
            <w:rFonts w:ascii="Calibri" w:hAnsi="Calibri"/>
            <w:color w:val="175C58"/>
            <w:u w:val="single"/>
            <w:sz w:val="15"/>
          </w:rPr>
          <w:t xml:space="preserve">https://www.spot.uz/ru/2026/04/04/legal-experiment/</w:t>
        </w:r>
      </w:hyperlink>
    </w:p>
    <w:sectPr w:rsidR="00FC693F" w:rsidRPr="0006063C" w:rsidSect="00034616">
      <w:headerReference w:type="default" r:id="rId50"/>
      <w:footerReference w:type="default" r:id="rId51"/>
      <w:headerReference w:type="first" r:id="rId52"/>
      <w:footerReference w:type="first" r:id="rId53"/>
      <w:pgSz w:w="11906" w:h="16838"/>
      <w:pgMar w:top="1247" w:right="1134" w:bottom="1134" w:left="1134"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Calibri" w:hAnsi="Calibri" w:eastAsia="Calibri"/>
        <w:color w:val="6B6E70"/>
        <w:sz w:val="16"/>
      </w:rPr>
      <w:t>Draft for leadership decision. Evidence status: see page 2.</w:t>
      <w:tab/>
    </w:r>
    <w:r>
      <w:rPr>
        <w:rFonts w:ascii="Calibri" w:hAnsi="Calibri"/>
        <w:color w:val="6B6E70"/>
        <w:sz w:val="16"/>
      </w:rPr>
      <w:fldChar w:fldCharType="begin"/>
    </w:r>
    <w:r>
      <w:rPr>
        <w:rFonts w:ascii="Calibri" w:hAnsi="Calibri"/>
        <w:color w:val="6B6E70"/>
        <w:sz w:val="16"/>
      </w:rPr>
      <w:instrText xml:space="preserve"> PAGE </w:instrText>
    </w:r>
    <w:r>
      <w:rPr>
        <w:rFonts w:ascii="Calibri" w:hAnsi="Calibri"/>
        <w:color w:val="6B6E70"/>
        <w:sz w:val="16"/>
      </w:rPr>
      <w:fldChar w:fldCharType="separate"/>
    </w:r>
    <w:r>
      <w:rPr>
        <w:rFonts w:ascii="Calibri" w:hAnsi="Calibri"/>
        <w:color w:val="6B6E70"/>
        <w:sz w:val="16"/>
      </w:rPr>
      <w:t>1</w:t>
    </w:r>
    <w:r>
      <w:rPr>
        <w:rFonts w:ascii="Calibri" w:hAnsi="Calibri"/>
        <w:color w:val="6B6E70"/>
        <w:sz w:val="16"/>
      </w:rPr>
      <w:fldChar w:fldCharType="end"/>
    </w:r>
    <w:r>
      <w:rPr>
        <w:rFonts w:ascii="Calibri" w:hAnsi="Calibri" w:eastAsia="Calibri"/>
        <w:color w:val="6B6E70"/>
        <w:sz w:val="16"/>
      </w:rPr>
      <w:t xml:space="preserve"> / </w:t>
    </w:r>
    <w:r>
      <w:rPr>
        <w:rFonts w:ascii="Calibri" w:hAnsi="Calibri"/>
        <w:color w:val="6B6E70"/>
        <w:sz w:val="16"/>
      </w:rPr>
      <w:fldChar w:fldCharType="begin"/>
    </w:r>
    <w:r>
      <w:rPr>
        <w:rFonts w:ascii="Calibri" w:hAnsi="Calibri"/>
        <w:color w:val="6B6E70"/>
        <w:sz w:val="16"/>
      </w:rPr>
      <w:instrText xml:space="preserve"> NUMPAGES </w:instrText>
    </w:r>
    <w:r>
      <w:rPr>
        <w:rFonts w:ascii="Calibri" w:hAnsi="Calibri"/>
        <w:color w:val="6B6E70"/>
        <w:sz w:val="16"/>
      </w:rPr>
      <w:fldChar w:fldCharType="separate"/>
    </w:r>
    <w:r>
      <w:rPr>
        <w:rFonts w:ascii="Calibri" w:hAnsi="Calibri"/>
        <w:color w:val="6B6E70"/>
        <w:sz w:val="16"/>
      </w:rPr>
      <w:t>1</w:t>
    </w:r>
    <w:r>
      <w:rPr>
        <w:rFonts w:ascii="Calibri" w:hAnsi="Calibri"/>
        <w:color w:val="6B6E70"/>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09162"/>
      </w:pBdr>
    </w:pPr>
    <w:r/>
    <w:r>
      <w:rPr>
        <w:rFonts w:ascii="Calibri" w:hAnsi="Calibri" w:eastAsia="Calibri"/>
        <w:color w:val="6B6E70"/>
        <w:sz w:val="16"/>
      </w:rPr>
      <w:t>Enterprise Uzbekistan  |  Regulatory Sandbox: International Benchmarking and Design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multiLevelType w:val="hybridMultilevel"/>
    <w:lvl w:ilvl="0">
      <w:start w:val="1"/>
      <w:numFmt w:val="bullet"/>
      <w:lvlText w:val="■"/>
      <w:lvlJc w:val="left"/>
      <w:pPr>
        <w:ind w:left="340" w:hanging="260"/>
      </w:pPr>
      <w:rPr>
        <w:rFonts w:ascii="Arial" w:hAnsi="Arial"/>
        <w:color w:val="009162"/>
        <w:sz w:val="14"/>
      </w:rPr>
    </w:lvl>
  </w:abstractNum>
  <w:abstractNum w:abstractNumId="91">
    <w:multiLevelType w:val="hybridMultilevel"/>
    <w:lvl w:ilvl="0">
      <w:start w:val="1"/>
      <w:numFmt w:val="decimal"/>
      <w:lvlText w:val="%1."/>
      <w:lvlJc w:val="left"/>
      <w:pPr>
        <w:ind w:left="380" w:hanging="320"/>
      </w:pPr>
      <w:rPr>
        <w:b/>
        <w:color w:val="175C58"/>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39393B"/>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40" w:lineRule="auto"/>
      <w:outlineLvl w:val="0"/>
    </w:pPr>
    <w:rPr>
      <w:rFonts w:asciiTheme="majorHAnsi" w:eastAsiaTheme="majorEastAsia" w:hAnsiTheme="majorHAnsi" w:cstheme="majorBidi" w:ascii="Calibri" w:hAnsi="Calibri" w:eastAsia="Calibri"/>
      <w:b/>
      <w:bCs/>
      <w:color w:val="175C58"/>
      <w:sz w:val="36"/>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Calibri" w:hAnsi="Calibri" w:eastAsia="Calibri"/>
      <w:b/>
      <w:bCs/>
      <w:color w:val="009162"/>
      <w:sz w:val="26"/>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Calibri" w:hAnsi="Calibri" w:eastAsia="Calibri"/>
      <w:b/>
      <w:bCs/>
      <w:color w:val="393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638" w:val="right" w:leader="dot"/>
      </w:tabs>
      <w:spacing w:after="60" w:before="100"/>
      <w:ind w:left="0"/>
    </w:pPr>
    <w:rPr>
      <w:rFonts w:ascii="Calibri" w:hAnsi="Calibri"/>
      <w:b/>
      <w:sz w:val="20"/>
    </w:rPr>
  </w:style>
  <w:style w:type="paragraph" w:customStyle="1" w:styleId="TOC2">
    <w:name w:val="TOC 2"/>
    <w:basedOn w:val="Normal"/>
    <w:pPr>
      <w:tabs>
        <w:tab w:pos="9638" w:val="right" w:leader="dot"/>
      </w:tabs>
      <w:spacing w:after="40" w:before="0"/>
      <w:ind w:left="340"/>
    </w:pPr>
    <w:rPr>
      <w:rFonts w:ascii="Calibri" w:hAnsi="Calibri"/>
      <w:b w:val="0"/>
      <w:sz w:val="19"/>
    </w:rPr>
  </w:style>
  <w:style w:type="paragraph" w:customStyle="1" w:styleId="ExhibitTitle">
    <w:name w:val="ExhibitTitle"/>
    <w:basedOn w:val="Normal"/>
    <w:pPr>
      <w:keepNext/>
      <w:spacing w:before="160" w:after="60"/>
    </w:pPr>
    <w:rPr>
      <w:b/>
      <w:color w:val="175C5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fca.org.uk/publication/research-and-data/regulatory-sandbox-lessons-learned-report.pdf" TargetMode="External"/><Relationship Id="rId14" Type="http://schemas.openxmlformats.org/officeDocument/2006/relationships/hyperlink" Target="https://www.bis.org/publ/work901.pdf" TargetMode="External"/><Relationship Id="rId15" Type="http://schemas.openxmlformats.org/officeDocument/2006/relationships/hyperlink" Target="https://www.fca.org.uk/freedom-information/information-number-sandbox-applications-received-2021-2025-may-2026" TargetMode="External"/><Relationship Id="rId16" Type="http://schemas.openxmlformats.org/officeDocument/2006/relationships/hyperlink" Target="https://www.fca.org.uk/firms/digital-sandbox-pilot-fca-datasprint" TargetMode="External"/><Relationship Id="rId17" Type="http://schemas.openxmlformats.org/officeDocument/2006/relationships/hyperlink" Target="https://ico.org.uk/for-organisations/advice-and-services/regulatory-sandbox/previous-participants" TargetMode="External"/><Relationship Id="rId18" Type="http://schemas.openxmlformats.org/officeDocument/2006/relationships/hyperlink" Target="https://www.ofgem.gov.uk/guidance/innovation-link-outcome-sandbox-window-1" TargetMode="External"/><Relationship Id="rId19" Type="http://schemas.openxmlformats.org/officeDocument/2006/relationships/hyperlink" Target="https://www.mas.gov.sg/news/parliamentary-replies/2025/written-reply-on-mas-regulatory-sandboxes" TargetMode="External"/><Relationship Id="rId20" Type="http://schemas.openxmlformats.org/officeDocument/2006/relationships/hyperlink" Target="https://www.mas.gov.sg/publications/consultations/2018/consultation-paper-on-sandbox-express" TargetMode="External"/><Relationship Id="rId21" Type="http://schemas.openxmlformats.org/officeDocument/2006/relationships/hyperlink" Target="https://www.mas.gov.sg/news/media-releases/2021/mas-enhances-fintech-regulatory-sandbox-with-sandbox-plus" TargetMode="External"/><Relationship Id="rId22" Type="http://schemas.openxmlformats.org/officeDocument/2006/relationships/hyperlink" Target="https://wam.ae/en/article/b18wfrc-uae-launches-global-tradetech-sandbox-during-world" TargetMode="External"/><Relationship Id="rId23" Type="http://schemas.openxmlformats.org/officeDocument/2006/relationships/hyperlink" Target="https://www.weforum.org/publications/advancing-digital-trade-insights-from-the-uae-tradetech-regulatory-sandbox" TargetMode="External"/><Relationship Id="rId24" Type="http://schemas.openxmlformats.org/officeDocument/2006/relationships/hyperlink" Target="https://www.weforum.org/press/2025/07/new-global-platform-launched-to-reimagine-regulation-in-age-of-disruptive-tech" TargetMode="External"/><Relationship Id="rId25" Type="http://schemas.openxmlformats.org/officeDocument/2006/relationships/hyperlink" Target="https://www.adgm.com/media/announcements/adgm-reglab-attracts-record-number-of-applications-for-its-3rd-cohort" TargetMode="External"/><Relationship Id="rId26" Type="http://schemas.openxmlformats.org/officeDocument/2006/relationships/hyperlink" Target="https://www.dfsa.ae/news/robo-advisory-firm-sarwa-first-graduate-dfsas-regulatory-sandbox" TargetMode="External"/><Relationship Id="rId27" Type="http://schemas.openxmlformats.org/officeDocument/2006/relationships/hyperlink" Target="https://www.mnb.hu/letoltes/gfin-cbt-pilot-lessons-learned.pdf" TargetMode="External"/><Relationship Id="rId28" Type="http://schemas.openxmlformats.org/officeDocument/2006/relationships/hyperlink" Target="https://www.worldbank.org/en/topic/fintech/brief/key-data-from-regulatory-sandboxes-across-the-globe" TargetMode="External"/><Relationship Id="rId29" Type="http://schemas.openxmlformats.org/officeDocument/2006/relationships/hyperlink" Target="https://blockchain-observatory.ec.europa.eu/european-blockchain-sandbox-announces-selected-projects-first-cohort_en" TargetMode="External"/><Relationship Id="rId30" Type="http://schemas.openxmlformats.org/officeDocument/2006/relationships/hyperlink" Target="https://www.whitecase.com/insight-alert/eu-ai-omnibus-enters-force-amending-ai-act" TargetMode="External"/><Relationship Id="rId31" Type="http://schemas.openxmlformats.org/officeDocument/2006/relationships/hyperlink" Target="https://digital.gob.es/en/comunicacion/notas-prensa/secretaria-digitalizacion-e-inteligencia-artificial/2026/06/el-gobierno-concluye-con-exito-el-primer-sandbox-de-inteligencia" TargetMode="External"/><Relationship Id="rId32" Type="http://schemas.openxmlformats.org/officeDocument/2006/relationships/hyperlink" Target="https://www.cas.go.jp/jp/seisaku/s-portal/pdf/underlyinglaw/Japans_Regulatory_Sandbox_presentation.pdf" TargetMode="External"/><Relationship Id="rId33" Type="http://schemas.openxmlformats.org/officeDocument/2006/relationships/hyperlink" Target="https://www.hkma.gov.hk/eng/news-and-media/press-releases/2026/08/20260827-3/" TargetMode="External"/><Relationship Id="rId34" Type="http://schemas.openxmlformats.org/officeDocument/2006/relationships/hyperlink" Target="https://www.sama.gov.sa/en-US/MediaCenter/News/Pages/news-849.aspx" TargetMode="External"/><Relationship Id="rId35" Type="http://schemas.openxmlformats.org/officeDocument/2006/relationships/hyperlink" Target="https://fsc.go.kr/eng/pr020101/82001" TargetMode="External"/><Relationship Id="rId36" Type="http://schemas.openxmlformats.org/officeDocument/2006/relationships/hyperlink" Target="https://www.canberratimes.com.au/story/9306576/enhanced-regulatory-sandbox-a-bridge-to-nowhere-for-fintech/" TargetMode="External"/><Relationship Id="rId37" Type="http://schemas.openxmlformats.org/officeDocument/2006/relationships/hyperlink" Target="https://www.cbb.gov.bh/media-center/central-bank-of-bahrain-announces-first-company-to-successfully-complete-the-regulatory-sandbox-stage/" TargetMode="External"/><Relationship Id="rId38" Type="http://schemas.openxmlformats.org/officeDocument/2006/relationships/hyperlink" Target="https://oecd.org/sti/regulatory-sandboxes-in-artificial-intelligence-8f80a0e6-en.htm" TargetMode="External"/><Relationship Id="rId39" Type="http://schemas.openxmlformats.org/officeDocument/2006/relationships/hyperlink" Target="https://www.gazeta.uz/en/2026/08/21/enterprise-uzbekistan/" TargetMode="External"/><Relationship Id="rId40" Type="http://schemas.openxmlformats.org/officeDocument/2006/relationships/hyperlink" Target="https://lex.uz/ru/docs/7865800" TargetMode="External"/><Relationship Id="rId41" Type="http://schemas.openxmlformats.org/officeDocument/2006/relationships/hyperlink" Target="https://www.uzdaily.uz/en/uzbekistan-central-bank-to-update-financial-sandbox-rules/" TargetMode="External"/><Relationship Id="rId42" Type="http://schemas.openxmlformats.org/officeDocument/2006/relationships/hyperlink" Target="https://daryo.uz/en/2026/06/18/uzbekistan-adds-5-firms-to-capital-markets-sandbox-for-foreign-currency-bond-issuance-framework/" TargetMode="External"/><Relationship Id="rId43" Type="http://schemas.openxmlformats.org/officeDocument/2006/relationships/hyperlink" Target="https://www.prnewswire.com/news-releases/driving-digital-trade-transformation-nayaone-powers-world-economic-forums-groundbreaking-tradetech-regulatory-sandbox-302362263.html" TargetMode="External"/><Relationship Id="rId44" Type="http://schemas.openxmlformats.org/officeDocument/2006/relationships/hyperlink" Target="https://fintech.global/2025/12/04/fca-begins-live-ai-testing-with-major-uk-banks/" TargetMode="External"/><Relationship Id="rId45" Type="http://schemas.openxmlformats.org/officeDocument/2006/relationships/hyperlink" Target="https://www.gtreview.com/news/fintech/singapore-and-abu-dhabi-pilot-first-mletr-enabled-trade-transaction/" TargetMode="External"/><Relationship Id="rId46" Type="http://schemas.openxmlformats.org/officeDocument/2006/relationships/hyperlink" Target="https://www.qna.org.qa/en/News-Area/News/2024-04/27/0045-qcb-approves-5-companies-as-a-first-cohort-for-bnpl-service" TargetMode="External"/><Relationship Id="rId47" Type="http://schemas.openxmlformats.org/officeDocument/2006/relationships/hyperlink" Target="https://afsa.aifc.kz/?p=21628" TargetMode="External"/><Relationship Id="rId48" Type="http://schemas.openxmlformats.org/officeDocument/2006/relationships/hyperlink" Target="https://kun.uz/kr/news/2023/11/29/ozbekistonda-tartibga-solish-qumdonini-joriy-etish-tartibi-belgilandi" TargetMode="External"/><Relationship Id="rId49" Type="http://schemas.openxmlformats.org/officeDocument/2006/relationships/hyperlink" Target="https://www.spot.uz/ru/2026/04/04/legal-experiment/" TargetMode="External"/><Relationship Id="rId50" Type="http://schemas.openxmlformats.org/officeDocument/2006/relationships/header" Target="header1.xml"/><Relationship Id="rId51" Type="http://schemas.openxmlformats.org/officeDocument/2006/relationships/footer" Target="footer1.xml"/><Relationship Id="rId52" Type="http://schemas.openxmlformats.org/officeDocument/2006/relationships/header" Target="header2.xml"/><Relationship Id="rId5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Uzbekistan: Regulatory Sandbox International Benchmarking and Design Report</dc:title>
  <dc:subject>Regulatory sandbox benchmarking and design</dc:subject>
  <dc:creator>Advisory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