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59" w:lineRule="auto"/>
      </w:pPr>
    </w:p>
    <w:p>
      <w:pPr>
        <w:spacing w:before="0" w:after="280" w:line="259" w:lineRule="auto"/>
      </w:pPr>
    </w:p>
    <w:p>
      <w:pPr>
        <w:spacing w:before="0" w:after="280" w:line="259" w:lineRule="auto"/>
      </w:pPr>
    </w:p>
    <w:p>
      <w:pPr>
        <w:spacing w:before="0" w:after="280" w:line="259" w:lineRule="auto"/>
      </w:pPr>
    </w:p>
    <w:p>
      <w:pPr>
        <w:spacing w:before="0" w:after="280" w:line="259" w:lineRule="auto"/>
      </w:pPr>
    </w:p>
    <w:p>
      <w:pPr>
        <w:spacing w:before="0" w:after="40" w:line="259" w:lineRule="auto"/>
      </w:pPr>
      <w:r>
        <w:rPr>
          <w:rFonts w:ascii="Calibri" w:hAnsi="Calibri" w:eastAsia="Calibri"/>
          <w:b/>
          <w:color w:val="009162"/>
          <w:sz w:val="22"/>
        </w:rPr>
        <w:t>ENTERPRISE UZBEKISTAN</w:t>
      </w:r>
    </w:p>
    <w:p>
      <w:pPr>
        <w:spacing w:before="0" w:after="520" w:line="259" w:lineRule="auto"/>
      </w:pPr>
      <w:r>
        <w:rPr>
          <w:rFonts w:ascii="Calibri" w:hAnsi="Calibri" w:eastAsia="Calibri"/>
          <w:color w:val="6B6E70"/>
          <w:sz w:val="20"/>
        </w:rPr>
        <w:t>Executive strategic advisory report</w:t>
      </w:r>
    </w:p>
    <w:p>
      <w:pPr>
        <w:spacing w:before="0" w:after="0" w:line="240" w:lineRule="auto"/>
      </w:pPr>
      <w:r>
        <w:rPr>
          <w:rFonts w:ascii="Calibri" w:hAnsi="Calibri" w:eastAsia="Calibri"/>
          <w:b/>
          <w:color w:val="175C58"/>
          <w:sz w:val="60"/>
        </w:rPr>
        <w:t>Regulatory Sandbox:</w:t>
      </w:r>
    </w:p>
    <w:p>
      <w:pPr>
        <w:spacing w:before="0" w:after="0" w:line="240" w:lineRule="auto"/>
      </w:pPr>
      <w:r>
        <w:rPr>
          <w:rFonts w:ascii="Calibri" w:hAnsi="Calibri" w:eastAsia="Calibri"/>
          <w:b/>
          <w:color w:val="175C58"/>
          <w:sz w:val="60"/>
        </w:rPr>
        <w:t>International Benchmarking</w:t>
      </w:r>
    </w:p>
    <w:p>
      <w:pPr>
        <w:spacing w:before="0" w:after="280" w:line="240" w:lineRule="auto"/>
      </w:pPr>
      <w:r>
        <w:rPr>
          <w:rFonts w:ascii="Calibri" w:hAnsi="Calibri" w:eastAsia="Calibri"/>
          <w:b/>
          <w:color w:val="175C58"/>
          <w:sz w:val="60"/>
        </w:rPr>
        <w:t>and Design Report</w:t>
      </w:r>
    </w:p>
    <w:p>
      <w:pPr>
        <w:pBdr>
          <w:bottom w:val="single" w:sz="18" w:space="14" w:color="009162"/>
        </w:pBdr>
        <w:spacing w:before="0" w:after="720" w:line="276" w:lineRule="auto"/>
      </w:pPr>
      <w:r>
        <w:rPr>
          <w:rFonts w:ascii="Calibri" w:hAnsi="Calibri" w:eastAsia="Calibri"/>
          <w:color w:val="39393B"/>
          <w:sz w:val="26"/>
        </w:rPr>
        <w:t>International evidence and the sandbox operating model Enterprise Uzbekistan should launch</w:t>
      </w:r>
    </w:p>
    <w:p>
      <w:pPr>
        <w:spacing w:before="0" w:after="100" w:line="259" w:lineRule="auto"/>
      </w:pPr>
      <w:r>
        <w:rPr>
          <w:rFonts w:ascii="Calibri" w:hAnsi="Calibri" w:eastAsia="Calibri"/>
          <w:b/>
          <w:color w:val="009162"/>
          <w:sz w:val="16"/>
        </w:rPr>
        <w:t xml:space="preserve">PREPARED FOR   </w:t>
      </w:r>
      <w:r>
        <w:rPr>
          <w:rFonts w:ascii="Calibri" w:hAnsi="Calibri" w:eastAsia="Calibri"/>
          <w:color w:val="39393B"/>
          <w:sz w:val="19"/>
        </w:rPr>
        <w:t>The Chairman of Enterprise Uzbekistan, the Governing Council and Senior Management</w:t>
      </w:r>
    </w:p>
    <w:p>
      <w:pPr>
        <w:spacing w:before="0" w:after="100" w:line="259" w:lineRule="auto"/>
      </w:pPr>
      <w:r>
        <w:rPr>
          <w:rFonts w:ascii="Calibri" w:hAnsi="Calibri" w:eastAsia="Calibri"/>
          <w:b/>
          <w:color w:val="009162"/>
          <w:sz w:val="16"/>
        </w:rPr>
        <w:t xml:space="preserve">RESEARCH DATE   </w:t>
      </w:r>
      <w:r>
        <w:rPr>
          <w:rFonts w:ascii="Calibri" w:hAnsi="Calibri" w:eastAsia="Calibri"/>
          <w:color w:val="39393B"/>
          <w:sz w:val="19"/>
        </w:rPr>
        <w:t>20 October 2026</w:t>
      </w:r>
    </w:p>
    <w:p>
      <w:pPr>
        <w:spacing w:before="0" w:after="100" w:line="259" w:lineRule="auto"/>
      </w:pPr>
      <w:r>
        <w:rPr>
          <w:rFonts w:ascii="Calibri" w:hAnsi="Calibri" w:eastAsia="Calibri"/>
          <w:b/>
          <w:color w:val="009162"/>
          <w:sz w:val="16"/>
        </w:rPr>
        <w:t xml:space="preserve">STATUS   </w:t>
      </w:r>
      <w:r>
        <w:rPr>
          <w:rFonts w:ascii="Calibri" w:hAnsi="Calibri" w:eastAsia="Calibri"/>
          <w:color w:val="39393B"/>
          <w:sz w:val="19"/>
        </w:rPr>
        <w:t>Decision-support draft. Read the evidence-status note (next page) before relying on any figure.</w:t>
      </w:r>
    </w:p>
    <w:p>
      <w:pPr>
        <w:spacing w:before="0" w:after="100" w:line="259" w:lineRule="auto"/>
      </w:pPr>
      <w:r>
        <w:rPr>
          <w:rFonts w:ascii="Calibri" w:hAnsi="Calibri" w:eastAsia="Calibri"/>
          <w:b/>
          <w:color w:val="009162"/>
          <w:sz w:val="16"/>
        </w:rPr>
        <w:t xml:space="preserve">DISTRIBUTION   </w:t>
      </w:r>
      <w:r>
        <w:rPr>
          <w:rFonts w:ascii="Calibri" w:hAnsi="Calibri" w:eastAsia="Calibri"/>
          <w:color w:val="39393B"/>
          <w:sz w:val="19"/>
        </w:rPr>
        <w:t>International edition for WEF, foreign regulators and partners. Internal until Annex D steps 1–3 are complete and the Chairman approves release (Decision D11).</w:t>
      </w:r>
    </w:p>
    <w:p>
      <w:pPr>
        <w:spacing w:before="0" w:after="100" w:line="259" w:lineRule="auto"/>
      </w:pPr>
      <w:r>
        <w:rPr>
          <w:rFonts w:ascii="Calibri" w:hAnsi="Calibri" w:eastAsia="Calibri"/>
          <w:b/>
          <w:color w:val="009162"/>
          <w:sz w:val="16"/>
        </w:rPr>
        <w:t xml:space="preserve">LANGUAGE   </w:t>
      </w:r>
      <w:r>
        <w:rPr>
          <w:rFonts w:ascii="Calibri" w:hAnsi="Calibri" w:eastAsia="Calibri"/>
          <w:color w:val="39393B"/>
          <w:sz w:val="19"/>
        </w:rPr>
        <w:t>English. The Russian version, EUz's primary internal management document, and this edition are equally authoritative, with identical analysis and numbering.</w:t>
      </w:r>
    </w:p>
    <w:p>
      <w:pPr>
        <w:pStyle w:val="Heading1"/>
        <w:pageBreakBefore/>
        <w:pBdr>
          <w:bottom w:val="single" w:sz="12" w:space="3" w:color="009162"/>
        </w:pBdr>
      </w:pPr>
      <w:r>
        <w:rPr>
          <w:rFonts w:ascii="Calibri" w:hAnsi="Calibri" w:eastAsia="Calibri"/>
        </w:rPr>
        <w:t>About this report: evidence status and how to read it</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FFF6E5"/>
              <w:left w:val="single" w:sz="36" w:space="0" w:color="D98E04"/>
              <w:bottom w:val="nil" w:sz="0" w:space="0" w:color="FFF6E5"/>
              <w:right w:val="nil" w:sz="0" w:space="0" w:color="FFF6E5"/>
            </w:tcBorders>
            <w:shd w:val="clear" w:color="auto" w:fill="FFF6E5"/>
            <w:tcMar>
              <w:top w:w="90" w:type="dxa"/>
              <w:left w:w="150" w:type="dxa"/>
              <w:bottom w:w="90" w:type="dxa"/>
              <w:right w:w="120" w:type="dxa"/>
            </w:tcMar>
          </w:tcPr>
          <w:p>
            <w:pPr>
              <w:keepNext/>
              <w:spacing w:before="0" w:after="40" w:line="259" w:lineRule="auto"/>
            </w:pPr>
            <w:r>
              <w:rPr>
                <w:rFonts w:ascii="Calibri" w:hAnsi="Calibri" w:eastAsia="Calibri"/>
                <w:b/>
                <w:color w:val="175C58"/>
                <w:sz w:val="19"/>
              </w:rPr>
              <w:t>Evidence status: read before relying on any figure</w:t>
            </w:r>
          </w:p>
          <w:p>
            <w:pPr>
              <w:spacing w:before="0" w:after="40" w:line="252" w:lineRule="auto"/>
            </w:pPr>
            <w:r>
              <w:rPr>
                <w:rFonts w:ascii="Calibri" w:hAnsi="Calibri" w:eastAsia="Calibri"/>
                <w:b/>
                <w:sz w:val="18"/>
              </w:rPr>
              <w:t>Method.</w:t>
            </w:r>
            <w:r>
              <w:rPr>
                <w:rFonts w:ascii="Calibri" w:hAnsi="Calibri" w:eastAsia="Calibri"/>
                <w:sz w:val="18"/>
              </w:rPr>
              <w:t xml:space="preserve"> Web research on 20 October 2026 across regulator, government, multilateral and academic sources. Each headline claim was re-checked in a second pass and challenged in an adversarial review; this edition uses the wording that review supports.</w:t>
            </w:r>
          </w:p>
          <w:p>
            <w:pPr>
              <w:spacing w:before="0" w:after="40" w:line="252" w:lineRule="auto"/>
            </w:pPr>
            <w:r>
              <w:rPr>
                <w:rFonts w:ascii="Calibri" w:hAnsi="Calibri" w:eastAsia="Calibri"/>
                <w:b/>
                <w:sz w:val="18"/>
              </w:rPr>
              <w:t>Limitation affecting every chapter.</w:t>
            </w:r>
            <w:r>
              <w:rPr>
                <w:rFonts w:ascii="Calibri" w:hAnsi="Calibri" w:eastAsia="Calibri"/>
                <w:sz w:val="18"/>
              </w:rPr>
              <w:t xml:space="preserve"> Most primary sites could not be accessed directly; figures come from search-indexed summaries of the cited primary pages or, where stated, secondary sources. </w:t>
            </w:r>
            <w:r>
              <w:rPr>
                <w:rFonts w:ascii="Calibri" w:hAnsi="Calibri" w:eastAsia="Calibri"/>
                <w:b/>
                <w:sz w:val="18"/>
              </w:rPr>
              <w:t>No figure has yet been checked against the full text of its primary document</w:t>
            </w:r>
            <w:r>
              <w:rPr>
                <w:rFonts w:ascii="Calibri" w:hAnsi="Calibri" w:eastAsia="Calibri"/>
                <w:sz w:val="18"/>
              </w:rPr>
              <w:t xml:space="preserve"> (Annex D, step 2).</w:t>
            </w:r>
          </w:p>
          <w:p>
            <w:pPr>
              <w:spacing w:before="0" w:after="40" w:line="252" w:lineRule="auto"/>
            </w:pPr>
            <w:r>
              <w:rPr>
                <w:rFonts w:ascii="Calibri" w:hAnsi="Calibri" w:eastAsia="Calibri"/>
                <w:b/>
                <w:sz w:val="18"/>
              </w:rPr>
              <w:t>Legal framework.</w:t>
            </w:r>
            <w:r>
              <w:rPr>
                <w:rFonts w:ascii="Calibri" w:hAnsi="Calibri" w:eastAsia="Calibri"/>
                <w:sz w:val="18"/>
              </w:rPr>
              <w:t xml:space="preserve"> Chapter 5's EUz provisions rest on news and law-firm reports, official database listings and EUz working files (W). </w:t>
            </w:r>
            <w:r>
              <w:rPr>
                <w:rFonts w:ascii="Calibri" w:hAnsi="Calibri" w:eastAsia="Calibri"/>
                <w:b/>
                <w:sz w:val="18"/>
              </w:rPr>
              <w:t>The official texts of Decree UP-233 and the Constitutional Law have not yet been reviewed (Annex D, step 1).</w:t>
            </w:r>
            <w:r>
              <w:rPr>
                <w:rFonts w:ascii="Calibri" w:hAnsi="Calibri" w:eastAsia="Calibri"/>
                <w:sz w:val="18"/>
              </w:rPr>
              <w:t xml:space="preserve"> Per lex.uz, UP-233 of 26 Nov 2025 organised the activity of the International Centre for Digital Technologies (the Centre), first established by Decree UP-25 of 1 Feb 2024 [S28]; lex.uz identifies the Constitutional Law as LRU-1169 of 19 Aug 2026 [S57] (constitutional status as reported by the press [S27]). Its entry into force on 21 January 2027 is reported by one outlet and must be checked against the law's final provisions [S27]. Until the law takes effect, the decree-level framework presumably remains the operative basis (to be confirmed by counsel). Nothing here is a confirmed legal position; the fit-gap matrix (Section 5.6) is a checklist for counsel, not a legal opinion.</w:t>
            </w:r>
          </w:p>
          <w:p>
            <w:pPr>
              <w:spacing w:before="0" w:after="40" w:line="252" w:lineRule="auto"/>
            </w:pPr>
            <w:r>
              <w:rPr>
                <w:rFonts w:ascii="Calibri" w:hAnsi="Calibri" w:eastAsia="Calibri"/>
                <w:b/>
                <w:sz w:val="18"/>
              </w:rPr>
              <w:t>Use.</w:t>
            </w:r>
            <w:r>
              <w:rPr>
                <w:rFonts w:ascii="Calibri" w:hAnsi="Calibri" w:eastAsia="Calibri"/>
                <w:sz w:val="18"/>
              </w:rPr>
              <w:t xml:space="preserve"> Choose a direction on these conclusions; complete the Annex D verification sprint before quoting any figure externally or drafting any rule.</w:t>
            </w:r>
          </w:p>
        </w:tc>
      </w:tr>
    </w:tbl>
    <w:p>
      <w:pPr>
        <w:spacing w:before="0" w:after="40" w:line="144" w:lineRule="auto"/>
      </w:pPr>
    </w:p>
    <w:p>
      <w:pPr>
        <w:pStyle w:val="Heading3"/>
      </w:pPr>
      <w:r>
        <w:rPr>
          <w:rFonts w:ascii="Calibri" w:hAnsi="Calibri" w:eastAsia="Calibri"/>
        </w:rPr>
        <w:t>Evidence tags</w:t>
      </w:r>
    </w:p>
    <w:tbl>
      <w:tblPr>
        <w:tblW w:w="9639" w:type="dxa"/>
        <w:jc w:val="center"/>
        <w:tblLayout w:type="fixed"/>
        <w:tblLook w:firstColumn="1" w:firstRow="1" w:lastColumn="0" w:lastRow="0" w:noHBand="0" w:noVBand="1" w:val="04A0"/>
      </w:tblPr>
      <w:tblGrid>
        <w:gridCol w:w="680"/>
        <w:gridCol w:w="3969"/>
        <w:gridCol w:w="4989"/>
      </w:tblGrid>
      <w:tr>
        <w:trPr>
          <w:cantSplit/>
          <w:tblHeader/>
        </w:trPr>
        <w:tc>
          <w:tcPr>
            <w:tcW w:type="dxa" w:w="68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7"/>
              </w:rPr>
              <w:t>Tag</w:t>
            </w:r>
          </w:p>
        </w:tc>
        <w:tc>
          <w:tcPr>
            <w:tcW w:type="dxa" w:w="396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7"/>
              </w:rPr>
              <w:t>Meaning</w:t>
            </w:r>
          </w:p>
        </w:tc>
        <w:tc>
          <w:tcPr>
            <w:tcW w:type="dxa" w:w="498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7"/>
              </w:rPr>
              <w:t>Treatment</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R</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Regulator- or government-reported result</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As stated; not independently verified.</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I</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Independent evaluation (academic, multilateral, independent review)</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Given most weight.</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P</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Participant-, vendor- or convener-reported</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Flagged as such; never used as a headline.</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S</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Secondary source only (news, law-firm note, trade press)</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Used for context; flagged where a figure depends on it.</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T</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Target or intention, not an achieved result</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Never presented as a result.</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D</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Derived from reported numbers (e.g. admitted / applied)</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Shown with its inputs; definitions differ across programmes.</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A</w:t>
            </w:r>
          </w:p>
        </w:tc>
        <w:tc>
          <w:tcPr>
            <w:tcW w:type="dxa" w:w="396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Analyst interpretation or EUz recommendation</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7"/>
              </w:rPr>
              <w:t>Separated from facts in every case card (rows D and E).</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7"/>
              </w:rPr>
              <w:t>W</w:t>
            </w:r>
          </w:p>
        </w:tc>
        <w:tc>
          <w:tcPr>
            <w:tcW w:type="dxa" w:w="396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EUz working file (draft, unverified)</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7"/>
              </w:rPr>
              <w:t>Used only for EUz design facts, never as proof of a power.</w:t>
            </w:r>
          </w:p>
        </w:tc>
      </w:tr>
    </w:tbl>
    <w:p>
      <w:pPr>
        <w:spacing w:before="0" w:after="40" w:line="144" w:lineRule="auto"/>
      </w:pPr>
    </w:p>
    <w:p>
      <w:pPr>
        <w:spacing w:before="0" w:after="80" w:line="259" w:lineRule="auto"/>
      </w:pPr>
      <w:r>
        <w:rPr>
          <w:rFonts w:ascii="Calibri" w:hAnsi="Calibri" w:eastAsia="Calibri"/>
          <w:b/>
          <w:sz w:val="19"/>
        </w:rPr>
        <w:t>Rules applied.</w:t>
      </w:r>
      <w:r>
        <w:rPr>
          <w:rFonts w:ascii="Calibri" w:hAnsi="Calibri" w:eastAsia="Calibri"/>
          <w:sz w:val="19"/>
        </w:rPr>
        <w:t xml:space="preserve"> Numbers carry reporting period and cohort. "Reported" = as published by the cited source; "Not verified" = no reliable figure found in the sources reached (kept out of headline statistics); "Not disclosed" = apparently not published by the programme; "unreconciled" = sources conflict (Annex B). "Verified" is reserved for a figure checked against the full primary text (Annex D, step 2). Planning assumptions (service standards, team size, targets) are labelled and are not EUz baselines. Suggested participants and regulators are illustrations, not commitments.</w:t>
      </w:r>
    </w:p>
    <w:p>
      <w:pPr>
        <w:spacing w:before="0" w:after="80" w:line="259" w:lineRule="auto"/>
      </w:pPr>
      <w:r>
        <w:rPr>
          <w:rFonts w:ascii="Calibri" w:hAnsi="Calibri" w:eastAsia="Calibri"/>
          <w:b/>
          <w:sz w:val="19"/>
        </w:rPr>
        <w:t>Timing terms.</w:t>
      </w:r>
      <w:r>
        <w:rPr>
          <w:rFonts w:ascii="Calibri" w:hAnsi="Calibri" w:eastAsia="Calibri"/>
          <w:sz w:val="19"/>
        </w:rPr>
        <w:t xml:space="preserve"> Day 0 (month 0, M0) is the Governing Council's acceptance of this report; M4, M6 etc. count months from Day 0. Launch Day, when the Guidance Track opens to the public, is targeted for Day 90 (about M3). Details: Chapter 8.</w:t>
      </w:r>
    </w:p>
    <w:p>
      <w:pPr>
        <w:spacing w:before="0" w:after="80" w:line="259" w:lineRule="auto"/>
      </w:pPr>
      <w:r>
        <w:rPr>
          <w:rFonts w:ascii="Calibri" w:hAnsi="Calibri" w:eastAsia="Calibri"/>
          <w:b/>
          <w:sz w:val="19"/>
        </w:rPr>
        <w:t>Source codes.</w:t>
      </w:r>
      <w:r>
        <w:rPr>
          <w:rFonts w:ascii="Calibri" w:hAnsi="Calibri" w:eastAsia="Calibri"/>
          <w:sz w:val="19"/>
        </w:rPr>
        <w:t xml:space="preserve"> References such as [S7] point to the bibliography (Annex E), with URLs.</w:t>
      </w:r>
    </w:p>
    <w:p>
      <w:pPr>
        <w:pStyle w:val="Heading3"/>
      </w:pPr>
      <w:r>
        <w:rPr>
          <w:rFonts w:ascii="Calibri" w:hAnsi="Calibri" w:eastAsia="Calibri"/>
        </w:rPr>
        <w:t>Abbreviations</w:t>
      </w:r>
    </w:p>
    <w:tbl>
      <w:tblPr>
        <w:tblW w:w="9639" w:type="dxa"/>
        <w:jc w:val="center"/>
        <w:tblLayout w:type="fixed"/>
        <w:tblLook w:firstColumn="1" w:firstRow="1" w:lastColumn="0" w:lastRow="0" w:noHBand="0" w:noVBand="1" w:val="04A0"/>
      </w:tblPr>
      <w:tblGrid>
        <w:gridCol w:w="1247"/>
        <w:gridCol w:w="3572"/>
        <w:gridCol w:w="1247"/>
        <w:gridCol w:w="3572"/>
      </w:tblGrid>
      <w:tr>
        <w:trPr>
          <w:cantSplit/>
          <w:tblHeader/>
        </w:trPr>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Abbreviation</w:t>
            </w:r>
          </w:p>
        </w:tc>
        <w:tc>
          <w:tcPr>
            <w:tcW w:type="dxa" w:w="357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Meaning</w:t>
            </w:r>
          </w:p>
        </w:tc>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Abbreviation</w:t>
            </w:r>
          </w:p>
        </w:tc>
        <w:tc>
          <w:tcPr>
            <w:tcW w:type="dxa" w:w="357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Meaning</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ADGM</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Abu Dhabi Global Market</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HKMA</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Hong Kong Monetary Authority</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AI</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Artificial intelligence</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ICO</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Information Commissioner's Office (UK); replaced by the Information Commission from 30 Sep 2026 (S) [S47]</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AIFC</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Astana International Financial Centre (Kazakhstan)</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IMF</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International Monetary Fund</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AML/CFT</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Anti-money laundering and countering the financing of terrorism</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ITL</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Innovation Testing Licence (DFSA)</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API</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Application programming interface</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KPI</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Key performance indicator</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ASIC</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Australian Securities and Investments Commission</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LegCo</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Legislative Council (Hong Kong)</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BIS</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Bank for International Settlements</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LRU / ZRU</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Law of the Republic of Uzbekistan (prefix LRU in English, ZRU in Russian transliteration; e.g. LRU-1169)</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BNPL</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Buy now, pay later</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M3, M4 ...</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Months counted from Day 0 (see Timing terms)</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CBB</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Central Bank of Bahrain</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MAS</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Monetary Authority of Singapore</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CBU</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Central Bank of the Republic of Uzbekistan</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MLETR</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UNCITRAL Model Law on Electronic Transferable Records</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Centre</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International Centre for Digital Technologies, named in Decree UP-233 and LRU-1169; reported to operate as Enterprise Uzbekistan [S27][S28]</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MoU</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Memorandum of understanding</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CSA / OSC</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Canadian Securities Administrators / Ontario Securities Commission</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MVP</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Minimum viable product</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DFSA</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Dubai Financial Services Authority</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NAPP</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National Agency for Perspective Projects (Uzbekistan)</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EOI</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Expression of interest</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OECD</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Organisation for Economic Co-operation and Development</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EUz</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Enterprise Uzbekistan</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Ofgem</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Office of Gas and Electricity Markets (UK)</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FCA</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Financial Conduct Authority (UK)</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PQ / PP</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Presidential Resolution (prefix PQ in Uzbek, PP in Russian transliteration)</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FOI</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Freedom of Information</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QCB / QFC</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Qatar Central Bank / Qatar Financial Centre</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FSC</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Financial Services Commission (Korea)</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RegTech / GovTech</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Regulatory technology / government technology</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FSRA</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Financial Services Regulatory Authority (ADGM)</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SAMA</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Saudi Central Bank</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FSS</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Fintech Supervisory Sandbox (HKMA)</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SME</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Small and medium-sized enterprise</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FY</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Financial year</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UNCITRAL</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UN Commission on International Trade Law</w:t>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GenAI</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Generative artificial intelligence</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UP</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Presidential Decree (act prefix, e.g. UP-233)</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ICT</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Information and communication technology</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r>
      <w:tr>
        <w:trPr>
          <w:cantSplit/>
        </w:trPr>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GFIN</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Global Financial Innovation Network</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WD</w:t>
            </w:r>
          </w:p>
        </w:tc>
        <w:tc>
          <w:tcPr>
            <w:tcW w:type="dxa" w:w="357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Working days</w:t>
            </w:r>
          </w:p>
        </w:tc>
      </w:tr>
      <w:tr>
        <w:trPr>
          <w:cantSplit/>
        </w:trPr>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GRIP</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Global Regulatory Innovation Platform (WEF)</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WEF</w:t>
            </w:r>
          </w:p>
        </w:tc>
        <w:tc>
          <w:tcPr>
            <w:tcW w:type="dxa" w:w="357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World Economic Forum</w:t>
            </w:r>
          </w:p>
        </w:tc>
      </w:tr>
    </w:tbl>
    <w:p>
      <w:pPr>
        <w:spacing w:before="0" w:after="40" w:line="144" w:lineRule="auto"/>
      </w:pPr>
    </w:p>
    <w:p>
      <w:pPr>
        <w:pageBreakBefore/>
        <w:pBdr>
          <w:bottom w:val="single" w:sz="12" w:space="3" w:color="009162"/>
        </w:pBdr>
        <w:spacing w:before="0" w:after="160" w:line="259" w:lineRule="auto"/>
      </w:pPr>
      <w:r>
        <w:rPr>
          <w:rFonts w:ascii="Calibri" w:hAnsi="Calibri" w:eastAsia="Calibri"/>
          <w:b/>
          <w:color w:val="175C58"/>
          <w:sz w:val="36"/>
        </w:rPr>
        <w:t>Contents</w:t>
      </w:r>
    </w:p>
    <w:p>
      <w:pPr>
        <w:pStyle w:val="TOC1"/>
      </w:pPr>
      <w:r>
        <w:fldChar w:fldCharType="begin"/>
      </w:r>
      <w:r>
        <w:instrText xml:space="preserve"> TOC \o "1-2" \h \z \u </w:instrText>
      </w:r>
      <w:r>
        <w:fldChar w:fldCharType="separate"/>
      </w:r>
      <w:r>
        <w:rPr>
          <w:rFonts w:ascii="Calibri" w:hAnsi="Calibri" w:eastAsia="Calibri"/>
        </w:rPr>
        <w:t>1. Executive summary: the evidence supports a lean, guidance-first sandbox with a published decision clock</w:t>
      </w:r>
      <w:r>
        <w:tab/>
        <w:t>5</w:t>
      </w:r>
    </w:p>
    <w:p>
      <w:pPr>
        <w:pStyle w:val="TOC1"/>
      </w:pPr>
      <w:r>
        <w:rPr>
          <w:rFonts w:ascii="Calibri" w:hAnsi="Calibri" w:eastAsia="Calibri"/>
        </w:rPr>
        <w:t>2. International results at a glance: documented results are real but modest, concentrated in licensing, funding and guidance</w:t>
      </w:r>
      <w:r>
        <w:tab/>
        <w:t>8</w:t>
      </w:r>
    </w:p>
    <w:p>
      <w:pPr>
        <w:pStyle w:val="TOC2"/>
      </w:pPr>
      <w:r>
        <w:rPr>
          <w:rFonts w:ascii="Calibri" w:hAnsi="Calibri" w:eastAsia="Calibri"/>
        </w:rPr>
        <w:t>What the evidence tells us</w:t>
      </w:r>
      <w:r>
        <w:tab/>
        <w:t>9</w:t>
      </w:r>
    </w:p>
    <w:p>
      <w:pPr>
        <w:pStyle w:val="TOC1"/>
      </w:pPr>
      <w:r>
        <w:rPr>
          <w:rFonts w:ascii="Calibri" w:hAnsi="Calibri" w:eastAsia="Calibri"/>
        </w:rPr>
        <w:t>3. Selected international success stories: what eight programmes measured, and one EUz design decision from each</w:t>
      </w:r>
      <w:r>
        <w:tab/>
        <w:t>11</w:t>
      </w:r>
    </w:p>
    <w:p>
      <w:pPr>
        <w:pStyle w:val="TOC1"/>
      </w:pPr>
      <w:r>
        <w:rPr>
          <w:rFonts w:ascii="Calibri" w:hAnsi="Calibri" w:eastAsia="Calibri"/>
        </w:rPr>
        <w:t>4. Innovative mechanisms and cases: proven tools are modest; novel ones are mostly unmeasured</w:t>
      </w:r>
      <w:r>
        <w:tab/>
        <w:t>16</w:t>
      </w:r>
    </w:p>
    <w:p>
      <w:pPr>
        <w:pStyle w:val="TOC2"/>
      </w:pPr>
      <w:r>
        <w:rPr>
          <w:rFonts w:ascii="Calibri" w:hAnsi="Calibri" w:eastAsia="Calibri"/>
        </w:rPr>
        <w:t>4.1 Fourteen mechanisms: licence conversion and the UK funding effect are best evidenced; fast-track and AI testing are not yet independently evaluated</w:t>
      </w:r>
      <w:r>
        <w:tab/>
        <w:t>16</w:t>
      </w:r>
    </w:p>
    <w:p>
      <w:pPr>
        <w:pStyle w:val="TOC2"/>
      </w:pPr>
      <w:r>
        <w:rPr>
          <w:rFonts w:ascii="Calibri" w:hAnsi="Calibri" w:eastAsia="Calibri"/>
        </w:rPr>
        <w:t>4.2 Seven cases: licensing shows completed outcomes; no audited cost saving was found; rule-change evidence is thin</w:t>
      </w:r>
      <w:r>
        <w:tab/>
        <w:t>17</w:t>
      </w:r>
    </w:p>
    <w:p>
      <w:pPr>
        <w:pStyle w:val="TOC1"/>
      </w:pPr>
      <w:r>
        <w:rPr>
          <w:rFonts w:ascii="Calibri" w:hAnsi="Calibri" w:eastAsia="Calibri"/>
        </w:rPr>
        <w:t>5. EUz Sandbox strategic design: a target operating model that is lean at launch and expands only on evidence</w:t>
      </w:r>
      <w:r>
        <w:tab/>
        <w:t>19</w:t>
      </w:r>
    </w:p>
    <w:p>
      <w:pPr>
        <w:pStyle w:val="TOC2"/>
      </w:pPr>
      <w:r>
        <w:rPr>
          <w:rFonts w:ascii="Calibri" w:hAnsi="Calibri" w:eastAsia="Calibri"/>
        </w:rPr>
        <w:t>5.1 Institutional architecture: ownership, decision rights and consent gates</w:t>
      </w:r>
      <w:r>
        <w:tab/>
        <w:t>20</w:t>
      </w:r>
    </w:p>
    <w:p>
      <w:pPr>
        <w:pStyle w:val="TOC2"/>
      </w:pPr>
      <w:r>
        <w:rPr>
          <w:rFonts w:ascii="Calibri" w:hAnsi="Calibri" w:eastAsia="Calibri"/>
        </w:rPr>
        <w:t>5.2 Participant journey: nine stages with an owner, a decision and a clock</w:t>
      </w:r>
      <w:r>
        <w:tab/>
        <w:t>23</w:t>
      </w:r>
    </w:p>
    <w:p>
      <w:pPr>
        <w:pStyle w:val="TOC2"/>
      </w:pPr>
      <w:r>
        <w:rPr>
          <w:rFonts w:ascii="Calibri" w:hAnsi="Calibri" w:eastAsia="Calibri"/>
        </w:rPr>
        <w:t>5.3 Operating tracks: launch two, pilot two after the cohort-1 evaluation, defer one</w:t>
      </w:r>
      <w:r>
        <w:tab/>
        <w:t>24</w:t>
      </w:r>
    </w:p>
    <w:p>
      <w:pPr>
        <w:pStyle w:val="TOC2"/>
      </w:pPr>
      <w:r>
        <w:rPr>
          <w:rFonts w:ascii="Calibri" w:hAnsi="Calibri" w:eastAsia="Calibri"/>
        </w:rPr>
        <w:t>5.4 Services and the "why EUz" case: compete on emerging-technology scope and a published clock, not on fintech volume</w:t>
      </w:r>
      <w:r>
        <w:tab/>
        <w:t>25</w:t>
      </w:r>
    </w:p>
    <w:p>
      <w:pPr>
        <w:pStyle w:val="TOC2"/>
      </w:pPr>
      <w:r>
        <w:rPr>
          <w:rFonts w:ascii="Calibri" w:hAnsi="Calibri" w:eastAsia="Calibri"/>
        </w:rPr>
        <w:t>5.5 Exit and graduation: successful testing does not automatically grant a licence</w:t>
      </w:r>
      <w:r>
        <w:tab/>
        <w:t>26</w:t>
      </w:r>
    </w:p>
    <w:p>
      <w:pPr>
        <w:pStyle w:val="TOC2"/>
      </w:pPr>
      <w:r>
        <w:rPr>
          <w:rFonts w:ascii="Calibri" w:hAnsi="Calibri" w:eastAsia="Calibri"/>
        </w:rPr>
        <w:t>5.6 Legal fit-gap analysis: a checklist for counsel, not a legal opinion</w:t>
      </w:r>
      <w:r>
        <w:tab/>
        <w:t>26</w:t>
      </w:r>
    </w:p>
    <w:p>
      <w:pPr>
        <w:pStyle w:val="TOC2"/>
      </w:pPr>
      <w:r>
        <w:rPr>
          <w:rFonts w:ascii="Calibri" w:hAnsi="Calibri" w:eastAsia="Calibri"/>
        </w:rPr>
        <w:t>5.7 Admission criteria and safeguards: admit only tests naming a specific regulatory barrier, with caps, disclosure and stop-loss in every decision</w:t>
      </w:r>
      <w:r>
        <w:tab/>
        <w:t>28</w:t>
      </w:r>
    </w:p>
    <w:p>
      <w:pPr>
        <w:pStyle w:val="TOC2"/>
      </w:pPr>
      <w:r>
        <w:rPr>
          <w:rFonts w:ascii="Calibri" w:hAnsi="Calibri" w:eastAsia="Calibri"/>
        </w:rPr>
        <w:t>5.8 How regulators, experts and companies interact: regulator consent is secured before approval, not after</w:t>
      </w:r>
      <w:r>
        <w:tab/>
        <w:t>29</w:t>
      </w:r>
    </w:p>
    <w:p>
      <w:pPr>
        <w:pStyle w:val="TOC2"/>
      </w:pPr>
      <w:r>
        <w:rPr>
          <w:rFonts w:ascii="Calibri" w:hAnsi="Calibri" w:eastAsia="Calibri"/>
        </w:rPr>
        <w:t>5.9 Launch sequence: guidance at launch, live testing from month 6, everything else on evidence</w:t>
      </w:r>
      <w:r>
        <w:tab/>
        <w:t>30</w:t>
      </w:r>
    </w:p>
    <w:p>
      <w:pPr>
        <w:pStyle w:val="TOC2"/>
      </w:pPr>
      <w:r>
        <w:rPr>
          <w:rFonts w:ascii="Calibri" w:hAnsi="Calibri" w:eastAsia="Calibri"/>
        </w:rPr>
        <w:t>5.10 Risk assessment: an unconfirmed legal basis and withheld regulator consent are the two high exposures</w:t>
      </w:r>
      <w:r>
        <w:tab/>
        <w:t>31</w:t>
      </w:r>
    </w:p>
    <w:p>
      <w:pPr>
        <w:pStyle w:val="TOC1"/>
      </w:pPr>
      <w:r>
        <w:rPr>
          <w:rFonts w:ascii="Calibri" w:hAnsi="Calibri" w:eastAsia="Calibri"/>
        </w:rPr>
        <w:t>6. WEF partnership assessment: a documented convener, best used to convene peer review and multi-authority pilots, not as design owner</w:t>
      </w:r>
      <w:r>
        <w:tab/>
        <w:t>33</w:t>
      </w:r>
    </w:p>
    <w:p>
      <w:pPr>
        <w:pStyle w:val="TOC2"/>
      </w:pPr>
      <w:r>
        <w:rPr>
          <w:rFonts w:ascii="Calibri" w:hAnsi="Calibri" w:eastAsia="Calibri"/>
        </w:rPr>
        <w:t>6.1 Four questions on WEF: its convening record is documented; a record as sandbox designer or governance owner is not</w:t>
      </w:r>
      <w:r>
        <w:tab/>
        <w:t>33</w:t>
      </w:r>
    </w:p>
    <w:p>
      <w:pPr>
        <w:pStyle w:val="TOC1"/>
      </w:pPr>
      <w:r>
        <w:rPr>
          <w:rFonts w:ascii="Calibri" w:hAnsi="Calibri" w:eastAsia="Calibri"/>
        </w:rPr>
        <w:t>7. First pilot portfolio: three sandbox pilots and one internal pilot, each with a fallback if the law is narrower than reported</w:t>
      </w:r>
      <w:r>
        <w:tab/>
        <w:t>36</w:t>
      </w:r>
    </w:p>
    <w:p>
      <w:pPr>
        <w:pStyle w:val="TOC1"/>
      </w:pPr>
      <w:r>
        <w:rPr>
          <w:rFonts w:ascii="Calibri" w:hAnsi="Calibri" w:eastAsia="Calibri"/>
        </w:rPr>
        <w:t>8. Roadmap, KPIs and decisions: legal verification and the Sandbox Rules set the critical path to first admissions at month 6</w:t>
      </w:r>
      <w:r>
        <w:tab/>
        <w:t>39</w:t>
      </w:r>
    </w:p>
    <w:p>
      <w:pPr>
        <w:pStyle w:val="TOC2"/>
      </w:pPr>
      <w:r>
        <w:rPr>
          <w:rFonts w:ascii="Calibri" w:hAnsi="Calibri" w:eastAsia="Calibri"/>
        </w:rPr>
        <w:t>8.1 First 90 days: fifteen actions and the critical path to launch</w:t>
      </w:r>
      <w:r>
        <w:tab/>
        <w:t>39</w:t>
      </w:r>
    </w:p>
    <w:p>
      <w:pPr>
        <w:pStyle w:val="TOC2"/>
      </w:pPr>
      <w:r>
        <w:rPr>
          <w:rFonts w:ascii="Calibri" w:hAnsi="Calibri" w:eastAsia="Calibri"/>
        </w:rPr>
        <w:t>8.2 First 12 months: four phases, each closed by a named decision gate</w:t>
      </w:r>
      <w:r>
        <w:tab/>
        <w:t>41</w:t>
      </w:r>
    </w:p>
    <w:p>
      <w:pPr>
        <w:pStyle w:val="TOC2"/>
      </w:pPr>
      <w:r>
        <w:rPr>
          <w:rFonts w:ascii="Calibri" w:hAnsi="Calibri" w:eastAsia="Calibri"/>
        </w:rPr>
        <w:t>8.3 Long-term development: cross-border pilots and richer infrastructure start only when the month-12 review finds their triggers met</w:t>
      </w:r>
      <w:r>
        <w:tab/>
        <w:t>41</w:t>
      </w:r>
    </w:p>
    <w:p>
      <w:pPr>
        <w:pStyle w:val="TOC2"/>
      </w:pPr>
      <w:r>
        <w:rPr>
          <w:rFonts w:ascii="Calibri" w:hAnsi="Calibri" w:eastAsia="Calibri"/>
        </w:rPr>
        <w:t>8.4 KPIs: fifteen measures; year 1 is judged on delivery, and outcome data arrive from about month 14</w:t>
      </w:r>
      <w:r>
        <w:tab/>
        <w:t>42</w:t>
      </w:r>
    </w:p>
    <w:p>
      <w:pPr>
        <w:pStyle w:val="TOC2"/>
      </w:pPr>
      <w:r>
        <w:rPr>
          <w:rFonts w:ascii="Calibri" w:hAnsi="Calibri" w:eastAsia="Calibri"/>
        </w:rPr>
        <w:t>8.5 Management decision matrix: legal verification by Day 20, then the operating model and admission authority by Day 30</w:t>
      </w:r>
      <w:r>
        <w:tab/>
        <w:t>43</w:t>
      </w:r>
    </w:p>
    <w:p>
      <w:pPr>
        <w:pStyle w:val="TOC1"/>
      </w:pPr>
      <w:r>
        <w:rPr>
          <w:rFonts w:ascii="Calibri" w:hAnsi="Calibri" w:eastAsia="Calibri"/>
        </w:rPr>
        <w:t>Annex A. Extended benchmarking matrix</w:t>
      </w:r>
      <w:r>
        <w:tab/>
        <w:t>45</w:t>
      </w:r>
    </w:p>
    <w:p>
      <w:pPr>
        <w:pStyle w:val="TOC1"/>
      </w:pPr>
      <w:r>
        <w:rPr>
          <w:rFonts w:ascii="Calibri" w:hAnsi="Calibri" w:eastAsia="Calibri"/>
        </w:rPr>
        <w:t>Annex B. Unreconciled and unverified data points</w:t>
      </w:r>
      <w:r>
        <w:tab/>
        <w:t>47</w:t>
      </w:r>
    </w:p>
    <w:p>
      <w:pPr>
        <w:pStyle w:val="TOC1"/>
      </w:pPr>
      <w:r>
        <w:rPr>
          <w:rFonts w:ascii="Calibri" w:hAnsi="Calibri" w:eastAsia="Calibri"/>
        </w:rPr>
        <w:t>Annex C. Legal references and verification status</w:t>
      </w:r>
      <w:r>
        <w:tab/>
        <w:t>49</w:t>
      </w:r>
    </w:p>
    <w:p>
      <w:pPr>
        <w:pStyle w:val="TOC1"/>
      </w:pPr>
      <w:r>
        <w:rPr>
          <w:rFonts w:ascii="Calibri" w:hAnsi="Calibri" w:eastAsia="Calibri"/>
        </w:rPr>
        <w:t>Annex D. Verification plan before external release</w:t>
      </w:r>
      <w:r>
        <w:tab/>
        <w:t>49</w:t>
      </w:r>
    </w:p>
    <w:p>
      <w:pPr>
        <w:pStyle w:val="TOC1"/>
      </w:pPr>
      <w:r>
        <w:rPr>
          <w:rFonts w:ascii="Calibri" w:hAnsi="Calibri" w:eastAsia="Calibri"/>
        </w:rPr>
        <w:t>Annex E. Bibliography</w:t>
      </w:r>
      <w:r>
        <w:tab/>
        <w:t>51</w:t>
      </w:r>
      <w:r>
        <w:fldChar w:fldCharType="end"/>
      </w:r>
    </w:p>
    <w:p>
      <w:pPr>
        <w:pStyle w:val="Heading1"/>
        <w:pageBreakBefore/>
        <w:pBdr>
          <w:bottom w:val="single" w:sz="12" w:space="3" w:color="009162"/>
        </w:pBdr>
      </w:pPr>
      <w:r>
        <w:rPr>
          <w:rFonts w:ascii="Calibri" w:hAnsi="Calibri" w:eastAsia="Calibri"/>
        </w:rPr>
        <w:t>1. Executive summary: the evidence supports a lean, guidance-first sandbox with a published decision clock</w:t>
      </w:r>
    </w:p>
    <w:p>
      <w:pPr>
        <w:pStyle w:val="Heading3"/>
      </w:pPr>
      <w:r>
        <w:rPr>
          <w:rFonts w:ascii="Calibri" w:hAnsi="Calibri" w:eastAsia="Calibri"/>
        </w:rPr>
        <w:t>Five international findings</w:t>
      </w:r>
    </w:p>
    <w:p>
      <w:pPr>
        <w:numPr>
          <w:ilvl w:val="0"/>
          <w:numId w:val="100"/>
        </w:numPr>
        <w:spacing w:before="0" w:after="60" w:line="259" w:lineRule="auto"/>
      </w:pPr>
      <w:r>
        <w:rPr>
          <w:rFonts w:ascii="Calibri" w:hAnsi="Calibri" w:eastAsia="Calibri"/>
          <w:b/>
          <w:sz w:val="19"/>
        </w:rPr>
        <w:t>Licence conversion is the most often reported outcome, but each programme counts it differently.</w:t>
      </w:r>
      <w:r>
        <w:rPr>
          <w:rFonts w:ascii="Calibri" w:hAnsi="Calibri" w:eastAsia="Calibri"/>
          <w:sz w:val="19"/>
        </w:rPr>
        <w:t xml:space="preserve"> The Monetary Authority of Singapore (MAS): 15 of 19 accepted firms graduated and were licensed (2016 to end-Sep 2025; Sandbox Express inclusion unclear; R) [S7]. The Saudi Central Bank (SAMA): 18 graduates among 45 permitted (cumulative, May 2023; R) [S22]. The Dubai Financial Services Authority (DFSA): 3 graduates among 51 accepted (R) [S14], a June 2021 snapshot, not a final conversion rate (A; Exhibit 3a). Higher counts come with a defined route into an existing licence: consistent with exit design mattering, not proof (A).</w:t>
      </w:r>
    </w:p>
    <w:p>
      <w:pPr>
        <w:numPr>
          <w:ilvl w:val="0"/>
          <w:numId w:val="100"/>
        </w:numPr>
        <w:spacing w:before="0" w:after="60" w:line="259" w:lineRule="auto"/>
      </w:pPr>
      <w:r>
        <w:rPr>
          <w:rFonts w:ascii="Calibri" w:hAnsi="Calibri" w:eastAsia="Calibri"/>
          <w:b/>
          <w:sz w:val="19"/>
        </w:rPr>
        <w:t>Independent evidence of commercial benefit exists for one programme.</w:t>
      </w:r>
      <w:r>
        <w:rPr>
          <w:rFonts w:ascii="Calibri" w:hAnsi="Calibri" w:eastAsia="Calibri"/>
          <w:sz w:val="19"/>
        </w:rPr>
        <w:t xml:space="preserve"> A peer-reviewed study by Bank for International Settlements (BIS) economists links UK Financial Conduct Authority (FCA) sandbox entry with about 15% more capital raised and about a 50% higher probability of raising capital, strongest for small, young firms (data 2014–2019; I) [S2]: an association in one well-resourced pioneer, not a transferable target for Enterprise Uzbekistan (EUz).</w:t>
      </w:r>
    </w:p>
    <w:p>
      <w:pPr>
        <w:numPr>
          <w:ilvl w:val="0"/>
          <w:numId w:val="100"/>
        </w:numPr>
        <w:spacing w:before="0" w:after="60" w:line="259" w:lineRule="auto"/>
      </w:pPr>
      <w:r>
        <w:rPr>
          <w:rFonts w:ascii="Calibri" w:hAnsi="Calibri" w:eastAsia="Calibri"/>
          <w:b/>
          <w:sz w:val="19"/>
        </w:rPr>
        <w:t>Where a triage split was published (one programme), most applicants needed guidance, not an exemption.</w:t>
      </w:r>
      <w:r>
        <w:rPr>
          <w:rFonts w:ascii="Calibri" w:hAnsi="Calibri" w:eastAsia="Calibri"/>
          <w:sz w:val="19"/>
        </w:rPr>
        <w:t xml:space="preserve"> Of 30 expressions of interest in window 1 of Ofgem, the UK energy regulator, 22 received feedback only because they identified no specific regulatory barrier, and 3 became sandboxes (R) [S6]. The UK Information Commissioner's Office (ICO) cannot waive the law but published exit reports usable as guidance by other firms [S5]. One window is thin evidence; EUz should publish its own guidance-only versus Full Sandbox split.</w:t>
      </w:r>
    </w:p>
    <w:p>
      <w:pPr>
        <w:numPr>
          <w:ilvl w:val="0"/>
          <w:numId w:val="100"/>
        </w:numPr>
        <w:spacing w:before="0" w:after="60" w:line="259" w:lineRule="auto"/>
      </w:pPr>
      <w:r>
        <w:rPr>
          <w:rFonts w:ascii="Calibri" w:hAnsi="Calibri" w:eastAsia="Calibri"/>
          <w:b/>
          <w:sz w:val="19"/>
        </w:rPr>
        <w:t>Fast-track and incentive tracks have no published record of success.</w:t>
      </w:r>
      <w:r>
        <w:rPr>
          <w:rFonts w:ascii="Calibri" w:hAnsi="Calibri" w:eastAsia="Calibri"/>
          <w:sz w:val="19"/>
        </w:rPr>
        <w:t xml:space="preserve"> MAS Sandbox Express targets a response within 21 days of a complete application, with no attainment data found (T) [S8]. Sandbox Plus, with a first-mover grant route [S9], had no approvals as at end-Sep 2025 (R) [S7]; the standard-sandbox median is about 3 months, including applicant time (Oct 2025; R) [S7]. No programme reviewed publishes audited savings in approval time or compliance cost.</w:t>
      </w:r>
    </w:p>
    <w:p>
      <w:pPr>
        <w:numPr>
          <w:ilvl w:val="0"/>
          <w:numId w:val="100"/>
        </w:numPr>
        <w:spacing w:before="0" w:after="60" w:line="259" w:lineRule="auto"/>
      </w:pPr>
      <w:r>
        <w:rPr>
          <w:rFonts w:ascii="Calibri" w:hAnsi="Calibri" w:eastAsia="Calibri"/>
          <w:b/>
          <w:sz w:val="19"/>
        </w:rPr>
        <w:t>Cross-border and multi-regulator testing is hard to execute.</w:t>
      </w:r>
      <w:r>
        <w:rPr>
          <w:rFonts w:ascii="Calibri" w:hAnsi="Calibri" w:eastAsia="Calibri"/>
          <w:sz w:val="19"/>
        </w:rPr>
        <w:t xml:space="preserve"> The Global Financial Innovation Network (GFIN) pilot drew 44 applications across 17 regulators and shortlisted 8 firms; none had begun testing by its lessons-learned report (R, Jan 2020) [S15]. The World Economic Forum (WEF) convened a multi-regulator sandbox in the UAE (TradeTech); its outcomes are convener-reported only (P; Section 3.6).</w:t>
      </w:r>
    </w:p>
    <w:p>
      <w:pPr>
        <w:spacing w:before="0" w:after="100" w:line="259" w:lineRule="auto"/>
      </w:pPr>
      <w:r>
        <w:rPr>
          <w:rFonts w:ascii="Calibri" w:hAnsi="Calibri" w:eastAsia="Calibri"/>
          <w:sz w:val="19"/>
        </w:rPr>
        <w:t>Artificial intelligence (AI) testing is growing: the Hong Kong Monetary Authority (HKMA) generative-AI sandbox went from 15 use cases (Dec 2024) to 36 in Sandbox++ (Aug 2026; scope widened to securities and insurance firms) [S21]. Admissions are not outcomes: no AI sandbox has published an independent outcome evaluation. Spain's pilot published a results report (Sep 2026) [S19]; the FCA's AI Live Testing evaluation is due in Q1 2027 (T) [S44].</w:t>
      </w:r>
    </w:p>
    <w:p>
      <w:pPr>
        <w:pStyle w:val="Heading3"/>
      </w:pPr>
      <w:r>
        <w:rPr>
          <w:rFonts w:ascii="Calibri" w:hAnsi="Calibri" w:eastAsia="Calibri"/>
        </w:rPr>
        <w:t>Ten recommendations for EUz</w:t>
      </w:r>
    </w:p>
    <w:tbl>
      <w:tblPr>
        <w:tblW w:w="9639" w:type="dxa"/>
        <w:jc w:val="center"/>
        <w:tblLayout w:type="fixed"/>
        <w:tblLook w:firstColumn="1" w:firstRow="1" w:lastColumn="0" w:lastRow="0" w:noHBand="0" w:noVBand="1" w:val="04A0"/>
      </w:tblPr>
      <w:tblGrid>
        <w:gridCol w:w="340"/>
        <w:gridCol w:w="3345"/>
        <w:gridCol w:w="1360"/>
        <w:gridCol w:w="1644"/>
        <w:gridCol w:w="1530"/>
        <w:gridCol w:w="1417"/>
      </w:tblGrid>
      <w:tr>
        <w:trPr>
          <w:cantSplit/>
          <w:tblHeader/>
        </w:trPr>
        <w:tc>
          <w:tcPr>
            <w:tcW w:type="dxa" w:w="34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5"/>
              </w:rPr>
              <w:t>#</w:t>
            </w:r>
          </w:p>
        </w:tc>
        <w:tc>
          <w:tcPr>
            <w:tcW w:type="dxa" w:w="334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Action [evidence base]</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Owner</w:t>
            </w:r>
          </w:p>
        </w:tc>
        <w:tc>
          <w:tcPr>
            <w:tcW w:type="dxa" w:w="164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Requirement</w:t>
            </w:r>
          </w:p>
        </w:tc>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Output</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When</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1</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Launch two tracks</w:t>
            </w:r>
            <w:r>
              <w:rPr>
                <w:rFonts w:ascii="Calibri" w:hAnsi="Calibri" w:eastAsia="Calibri"/>
                <w:color w:val="39393B"/>
                <w:sz w:val="15"/>
              </w:rPr>
              <w:t>: the Guidance Track, then, once the Sandbox Rules are adopted, a Full Sandbox call capped at three to four pilots [finding 3; MAS: some applicants already fitted existing rules]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 decides; Sandbox head runs</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Rules; counsel confirms exemption scope</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Track rules; Full Sandbox call</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Decision Day 30; Launch Day (target Day 90); Rules and call M4; first admissions M6</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2</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Create a Sandbox Secretariat and a Council-delegated Sandbox Committee</w:t>
            </w:r>
            <w:r>
              <w:rPr>
                <w:rFonts w:ascii="Calibri" w:hAnsi="Calibri" w:eastAsia="Calibri"/>
                <w:color w:val="39393B"/>
                <w:sz w:val="15"/>
              </w:rPr>
              <w:t xml:space="preserve"> [A; no benchmark found for voting external experts]</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Council (delegation); Executive Director (Secretariat)</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Counsel confirms delegation; expert roster</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 terms of reference; Sandbox head named; case register</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Delegation Day 30; head named Day 45; Committee terms Day 60</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3</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Publish a decision clock</w:t>
            </w:r>
            <w:r>
              <w:rPr>
                <w:rFonts w:ascii="Calibri" w:hAnsi="Calibri" w:eastAsia="Calibri"/>
                <w:color w:val="39393B"/>
                <w:sz w:val="15"/>
              </w:rPr>
              <w:t xml:space="preserve"> with clock-stop rules; report attainment quarterly [finding 4]</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head</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Platform timestamps</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Service-standard schedule; quarterly attainment report</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Standards at launch; first report M6</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4</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Make regulatory mapping the core product</w:t>
            </w:r>
            <w:r>
              <w:rPr>
                <w:rFonts w:ascii="Calibri" w:hAnsi="Calibri" w:eastAsia="Calibri"/>
                <w:color w:val="39393B"/>
                <w:sz w:val="15"/>
              </w:rPr>
              <w:t>: every applicable rule mapped, every required consent named; EUz does not waive other regulators' requirements [finding 5; SAMA: regulator-led exit]</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Regulatory counsel</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Rule library; consent protocol with at least two authorities (Action 7)</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Mapping memo per case</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From the first Full Sandbox application (M4)</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5</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Define exit evidence before admission</w:t>
            </w:r>
            <w:r>
              <w:rPr>
                <w:rFonts w:ascii="Calibri" w:hAnsi="Calibri" w:eastAsia="Calibri"/>
                <w:color w:val="39393B"/>
                <w:sz w:val="15"/>
              </w:rPr>
              <w:t>; no automatic licence [finding 1]</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Committee</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Exit routes in the Rules; licensing bodies consulted</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Exit section in every test plan</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From the first admission (M6)</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6</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Build a minimum digital sandbox</w:t>
            </w:r>
            <w:r>
              <w:rPr>
                <w:rFonts w:ascii="Calibri" w:hAnsi="Calibri" w:eastAsia="Calibri"/>
                <w:color w:val="39393B"/>
                <w:sz w:val="15"/>
              </w:rPr>
              <w:t xml:space="preserve"> (minimum viable product, MVP) with application programming interfaces (APIs) [FCA Digital Sandbox pilot evaluation (P)]</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Platform and data lead</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Open tender (D7); data-handling rules</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Intake platform; synthetic-data test environment</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Intake at launch; test environment M6</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7</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Select three sandbox pilots (P1-P3) and one internal pilot (P4)</w:t>
            </w:r>
            <w:r>
              <w:rPr>
                <w:rFonts w:ascii="Calibri" w:hAnsi="Calibri" w:eastAsia="Calibri"/>
                <w:color w:val="39393B"/>
                <w:sz w:val="15"/>
              </w:rPr>
              <w:t>, each with an EUz owner and, where needed, a consenting authority [TradeTech (P); HKMA; Spain AI sandbox]</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head proposes; Council endorses (D6)</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Consent protocol; demand test (Action 10)</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Selection memo</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Day 75</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8</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Sequence later tracks on evidence</w:t>
            </w:r>
            <w:r>
              <w:rPr>
                <w:rFonts w:ascii="Calibri" w:hAnsi="Calibri" w:eastAsia="Calibri"/>
                <w:color w:val="39393B"/>
                <w:sz w:val="15"/>
              </w:rPr>
              <w:t xml:space="preserve"> [findings 4, 5]</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Council</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Cohort-1 evaluations</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Express Track and Prototyping Track piloted from about M13-M14; Cross-border Track in year 2</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Conditions set at the M12 annual review; decision when the cohort-1 evaluations are complete (about M13-M14)</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9</w:t>
            </w:r>
          </w:p>
        </w:tc>
        <w:tc>
          <w:tcPr>
            <w:tcW w:type="dxa" w:w="334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Use WEF for convening, including an operator peer review of the draft Rules</w:t>
            </w:r>
            <w:r>
              <w:rPr>
                <w:rFonts w:ascii="Calibri" w:hAnsi="Calibri" w:eastAsia="Calibri"/>
                <w:color w:val="39393B"/>
                <w:sz w:val="15"/>
              </w:rPr>
              <w:t>; EUz keeps decisions, rules, risk, regulator relations and data [finding 5; no published output of WEF's Global Regulatory Innovation Platform (GRIP) found]</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International affairs</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Term sheet with deliverables, dates and fee model (Exhibit 19a)</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 decision on the term sheet (D8)</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Day 75</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10</w:t>
            </w:r>
          </w:p>
        </w:tc>
        <w:tc>
          <w:tcPr>
            <w:tcW w:type="dxa" w:w="334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Run a legal verification sprint</w:t>
            </w:r>
            <w:r>
              <w:rPr>
                <w:rFonts w:ascii="Calibri" w:hAnsi="Calibri" w:eastAsia="Calibri"/>
                <w:color w:val="39393B"/>
                <w:sz w:val="15"/>
              </w:rPr>
              <w:t xml:space="preserve"> on the official texts before rules are drafted [texts not yet reviewed]</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General Counsel, on the Chairman's instruction</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Access to the official texts</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Verified legal baseline and powers opinion</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Day 20 (baseline); Day 25 (opinion)</w:t>
            </w:r>
          </w:p>
        </w:tc>
      </w:tr>
    </w:tbl>
    <w:p>
      <w:pPr>
        <w:spacing w:before="0" w:after="40" w:line="144" w:lineRule="auto"/>
      </w:pPr>
    </w:p>
    <w:p>
      <w:pPr>
        <w:pStyle w:val="Heading3"/>
      </w:pPr>
      <w:r>
        <w:rPr>
          <w:rFonts w:ascii="Calibri" w:hAnsi="Calibri" w:eastAsia="Calibri"/>
        </w:rPr>
        <w:t>Answers to the 14 executive questions</w:t>
      </w:r>
    </w:p>
    <w:tbl>
      <w:tblPr>
        <w:tblW w:w="9639" w:type="dxa"/>
        <w:jc w:val="center"/>
        <w:tblLayout w:type="fixed"/>
        <w:tblLook w:firstColumn="1" w:firstRow="1" w:lastColumn="0" w:lastRow="0" w:noHBand="0" w:noVBand="1" w:val="04A0"/>
      </w:tblPr>
      <w:tblGrid>
        <w:gridCol w:w="340"/>
        <w:gridCol w:w="1871"/>
        <w:gridCol w:w="6123"/>
        <w:gridCol w:w="1304"/>
      </w:tblGrid>
      <w:tr>
        <w:trPr>
          <w:cantSplit/>
          <w:tblHeader/>
        </w:trPr>
        <w:tc>
          <w:tcPr>
            <w:tcW w:type="dxa" w:w="34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6"/>
              </w:rPr>
              <w:t>#</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Question</w:t>
            </w:r>
          </w:p>
        </w:tc>
        <w:tc>
          <w:tcPr>
            <w:tcW w:type="dxa" w:w="6123"/>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Answer (evidence)</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Where</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Which sandboxes showed measurable success?</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Licence conversion at MAS and SAMA, counted differently (R); funding linked to UK FCA sandbox entry in one study (I). See findings 1–2.</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Ch. 2; 3.1, 3.2</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2</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What were the actual results?</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Real but modest, concentrated in licensing, funding and guidance (findings 1–3).</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Ch. 2; Ex. 1, 3</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3</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Which models attracted companies or enabled market entry?</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Attraction: rising DFSA applications (Exhibit 3) and HKMA GenAI proposals, from more than 40 to about 100 with wider scope (R) [S14][S21]. Entry documented where exit led into an existing licence (MAS, SAMA; Sarwa at the DFSA). Counter-case: Australia (Exhibit 3a).</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3.2, 3.5, 3.7</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Which mechanisms cut approval time, compliance cost or uncertainty?</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No programme reviewed publishes measured time or cost savings (finding 4). Reduced uncertainty is documented only as outputs (finding 3; EU best-practice reports [S17]).</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Ch. 2 point 1; 4.2 case B</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5</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Which features are innovative?</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Synthetic-data digital sandboxes, AI live testing, multi-regulator and cross-border testing, regulation prototyping. Most have no impact data.</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4.1; Ex. 4</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6</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Which practices matter most for EUz?</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Guidance without exemptions; exit evidence fixed at admission; published insight reports; outcome tracking; a minimum digital sandbox (A).</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Ex. 5</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7</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How should the sandbox be structured?</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Proposed (A): the Council sets the Sandbox Rules and approves classes of exemption. A Council-delegated Sandbox Committee (four votes: Chair with casting vote, General Counsel or nominee, two independent experts) decides admissions, conditions and exits. A Secretariat of about six (planning assumption), led by the Sandbox head, runs cases and the platform. National regulators must consent wherever a requirement is theirs to waive. Two tracks in year 1: the Guidance Track on Launch Day, the Full Sandbox call from M4.</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5.1, 5.3; Ex. 6, 7, 10</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8</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What should EUz offer beyond exemptions?</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Written regulatory positions, a named case manager, a published decision clock, mapping memos, a synthetic-data environment, introductions to licensing bodies (A).</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5.4; Ex. 11, 11a</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9</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How do regulators, experts and companies interact?</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Regulators: non-voting seat; withheld consent blocks the test (no deemed consent); quarterly forum. Experts: two Committee votes, none on a case they reviewed. Companies: named case manager; monthly reporting.</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5.8; Ex. 15, 15a</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10</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What must work at launch?</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On Launch Day (about M3): Guidance Track, intake platform, published service standards, appointed Committee, draft Sandbox Rules out for comment, consent protocol with at least two authorities. Full Sandbox call once the Rules are adopted (M4); first admissions M6.</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5.9; Ex. 16, 16a</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11</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What can come later?</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The tracks in Recommendation 8; investor demo events (A; no evidence found).</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5.3; Ex. 10, 16</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12</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Which pilots can show early success?</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P4 (internal AI-assisted filing review): EUz owns the outcome, so it is likely the earliest result if the filing precondition is met by M5; tests M6-M11 (A). P1-P3 depend on a national authority's consent; P2 has the highest delay risk (A).</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Ch. 7; Ex. 21, 21a</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13</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How can WEF or other partners contribute?</w:t>
            </w:r>
          </w:p>
        </w:tc>
        <w:tc>
          <w:tcPr>
            <w:tcW w:type="dxa" w:w="612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As in Recommendation 9, plus an optional Pilot 2 design review; no EUz milestone depends on WEF.</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Ch. 6; Ex. 18–20, 19a</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6"/>
              </w:rPr>
              <w:t>14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Which decisions are needed?</w:t>
            </w:r>
          </w:p>
        </w:tc>
        <w:tc>
          <w:tcPr>
            <w:tcW w:type="dxa" w:w="612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Exhibit 25; its 'Ask at this meeting' column is summarised below.</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8.5; Ex. 25</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9"/>
              </w:rPr>
              <w:t>Decisions for the Governing Council (detail in Section 8.5, Exhibit 25)</w:t>
            </w:r>
          </w:p>
          <w:p>
            <w:pPr>
              <w:spacing w:before="0" w:after="40" w:line="252" w:lineRule="auto"/>
            </w:pPr>
            <w:r>
              <w:rPr>
                <w:rFonts w:ascii="Calibri" w:hAnsi="Calibri" w:eastAsia="Calibri"/>
                <w:b/>
                <w:sz w:val="18"/>
              </w:rPr>
              <w:t>At this meeting:</w:t>
            </w:r>
            <w:r>
              <w:rPr>
                <w:rFonts w:ascii="Calibri" w:hAnsi="Calibri" w:eastAsia="Calibri"/>
                <w:sz w:val="18"/>
              </w:rPr>
              <w:t xml:space="preserve"> approve D1 (operating model and track sequencing) and D2 (admission authority) in principle; approve the D3 headcount and commission a costed envelope (Day 45); instruct the D4a legal verification (Day 20); endorse the D6 selection criteria for sandbox pilots P1-P3 and internal pilot P4; mandate D8 scoping of WEF and alternatives; set the D11 release condition for this English edition.</w:t>
            </w:r>
          </w:p>
          <w:p>
            <w:pPr>
              <w:spacing w:before="0" w:after="40" w:line="252" w:lineRule="auto"/>
            </w:pPr>
            <w:r>
              <w:rPr>
                <w:rFonts w:ascii="Calibri" w:hAnsi="Calibri" w:eastAsia="Calibri"/>
                <w:b/>
                <w:sz w:val="18"/>
              </w:rPr>
              <w:t>Returning for decision:</w:t>
            </w:r>
            <w:r>
              <w:rPr>
                <w:rFonts w:ascii="Calibri" w:hAnsi="Calibri" w:eastAsia="Calibri"/>
                <w:sz w:val="18"/>
              </w:rPr>
              <w:t xml:space="preserve"> the D1 and D2 resolutions (after the D4a opinion) at Day 30; the D3 costed envelope at Day 45; D5 (safeguards, liability and integrity), D9 (publication policy), D12 (regulator consent and referral policy) and the Committee terms of reference and nominations (Action 6) at Day 60; D4b (draft Sandbox Rules), the D6 portfolio (endorsement) and the D8 term sheet at Day 75; adoption of the final Sandbox Rules (D4b) at M4. </w:t>
            </w:r>
            <w:r>
              <w:rPr>
                <w:rFonts w:ascii="Calibri" w:hAnsi="Calibri" w:eastAsia="Calibri"/>
                <w:b/>
                <w:sz w:val="18"/>
              </w:rPr>
              <w:t>For information:</w:t>
            </w:r>
            <w:r>
              <w:rPr>
                <w:rFonts w:ascii="Calibri" w:hAnsi="Calibri" w:eastAsia="Calibri"/>
                <w:sz w:val="18"/>
              </w:rPr>
              <w:t xml:space="preserve"> D7 (digital platform) and D10 (framework of key performance indicators, KPIs).</w:t>
            </w:r>
          </w:p>
          <w:p>
            <w:pPr>
              <w:spacing w:before="0" w:after="40" w:line="252" w:lineRule="auto"/>
            </w:pPr>
            <w:r>
              <w:rPr>
                <w:rFonts w:ascii="Calibri" w:hAnsi="Calibri" w:eastAsia="Calibri"/>
                <w:sz w:val="18"/>
              </w:rPr>
              <w:t>Council resolutions are needed for D1, D2, D3, D4b, D5, D8, D9 and D12; the Chairman instructs D4a and approves D11.</w:t>
            </w:r>
          </w:p>
          <w:p>
            <w:pPr>
              <w:spacing w:before="0" w:after="40" w:line="252" w:lineRule="auto"/>
            </w:pPr>
            <w:r>
              <w:rPr>
                <w:rFonts w:ascii="Calibri" w:hAnsi="Calibri" w:eastAsia="Calibri"/>
                <w:b/>
                <w:sz w:val="18"/>
              </w:rPr>
              <w:t>Timing.</w:t>
            </w:r>
            <w:r>
              <w:rPr>
                <w:rFonts w:ascii="Calibri" w:hAnsi="Calibri" w:eastAsia="Calibri"/>
                <w:sz w:val="18"/>
              </w:rPr>
              <w:t xml:space="preserve"> The 90-day plan (Section 8.1) ends on Launch Day (target Day 90); if the Council accepts this report in late October 2026, that is on or about 21 January 2027, the entry into force of the Constitutional Law (LRU-1169) reported by one outlet (Gazeta.uz; S) [S27], still to be checked against its final provisions (Annex D, step 1). A later Day 0 moves Launch Day with it; the Section 5.9 gate still applies. Until the law takes effect, the decree-level framework presumably remains the operative basis (to be confirmed by counsel). First Full Sandbox admissions follow at M6.</w:t>
            </w:r>
          </w:p>
        </w:tc>
      </w:tr>
    </w:tbl>
    <w:p>
      <w:pPr>
        <w:spacing w:before="0" w:after="40" w:line="144" w:lineRule="auto"/>
      </w:pPr>
    </w:p>
    <w:p>
      <w:pPr>
        <w:pStyle w:val="Heading1"/>
        <w:pageBreakBefore/>
        <w:pBdr>
          <w:bottom w:val="single" w:sz="12" w:space="3" w:color="009162"/>
        </w:pBdr>
      </w:pPr>
      <w:r>
        <w:rPr>
          <w:rFonts w:ascii="Calibri" w:hAnsi="Calibri" w:eastAsia="Calibri"/>
        </w:rPr>
        <w:t>2. International results at a glance: documented results are real but modest, concentrated in licensing, funding and guidance</w:t>
      </w:r>
    </w:p>
    <w:p>
      <w:pPr>
        <w:pStyle w:val="ExhibitTitle"/>
      </w:pPr>
      <w:r>
        <w:rPr>
          <w:rFonts w:ascii="Calibri" w:hAnsi="Calibri" w:eastAsia="Calibri"/>
        </w:rPr>
        <w:t>Exhibit 1. Strongest documented results and key gaps (as reported; full-text check pending, Annex D)</w:t>
      </w: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15 of 19</w:t>
            </w:r>
          </w:p>
          <w:p>
            <w:pPr>
              <w:spacing w:before="0" w:after="20" w:line="245" w:lineRule="auto"/>
            </w:pPr>
            <w:r>
              <w:rPr>
                <w:rFonts w:ascii="Calibri" w:hAnsi="Calibri" w:eastAsia="Calibri"/>
                <w:b/>
                <w:color w:val="39393B"/>
                <w:sz w:val="16"/>
              </w:rPr>
              <w:t>MAS accepted firms that graduated and were licensed</w:t>
            </w:r>
          </w:p>
          <w:p>
            <w:pPr>
              <w:spacing w:before="0" w:after="0" w:line="240" w:lineRule="auto"/>
            </w:pPr>
            <w:r>
              <w:rPr>
                <w:rFonts w:ascii="Calibri" w:hAnsi="Calibri" w:eastAsia="Calibri"/>
                <w:color w:val="6B6E70"/>
                <w:sz w:val="14"/>
              </w:rPr>
              <w:t>Singapore, cumulative to end-Sep 2025; track scope unclear. R [S7]</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+15% | +50%</w:t>
            </w:r>
          </w:p>
          <w:p>
            <w:pPr>
              <w:spacing w:before="0" w:after="20" w:line="245" w:lineRule="auto"/>
            </w:pPr>
            <w:r>
              <w:rPr>
                <w:rFonts w:ascii="Calibri" w:hAnsi="Calibri" w:eastAsia="Calibri"/>
                <w:b/>
                <w:color w:val="39393B"/>
                <w:sz w:val="16"/>
              </w:rPr>
              <w:t>Capital raised | probability of raising capital after UK sandbox entry</w:t>
            </w:r>
          </w:p>
          <w:p>
            <w:pPr>
              <w:spacing w:before="0" w:after="0" w:line="240" w:lineRule="auto"/>
            </w:pPr>
            <w:r>
              <w:rPr>
                <w:rFonts w:ascii="Calibri" w:hAnsi="Calibri" w:eastAsia="Calibri"/>
                <w:color w:val="6B6E70"/>
                <w:sz w:val="14"/>
              </w:rPr>
              <w:t>UK, data 2014–2019; one peer-reviewed study. I [S2]</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172 of 629</w:t>
            </w:r>
          </w:p>
          <w:p>
            <w:pPr>
              <w:spacing w:before="0" w:after="20" w:line="245" w:lineRule="auto"/>
            </w:pPr>
            <w:r>
              <w:rPr>
                <w:rFonts w:ascii="Calibri" w:hAnsi="Calibri" w:eastAsia="Calibri"/>
                <w:b/>
                <w:color w:val="39393B"/>
                <w:sz w:val="16"/>
              </w:rPr>
              <w:t>FCA applications accepted, 2016 to Dec 2023</w:t>
            </w:r>
          </w:p>
          <w:p>
            <w:pPr>
              <w:spacing w:before="0" w:after="0" w:line="240" w:lineRule="auto"/>
            </w:pPr>
            <w:r>
              <w:rPr>
                <w:rFonts w:ascii="Calibri" w:hAnsi="Calibri" w:eastAsia="Calibri"/>
                <w:color w:val="6B6E70"/>
                <w:sz w:val="14"/>
              </w:rPr>
              <w:t>UK. R [S3]. 27% accepted (D)</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3 months</w:t>
            </w:r>
          </w:p>
          <w:p>
            <w:pPr>
              <w:spacing w:before="0" w:after="20" w:line="245" w:lineRule="auto"/>
            </w:pPr>
            <w:r>
              <w:rPr>
                <w:rFonts w:ascii="Calibri" w:hAnsi="Calibri" w:eastAsia="Calibri"/>
                <w:b/>
                <w:color w:val="39393B"/>
                <w:sz w:val="16"/>
              </w:rPr>
              <w:t>Approximate MAS median, submission to outcome, including applicant response</w:t>
            </w:r>
          </w:p>
          <w:p>
            <w:pPr>
              <w:spacing w:before="0" w:after="0" w:line="240" w:lineRule="auto"/>
            </w:pPr>
            <w:r>
              <w:rPr>
                <w:rFonts w:ascii="Calibri" w:hAnsi="Calibri" w:eastAsia="Calibri"/>
                <w:color w:val="6B6E70"/>
                <w:sz w:val="14"/>
              </w:rPr>
              <w:t>Singapore, reported Oct 2025. R [S7]</w:t>
            </w:r>
          </w:p>
        </w:tc>
      </w:tr>
    </w:tbl>
    <w:p>
      <w:pPr>
        <w:spacing w:before="0" w:after="60" w:line="120" w:lineRule="auto"/>
      </w:pPr>
    </w:p>
    <w:tbl>
      <w:tblPr>
        <w:tblW w:type="auto" w:w="0"/>
        <w:jc w:val="center"/>
        <w:tblLayout w:type="fixed"/>
        <w:tblLook w:firstColumn="1" w:firstRow="1" w:lastColumn="0" w:lastRow="0" w:noHBand="0" w:noVBand="1" w:val="04A0"/>
      </w:tblPr>
      <w:tblGrid>
        <w:gridCol w:w="2409"/>
        <w:gridCol w:w="2409"/>
        <w:gridCol w:w="2409"/>
        <w:gridCol w:w="2409"/>
      </w:tblGrid>
      <w:tr>
        <w:trPr>
          <w:cantSplit/>
        </w:trPr>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0</w:t>
            </w:r>
          </w:p>
          <w:p>
            <w:pPr>
              <w:spacing w:before="0" w:after="20" w:line="245" w:lineRule="auto"/>
            </w:pPr>
            <w:r>
              <w:rPr>
                <w:rFonts w:ascii="Calibri" w:hAnsi="Calibri" w:eastAsia="Calibri"/>
                <w:b/>
                <w:color w:val="39393B"/>
                <w:sz w:val="16"/>
              </w:rPr>
              <w:t>Sandbox Plus approvals (track with a grant route, from Jan 2022)</w:t>
            </w:r>
          </w:p>
          <w:p>
            <w:pPr>
              <w:spacing w:before="0" w:after="0" w:line="240" w:lineRule="auto"/>
            </w:pPr>
            <w:r>
              <w:rPr>
                <w:rFonts w:ascii="Calibri" w:hAnsi="Calibri" w:eastAsia="Calibri"/>
                <w:color w:val="6B6E70"/>
                <w:sz w:val="14"/>
              </w:rPr>
              <w:t>Singapore, as at end-Sep 2025. R [S7]</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0 of 8</w:t>
            </w:r>
          </w:p>
          <w:p>
            <w:pPr>
              <w:spacing w:before="0" w:after="20" w:line="245" w:lineRule="auto"/>
            </w:pPr>
            <w:r>
              <w:rPr>
                <w:rFonts w:ascii="Calibri" w:hAnsi="Calibri" w:eastAsia="Calibri"/>
                <w:b/>
                <w:color w:val="39393B"/>
                <w:sz w:val="16"/>
              </w:rPr>
              <w:t>GFIN shortlisted firms that had begun cross-border testing</w:t>
            </w:r>
          </w:p>
          <w:p>
            <w:pPr>
              <w:spacing w:before="0" w:after="0" w:line="240" w:lineRule="auto"/>
            </w:pPr>
            <w:r>
              <w:rPr>
                <w:rFonts w:ascii="Calibri" w:hAnsi="Calibri" w:eastAsia="Calibri"/>
                <w:color w:val="6B6E70"/>
                <w:sz w:val="14"/>
              </w:rPr>
              <w:t>17 regulators; pilot report, Jan 2020. R [S15]</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22 of 30</w:t>
            </w:r>
          </w:p>
          <w:p>
            <w:pPr>
              <w:spacing w:before="0" w:after="20" w:line="245" w:lineRule="auto"/>
            </w:pPr>
            <w:r>
              <w:rPr>
                <w:rFonts w:ascii="Calibri" w:hAnsi="Calibri" w:eastAsia="Calibri"/>
                <w:b/>
                <w:color w:val="39393B"/>
                <w:sz w:val="16"/>
              </w:rPr>
              <w:t>Ofgem window-1 expressions of interest given feedback only (no specific barrier identified); 3 became sandboxes</w:t>
            </w:r>
          </w:p>
          <w:p>
            <w:pPr>
              <w:spacing w:before="0" w:after="0" w:line="240" w:lineRule="auto"/>
            </w:pPr>
            <w:r>
              <w:rPr>
                <w:rFonts w:ascii="Calibri" w:hAnsi="Calibri" w:eastAsia="Calibri"/>
                <w:color w:val="6B6E70"/>
                <w:sz w:val="14"/>
              </w:rPr>
              <w:t>UK, published Sep 2018. R [S6]</w:t>
            </w:r>
          </w:p>
        </w:tc>
        <w:tc>
          <w:tcPr>
            <w:tcW w:type="dxa" w:w="2409"/>
            <w:tcBorders>
              <w:top w:val="single" w:sz="18" w:space="0" w:color="009162"/>
              <w:left w:val="single" w:sz="8" w:space="0" w:color="FFFFFF"/>
              <w:bottom w:val="single" w:sz="4" w:space="0" w:color="D5DBD9"/>
              <w:right w:val="single" w:sz="8" w:space="0" w:color="FFFFFF"/>
            </w:tcBorders>
            <w:shd w:val="clear" w:color="auto" w:fill="F6F8F7"/>
            <w:tcMar>
              <w:top w:w="80" w:type="dxa"/>
              <w:left w:w="110" w:type="dxa"/>
              <w:bottom w:w="80" w:type="dxa"/>
              <w:right w:w="90" w:type="dxa"/>
            </w:tcMar>
          </w:tcPr>
          <w:p>
            <w:pPr>
              <w:spacing w:before="0" w:after="0" w:line="240" w:lineRule="auto"/>
            </w:pPr>
            <w:r>
              <w:rPr>
                <w:rFonts w:ascii="Calibri" w:hAnsi="Calibri" w:eastAsia="Calibri"/>
                <w:b/>
                <w:color w:val="175C58"/>
                <w:sz w:val="40"/>
              </w:rPr>
              <w:t>None of 14</w:t>
            </w:r>
          </w:p>
          <w:p>
            <w:pPr>
              <w:spacing w:before="0" w:after="20" w:line="245" w:lineRule="auto"/>
            </w:pPr>
            <w:r>
              <w:rPr>
                <w:rFonts w:ascii="Calibri" w:hAnsi="Calibri" w:eastAsia="Calibri"/>
                <w:b/>
                <w:color w:val="39393B"/>
                <w:sz w:val="16"/>
              </w:rPr>
              <w:t>Programmes in Exhibit 3 that publish audited savings in approval time or compliance cost</w:t>
            </w:r>
          </w:p>
          <w:p>
            <w:pPr>
              <w:spacing w:before="0" w:after="0" w:line="240" w:lineRule="auto"/>
            </w:pPr>
            <w:r>
              <w:rPr>
                <w:rFonts w:ascii="Calibri" w:hAnsi="Calibri" w:eastAsia="Calibri"/>
                <w:color w:val="6B6E70"/>
                <w:sz w:val="14"/>
              </w:rPr>
              <w:t>Evidence gap in sources reviewed; see Section 2, point 1</w:t>
            </w:r>
          </w:p>
        </w:tc>
      </w:tr>
    </w:tbl>
    <w:p>
      <w:pPr>
        <w:spacing w:before="0" w:after="60" w:line="120" w:lineRule="auto"/>
      </w:pPr>
    </w:p>
    <w:p>
      <w:pPr>
        <w:pStyle w:val="ExhibitTitle"/>
      </w:pPr>
      <w:r>
        <w:rPr>
          <w:rFonts w:ascii="Calibri" w:hAnsi="Calibri" w:eastAsia="Calibri"/>
        </w:rPr>
        <w:t>Exhibit 2. Selectivity varies widely: admission rates range from about 10% to about 50% across programmes</w:t>
      </w:r>
    </w:p>
    <w:p>
      <w:pPr>
        <w:keepNext/>
        <w:spacing w:before="0" w:after="40" w:line="259" w:lineRule="auto"/>
        <w:jc w:val="center"/>
      </w:pPr>
      <w:r>
        <w:drawing>
          <wp:inline xmlns:a="http://schemas.openxmlformats.org/drawingml/2006/main" xmlns:pic="http://schemas.openxmlformats.org/drawingml/2006/picture">
            <wp:extent cx="5832000" cy="2118130"/>
            <wp:docPr id="1" name="Picture 1"/>
            <wp:cNvGraphicFramePr>
              <a:graphicFrameLocks noChangeAspect="1"/>
            </wp:cNvGraphicFramePr>
            <a:graphic>
              <a:graphicData uri="http://schemas.openxmlformats.org/drawingml/2006/picture">
                <pic:pic>
                  <pic:nvPicPr>
                    <pic:cNvPr id="0" name="f1_admission.png"/>
                    <pic:cNvPicPr/>
                  </pic:nvPicPr>
                  <pic:blipFill>
                    <a:blip r:embed="rId9"/>
                    <a:stretch>
                      <a:fillRect/>
                    </a:stretch>
                  </pic:blipFill>
                  <pic:spPr>
                    <a:xfrm>
                      <a:off x="0" y="0"/>
                      <a:ext cx="5832000" cy="2118130"/>
                    </a:xfrm>
                    <a:prstGeom prst="rect"/>
                  </pic:spPr>
                </pic:pic>
              </a:graphicData>
            </a:graphic>
          </wp:inline>
        </w:drawing>
      </w:r>
    </w:p>
    <w:p>
      <w:pPr>
        <w:spacing w:before="40" w:after="160" w:line="240" w:lineRule="auto"/>
      </w:pPr>
      <w:r>
        <w:rPr>
          <w:rFonts w:ascii="Calibri" w:hAnsi="Calibri" w:eastAsia="Calibri"/>
          <w:color w:val="6B6E70"/>
          <w:sz w:val="15"/>
        </w:rPr>
        <w:t>Derived (D) from reported counts: FCA, 2016 to Dec 2023 [S3]; DFSA, to Jun 2021 [S14]; ADGM, to Aug 2019 [S49]; European Blockchain Sandbox cohort 1 [S17]; ASIC, data cut-off unknown [S24]; Ofgem window 1 [S6]. Green = regulator-reported (R); teal = press account of a review (S). Definitions (sandboxes or admissions to testing) and periods differ: a range, not a ranking.</w:t>
      </w:r>
    </w:p>
    <w:p>
      <w:pPr>
        <w:pStyle w:val="ExhibitTitle"/>
      </w:pPr>
      <w:r>
        <w:rPr>
          <w:rFonts w:ascii="Calibri" w:hAnsi="Calibri" w:eastAsia="Calibri"/>
        </w:rPr>
        <w:t>Exhibit 3. International performance scorecard: published data only, definitions differ by row</w:t>
      </w:r>
    </w:p>
    <w:tbl>
      <w:tblPr>
        <w:tblW w:w="9639" w:type="dxa"/>
        <w:jc w:val="center"/>
        <w:tblLayout w:type="fixed"/>
        <w:tblLook w:firstColumn="1" w:firstRow="1" w:lastColumn="0" w:lastRow="0" w:noHBand="0" w:noVBand="1" w:val="04A0"/>
      </w:tblPr>
      <w:tblGrid>
        <w:gridCol w:w="1474"/>
        <w:gridCol w:w="1927"/>
        <w:gridCol w:w="1814"/>
        <w:gridCol w:w="1360"/>
        <w:gridCol w:w="1587"/>
        <w:gridCol w:w="1474"/>
      </w:tblGrid>
      <w:tr>
        <w:trPr>
          <w:cantSplit/>
          <w:tblHeader/>
        </w:trPr>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Jurisdiction / programme</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Companies / pilots</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Commercialisation</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Processing time</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Regulatory outcomes</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Key mechanism</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FCA Sandbox (2016)</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629 applied, 172 accepted, to Dec 2023 [S3]</w:t>
            </w:r>
          </w:p>
          <w:p>
            <w:pPr>
              <w:spacing w:before="0" w:after="20" w:line="245" w:lineRule="auto"/>
            </w:pPr>
            <w:r>
              <w:rPr>
                <w:rFonts w:ascii="Calibri" w:hAnsi="Calibri" w:eastAsia="Calibri"/>
                <w:color w:val="39393B"/>
                <w:sz w:val="14"/>
              </w:rPr>
              <w:t>FY2025/26: 142 applied, 14 accepted (provisional) [S3]; 13% accepted in 2025 [S40]</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Cohort 1: about 90% of test completers continued toward launch; at least 40% received investment [S1]</w:t>
            </w:r>
          </w:p>
          <w:p>
            <w:pPr>
              <w:spacing w:before="0" w:after="20" w:line="245" w:lineRule="auto"/>
            </w:pPr>
            <w:r>
              <w:rPr>
                <w:rFonts w:ascii="Calibri" w:hAnsi="Calibri" w:eastAsia="Calibri"/>
                <w:color w:val="39393B"/>
                <w:sz w:val="14"/>
              </w:rPr>
              <w:t>+15% capital raised (I) [S2]</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Indicative: eligibility about 2–3 weeks; full assessment about 8–12 weeks (T) [S39]</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 Tools: waivers or modifications of FCA rules only; no-enforcement-action letters, which do not limit liability to consumers [S1]</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Live testing with restricted authorisation</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Singapore MAS Sandbox / Express / Plus</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19 accepted, 2016 to end-Sep 2025; Express inclusion unclear [S7]</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15 graduated and licensed; 1 later ceased operations [S7]</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Median about 3 months, including applicant time [S7]; Express: 21-day target, no attainment data (T) [S8]</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Three tracks. Plus: first-mover grant of 50% of qualifying costs, capped at S$500,000 [S9]</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UAE ADGM RegLab (2016)</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32 admitted of 83 applications, May 2017 to Aug 2019 [S49]</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 graduates named as deploying in the live market; no conversion rate published [S49]</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Conditional authorisation in cohorts</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UAE DFSA ITL (2017)</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51 accepted of 105 (Jun 2021); 67 of 130 (Jul 2022) [S14]</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 of 51 accepted had graduated (Jun 2021 snapshot) [S14]</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Typically 10–12 weeks from a complete application (indicative, T) [S50]</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Testing licence up to 12 months; open window from 2022</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ICO Sandbox (2019)</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10 chosen of about 64–65 [S5]</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applicable</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Published exit reports [S5]</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Guidance without legal exemptions</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UK Ofgem Sandbox (2017)</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30 EOIs, 3 sandboxes, 22 feedback only (window 1) [S6]</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Rule-change count not verified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Triage: advice first, derogation second</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EU Blockchain Sandbox (2023)</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87 applied, 20 admitted (cohort 1); 60 use cases in 3 cohorts [S17]</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 outcome indicators found</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applicable</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&gt;50 regulators in cohort 1; best-practice report (Feb 2026) [S17]</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Non-binding cross-border dialogue; no exemptions</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Japan cross-sector sandbox (2018)</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More than 30 projects certified by 2024 (IMF) [S20]; 33 plans involving 152 entities by Mar 2025 (Cabinet Office, reported)</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 published total of resulting reforms found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Project-specific exemption with data collection</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HKMA FSS and GenAI sandbox</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FSS: about 234 initiatives tested to end-2021 [S21]</w:t>
            </w:r>
          </w:p>
          <w:p>
            <w:pPr>
              <w:spacing w:before="0" w:after="20" w:line="245" w:lineRule="auto"/>
            </w:pPr>
            <w:r>
              <w:rPr>
                <w:rFonts w:ascii="Calibri" w:hAnsi="Calibri" w:eastAsia="Calibri"/>
                <w:color w:val="39393B"/>
                <w:sz w:val="14"/>
              </w:rPr>
              <w:t>GenAI: 15 (Dec 2024), 27 (Oct 2025), then 36 use cases in Sandbox++ (Aug 2026; wider scope) [S21]</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Supervisory sandbox; AI cohorts with technology partners</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Saudi SAMA (2018)</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45 permitted, May 2023 [S22]</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18 graduated, May 2023; cumulative, not a completion rate [S22]</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Tiered permission; regulator-led exit</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South Korea (financial, 2019)</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&gt;300 services designated, Mar 2024 [S23]</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2,220 jobs and KRW 6.03 trillion investment claimed (FSC, Mar 2024; method not examined) [S23]</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Decision within up to 120 days (S) [S23]</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 time-limited designation</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Australia ASIC enhanced (2020)</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103 applied, 19 accepted (S; data cut-off unknown) [S24]</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 ex-participant later licensed; of 16 that exited, 12 shut (S, press account of a review) [S24]</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disclosed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Up to 24 months, exposure caps</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WEF-UAE TradeTech (2024)</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8 start-ups; 4 UAE regulators cited by WEF, not named in sources reached (P) [S11]</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applicable</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Convened multi-regulator testing</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GFIN cross-border pilot (2018–20)</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44 applied, 17 regulators, 8 shortlisted [S15]</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None had begun testing by the Jan 2020 report [S15]</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applicable</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Lessons-learned report [S15]; later trial cohorts not verified</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Single application to many regulators</w:t>
            </w:r>
          </w:p>
        </w:tc>
      </w:tr>
    </w:tbl>
    <w:p>
      <w:pPr>
        <w:spacing w:before="0" w:after="40" w:line="144" w:lineRule="auto"/>
      </w:pPr>
    </w:p>
    <w:p>
      <w:pPr>
        <w:spacing w:before="40" w:after="160" w:line="240" w:lineRule="auto"/>
      </w:pPr>
      <w:r>
        <w:rPr>
          <w:rFonts w:ascii="Calibri" w:hAnsi="Calibri" w:eastAsia="Calibri"/>
          <w:color w:val="6B6E70"/>
          <w:sz w:val="15"/>
        </w:rPr>
        <w:t>Programme- or regulator-reported (R) unless tagged otherwise; T = published target or indication, not a measured result. "Not verified" and "Not disclosed": see About page. Korea: a June 2026 press figure of 1,072 designations (no recorded source, undefined scope) is unreconciled and not used (Annex B). Rows are not ranked; detail in Annex A.</w:t>
      </w:r>
    </w:p>
    <w:p>
      <w:pPr>
        <w:pStyle w:val="Heading2"/>
      </w:pPr>
      <w:r>
        <w:rPr>
          <w:rFonts w:ascii="Calibri" w:hAnsi="Calibri" w:eastAsia="Calibri"/>
        </w:rPr>
        <w:t>What the evidence tells us</w:t>
      </w:r>
    </w:p>
    <w:p>
      <w:pPr>
        <w:numPr>
          <w:ilvl w:val="0"/>
          <w:numId w:val="101"/>
        </w:numPr>
        <w:spacing w:before="0" w:after="60" w:line="259" w:lineRule="auto"/>
      </w:pPr>
      <w:r>
        <w:rPr>
          <w:rFonts w:ascii="Calibri" w:hAnsi="Calibri" w:eastAsia="Calibri"/>
          <w:b/>
          <w:sz w:val="19"/>
        </w:rPr>
        <w:t>Outcomes are measured at the licence and funding gates, rarely at the consumer or cost gate.</w:t>
      </w:r>
      <w:r>
        <w:rPr>
          <w:rFonts w:ascii="Calibri" w:hAnsi="Calibri" w:eastAsia="Calibri"/>
          <w:sz w:val="19"/>
        </w:rPr>
        <w:t xml:space="preserve"> No source reviewed publishes audited compliance-cost or time savings. EUz should collect participant-estimated baselines from the first cohort, labelled as estimates.</w:t>
      </w:r>
    </w:p>
    <w:p>
      <w:pPr>
        <w:numPr>
          <w:ilvl w:val="0"/>
          <w:numId w:val="101"/>
        </w:numPr>
        <w:spacing w:before="0" w:after="60" w:line="259" w:lineRule="auto"/>
      </w:pPr>
      <w:r>
        <w:rPr>
          <w:rFonts w:ascii="Calibri" w:hAnsi="Calibri" w:eastAsia="Calibri"/>
          <w:b/>
          <w:sz w:val="19"/>
        </w:rPr>
        <w:t>Admission is a signal.</w:t>
      </w:r>
      <w:r>
        <w:rPr>
          <w:rFonts w:ascii="Calibri" w:hAnsi="Calibri" w:eastAsia="Calibri"/>
          <w:sz w:val="19"/>
        </w:rPr>
        <w:t xml:space="preserve"> The UK evidence is a funding and certification effect, though selection is non-random and in 2017 the FCA itself said it was too early to judge overall impact, particularly on competition [S1][S2]. A weakly selected EUz cohort would damage that signal.</w:t>
      </w:r>
    </w:p>
    <w:p>
      <w:pPr>
        <w:numPr>
          <w:ilvl w:val="0"/>
          <w:numId w:val="101"/>
        </w:numPr>
        <w:spacing w:before="0" w:after="60" w:line="259" w:lineRule="auto"/>
      </w:pPr>
      <w:r>
        <w:rPr>
          <w:rFonts w:ascii="Calibri" w:hAnsi="Calibri" w:eastAsia="Calibri"/>
          <w:b/>
          <w:sz w:val="19"/>
        </w:rPr>
        <w:t>Live-testing throughput is small where exits are tracked</w:t>
      </w:r>
      <w:r>
        <w:rPr>
          <w:rFonts w:ascii="Calibri" w:hAnsi="Calibri" w:eastAsia="Calibri"/>
          <w:sz w:val="19"/>
        </w:rPr>
        <w:t xml:space="preserve"> (MAS, DFSA, Japan: Exhibit 3). Larger counts come from statutory designation (Korea) or supervisory programmes reporting no exits (HKMA FSS). The International Monetary Fund (IMF) notes that sandboxes are resource-intensive and reach relatively few firms [S55]. A first cohort of three to four pilots is in line with live-testing programmes.</w:t>
      </w:r>
    </w:p>
    <w:p>
      <w:pPr>
        <w:numPr>
          <w:ilvl w:val="0"/>
          <w:numId w:val="101"/>
        </w:numPr>
        <w:spacing w:before="0" w:after="60" w:line="259" w:lineRule="auto"/>
      </w:pPr>
      <w:r>
        <w:rPr>
          <w:rFonts w:ascii="Calibri" w:hAnsi="Calibri" w:eastAsia="Calibri"/>
          <w:b/>
          <w:sz w:val="19"/>
        </w:rPr>
        <w:t>Underperformance is documented; its causes are not</w:t>
      </w:r>
      <w:r>
        <w:rPr>
          <w:rFonts w:ascii="Calibri" w:hAnsi="Calibri" w:eastAsia="Calibri"/>
          <w:sz w:val="19"/>
        </w:rPr>
        <w:t xml:space="preserve"> (Exhibit 3a). Eligibility, coordination and exit design are plausible contributors (A), but falling applications also signal weak demand, so EUz should test demand rather than assume it.</w:t>
      </w:r>
    </w:p>
    <w:p>
      <w:pPr>
        <w:numPr>
          <w:ilvl w:val="0"/>
          <w:numId w:val="101"/>
        </w:numPr>
        <w:spacing w:before="0" w:after="60" w:line="259" w:lineRule="auto"/>
      </w:pPr>
      <w:r>
        <w:rPr>
          <w:rFonts w:ascii="Calibri" w:hAnsi="Calibri" w:eastAsia="Calibri"/>
          <w:b/>
          <w:sz w:val="19"/>
        </w:rPr>
        <w:t>Guidance needs no exemption power and leaves a public record</w:t>
      </w:r>
      <w:r>
        <w:rPr>
          <w:rFonts w:ascii="Calibri" w:hAnsi="Calibri" w:eastAsia="Calibri"/>
          <w:sz w:val="19"/>
        </w:rPr>
        <w:t>: Ofgem, the ICO, the European Blockchain Sandbox and Spain's AI sandbox each produced reusable guidance without relying on legal exemptions [S5][S6][S17][S19]. No source reports its cost; ICO cases took high staff effort, and benefits are participant-reported (P) [S5].</w:t>
      </w:r>
    </w:p>
    <w:p>
      <w:pPr>
        <w:numPr>
          <w:ilvl w:val="0"/>
          <w:numId w:val="101"/>
        </w:numPr>
        <w:spacing w:before="0" w:after="60" w:line="259" w:lineRule="auto"/>
      </w:pPr>
      <w:r>
        <w:rPr>
          <w:rFonts w:ascii="Calibri" w:hAnsi="Calibri" w:eastAsia="Calibri"/>
          <w:b/>
          <w:sz w:val="19"/>
        </w:rPr>
        <w:t>Policy attention is rising, but newer evidence counts activity, not outcomes.</w:t>
      </w:r>
      <w:r>
        <w:rPr>
          <w:rFonts w:ascii="Calibri" w:hAnsi="Calibri" w:eastAsia="Calibri"/>
          <w:sz w:val="19"/>
        </w:rPr>
        <w:t xml:space="preserve"> Searches covering 2023–2026 found no IMF, World Bank or EU supervisory-authority evaluation quantifying sandbox impact. EU financial supervisors ran 14 regulatory sandboxes and 41 innovation hubs (which need no change in law) across the European Economic Area (Dec 2023; R) [S53]; a European Commission survey counted 132 ongoing and closed sandboxes of all kinds in 15 Member States (R) [S52]. The Commission's 9 Sep 2026 proposal for a Council Recommendation on common sandbox principles has not been adopted [S51]; the OECD's 2025 toolkit is design guidance, not impact evidence [S54].</w:t>
      </w:r>
    </w:p>
    <w:p>
      <w:pPr>
        <w:pStyle w:val="ExhibitTitle"/>
      </w:pPr>
      <w:r>
        <w:rPr>
          <w:rFonts w:ascii="Calibri" w:hAnsi="Calibri" w:eastAsia="Calibri"/>
        </w:rPr>
        <w:t>Exhibit 3a. Documented failures and the EUz countermeasure</w:t>
      </w:r>
    </w:p>
    <w:tbl>
      <w:tblPr>
        <w:tblW w:w="9639" w:type="dxa"/>
        <w:jc w:val="center"/>
        <w:tblLayout w:type="fixed"/>
        <w:tblLook w:firstColumn="1" w:firstRow="1" w:lastColumn="0" w:lastRow="0" w:noHBand="0" w:noVBand="1" w:val="04A0"/>
      </w:tblPr>
      <w:tblGrid>
        <w:gridCol w:w="1814"/>
        <w:gridCol w:w="3628"/>
        <w:gridCol w:w="2835"/>
        <w:gridCol w:w="1360"/>
      </w:tblGrid>
      <w:tr>
        <w:trPr>
          <w:cantSplit/>
          <w:tblHeader/>
        </w:trPr>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Failure</w:t>
            </w:r>
          </w:p>
        </w:tc>
        <w:tc>
          <w:tcPr>
            <w:tcW w:type="dxa" w:w="36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EUz countermeasure</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Where</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Incentive track unused</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Sandbox Plus: no approvals (end-Sep 2025); MAS said most applications used technology already in Singapore (R) [S7]</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 grant or incentive track until the demand test shows need</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 10; Action 10</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Cross-border pilot did not reach testing</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GFIN: none of 8 shortlisted had begun testing (Jan 2020; R) [S15]; later cohorts not verified</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Cross-border Track deferred to year 2; one test plan and one lead authority per multi-regulator test</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5.3; P2</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Slow conversion to permanent status</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DFSA: 3 of 51 accepted had graduated; Jun 2021 snapshot, with 5 still in live testing and 7 holding in-principle approval (R; S) [S14]</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Exit evidence written into every test plan at admission</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 12; Rec 5</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Exit without a licence</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Australia ASIC: 1 licence among 16 exits, 12 shut (S, press account of a review) [S24]</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Licensing authority consulted at test design; exit routes fixed at admission</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Ex. 12, 15</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Falling applications</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Korea ICT convergence sandbox: applications fell from 110 to 67 over two years (S, press report, Aug 2026) [S23]</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Demand test before launch; two tracks first</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Action 10; Ex. 17</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Target without published attainment</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Sandbox Express: 21-day target; no attainment data found (T) [S8]</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Publish attainment quarterly</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KPIs 1–3; D9</w:t>
            </w:r>
          </w:p>
        </w:tc>
      </w:tr>
    </w:tbl>
    <w:p>
      <w:pPr>
        <w:spacing w:before="0" w:after="40" w:line="144" w:lineRule="auto"/>
      </w:pPr>
    </w:p>
    <w:p>
      <w:pPr>
        <w:spacing w:before="40" w:after="160" w:line="240" w:lineRule="auto"/>
      </w:pPr>
      <w:r>
        <w:rPr>
          <w:rFonts w:ascii="Calibri" w:hAnsi="Calibri" w:eastAsia="Calibri"/>
          <w:color w:val="6B6E70"/>
          <w:sz w:val="15"/>
        </w:rPr>
        <w:t>The failures are documented; their causes are analyst interpretation (A).</w:t>
      </w:r>
    </w:p>
    <w:p>
      <w:pPr>
        <w:pStyle w:val="Heading1"/>
        <w:pageBreakBefore/>
        <w:pBdr>
          <w:bottom w:val="single" w:sz="12" w:space="3" w:color="009162"/>
        </w:pBdr>
      </w:pPr>
      <w:r>
        <w:rPr>
          <w:rFonts w:ascii="Calibri" w:hAnsi="Calibri" w:eastAsia="Calibri"/>
        </w:rPr>
        <w:t>3. Selected international success stories: what eight programmes measured, and one EUz design decision from each</w:t>
      </w:r>
    </w:p>
    <w:p>
      <w:pPr>
        <w:spacing w:before="0" w:after="120" w:line="259" w:lineRule="auto"/>
      </w:pPr>
      <w:r>
        <w:rPr>
          <w:rFonts w:ascii="Calibri" w:hAnsi="Calibri" w:eastAsia="Calibri"/>
          <w:sz w:val="18"/>
        </w:rPr>
        <w:t>In each card, rows A and B report the cited sources, with evidence tags; row C explains why the result matters; rows D and E are analysis and recommendation (A); row B2 lists targets, gaps and unreconciled items, which are not results. No figure has yet been checked against the full primary document (Annex D, step 2).</w:t>
      </w: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3.1  UK FCA Regulatory Sandbox: admission works as a funding signal, so EUz must measure outcomes from first admission</w:t>
            </w:r>
          </w:p>
          <w:p>
            <w:pPr>
              <w:keepNext/>
              <w:spacing w:before="0" w:after="0" w:line="259" w:lineRule="auto"/>
            </w:pPr>
            <w:r>
              <w:rPr>
                <w:rFonts w:ascii="Calibri" w:hAnsi="Calibri" w:eastAsia="Calibri"/>
                <w:color w:val="D7EFE7"/>
                <w:sz w:val="16"/>
              </w:rPr>
              <w:t>United Kingdom | Financial Conduct Authority | launched 2016 | operational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What was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Live testing with real consumers under tailored restrictions and test-specific safeguards. Tools: restricted authorisation; individual guidance; waivers or modifications of FCA rules only (not national or international law); no-enforcement-action letters, covering only FCA disciplinary action during the test, not liability to consumers [S1]. Cohort-based at first; always open since Aug 2021 (S), plus time-limited thematic cohorts from late 2025 [S41].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Reported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Cohorts 1–2 (to Oct 2017): 146 applications, 50 accepted, 41 tested (R) [S1]</w:t>
            </w:r>
          </w:p>
          <w:p>
            <w:pPr>
              <w:spacing w:before="0" w:after="20" w:line="250" w:lineRule="auto"/>
            </w:pPr>
            <w:r>
              <w:rPr>
                <w:rFonts w:ascii="Calibri" w:hAnsi="Calibri" w:eastAsia="Calibri"/>
                <w:sz w:val="17"/>
              </w:rPr>
              <w:t>- Cohort 1 firms completing testing: around 90% continuing towards a wider market launch; at least 40% received investment during or after testing (R) [S1]</w:t>
            </w:r>
          </w:p>
          <w:p>
            <w:pPr>
              <w:spacing w:before="0" w:after="20" w:line="250" w:lineRule="auto"/>
            </w:pPr>
            <w:r>
              <w:rPr>
                <w:rFonts w:ascii="Calibri" w:hAnsi="Calibri" w:eastAsia="Calibri"/>
                <w:sz w:val="17"/>
              </w:rPr>
              <w:t>- 2016 to Dec 2023: 629 applied, 172 accepted (27%, D). By financial year (applied, accepted; FY2023/24 overlaps the 2016–Dec 2023 total, so the rows must not be added): 2023/24: 43 and 4; 2024/25: 52 and 16; 2025/26: 142 and 14 (provisional, May 2026) (R) [S3]. Calendar 2025 acceptance rate: 13% (R) [S40]</w:t>
            </w:r>
          </w:p>
          <w:p>
            <w:pPr>
              <w:spacing w:before="0" w:after="20" w:line="250" w:lineRule="auto"/>
            </w:pPr>
            <w:r>
              <w:rPr>
                <w:rFonts w:ascii="Calibri" w:hAnsi="Calibri" w:eastAsia="Calibri"/>
                <w:sz w:val="17"/>
              </w:rPr>
              <w:t>- Stablecoins cohort: 4 selected from 20 applications (Feb 2026, R) [S41]</w:t>
            </w:r>
          </w:p>
          <w:p>
            <w:pPr>
              <w:spacing w:before="0" w:after="20" w:line="250" w:lineRule="auto"/>
            </w:pPr>
            <w:r>
              <w:rPr>
                <w:rFonts w:ascii="Calibri" w:hAnsi="Calibri" w:eastAsia="Calibri"/>
                <w:sz w:val="17"/>
              </w:rPr>
              <w:t>- Independent study: entry associated with about 15% more capital raised, a 50% higher probability of raising capital and positive survival and patenting effects, largest for small, young firms (UK data 2014–2019, I) [S2]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Not results: targets, gaps, unreconciled items</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Unreconciled: FCA cohort announcements give 24 + 31 = 55 accepted in cohorts 1–2, against 50 in the 2017 report; 41 tested is the most robust figure (Annex B) [S1][S3]</w:t>
            </w:r>
          </w:p>
          <w:p>
            <w:pPr>
              <w:spacing w:before="0" w:after="20" w:line="250" w:lineRule="auto"/>
            </w:pPr>
            <w:r>
              <w:rPr>
                <w:rFonts w:ascii="Calibri" w:hAnsi="Calibri" w:eastAsia="Calibri"/>
                <w:sz w:val="17"/>
              </w:rPr>
              <w:t>- Decision-time targets: eligibility in about 2–3 weeks, full assessment in about 8–12 weeks (T) [S39]; no measured turnaround found</w:t>
            </w:r>
          </w:p>
          <w:p>
            <w:pPr>
              <w:spacing w:before="0" w:after="20" w:line="250" w:lineRule="auto"/>
            </w:pPr>
            <w:r>
              <w:rPr>
                <w:rFonts w:ascii="Calibri" w:hAnsi="Calibri" w:eastAsia="Calibri"/>
                <w:sz w:val="17"/>
              </w:rPr>
              <w:t>- Stablecoins cohort: the FCA intends findings to inform the final stablecoin rules (T) [S41]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The study measures an association with funding, which its authors attribute to reduced information asymmetry and regulatory uncertainty [S2]. It covers early cohorts and funding only, not consumer outcomes; entry is not random. In 2017 the FCA said it was too early for firm conclusions on overall impact, particularly on competition [S1].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 sandbox seat is valued because it signals scrutiny; EUz's signal is only as strong as its selection and published reasoning. Narrow relief is still useful: as at the FCA (row A), EUz's exemption classes should be bounded to requirements EUz itself administers.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Every test agreement requires outcome tracking (funding raised, licence status, survival) at admission (baseline), exit, and 12 and 24 months after admission, reported to the Sandbox Secretariat. Owner: Sandbox head. Output: outcome data in annual reports from year 2 (first 12-month survey about M18). No legal change needed: a contract clause suffices.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 FCA lessons learned (Oct 2017), sandbox tools; [S2] BIS Working Paper 901 (Review of Finance, 2024); [S3] FCA FOI response (May 2026); [S39] FCA application guide; [S40] FCA Innovation Insights (Apr 2026); [S41] FCA stablecoins cohort (Feb 2026).</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3.2  Singapore MAS: 15 of 19 accepted firms were licensed; Sandbox Plus drew no approvals</w:t>
            </w:r>
          </w:p>
          <w:p>
            <w:pPr>
              <w:keepNext/>
              <w:spacing w:before="0" w:after="0" w:line="259" w:lineRule="auto"/>
            </w:pPr>
            <w:r>
              <w:rPr>
                <w:rFonts w:ascii="Calibri" w:hAnsi="Calibri" w:eastAsia="Calibri"/>
                <w:color w:val="D7EFE7"/>
                <w:sz w:val="16"/>
              </w:rPr>
              <w:t>Singapore | Monetary Authority of Singapore | three tracks, 2016–2022 | operational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What was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FinTech Regulatory Sandbox (2016): initially only for solutions new to Singapore. Sandbox Express (Aug 2019): pre-defined conditions for low-risk activities, up to 9 months' testing, 21-day response target; remittance track withdrawn 7 Jan 2020, ahead of the Payment Services Act 2019 [S8]. Sandbox Plus (Jan 2022): for early adopters; first movers could also seek a grant of 50% of qualifying costs, capped at S$500,000 [S9].</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Reported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- 19 firms accepted since 2016; 15 graduated with licences, one later ceased operating (end-Sep 2025, R; scope across tracks unclear, Annex B) [S7]</w:t>
            </w:r>
          </w:p>
          <w:p>
            <w:pPr>
              <w:spacing w:before="0" w:after="20" w:line="250" w:lineRule="auto"/>
            </w:pPr>
            <w:r>
              <w:rPr>
                <w:rFonts w:ascii="Calibri" w:hAnsi="Calibri" w:eastAsia="Calibri"/>
                <w:sz w:val="17"/>
              </w:rPr>
              <w:t>- Median processing about 3 months, including applicants' time answering MAS queries (R) [S7]</w:t>
            </w:r>
          </w:p>
          <w:p>
            <w:pPr>
              <w:spacing w:before="0" w:after="20" w:line="250" w:lineRule="auto"/>
            </w:pPr>
            <w:r>
              <w:rPr>
                <w:rFonts w:ascii="Calibri" w:hAnsi="Calibri" w:eastAsia="Calibri"/>
                <w:sz w:val="17"/>
              </w:rPr>
              <w:t>- Some applicants turned away because existing rules already allowed their business models (R) [S7]</w:t>
            </w:r>
          </w:p>
          <w:p>
            <w:pPr>
              <w:spacing w:before="0" w:after="20" w:line="250" w:lineRule="auto"/>
            </w:pPr>
            <w:r>
              <w:rPr>
                <w:rFonts w:ascii="Calibri" w:hAnsi="Calibri" w:eastAsia="Calibri"/>
                <w:sz w:val="17"/>
              </w:rPr>
              <w:t>- Sandbox Plus: no approvals; per MAS, most applications used technologies already in Singapore (R) [S7]</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Not results: targets, gaps, unreconciled items</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Sandbox Express: the 21-day response is a target (T); no MAS data found on use or achieved turnaround [S8]</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Licence conversion reflects a defined exit into an existing licensing regime (A). Beyond MAS's explanation, why Sandbox Plus drew no approvals is not established. The withdrawn remittance track shows that a pre-defined track depends on the underlying licensing law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Copy Sandbox Express's pre-defined conditions narrowly, tying each category to a named legal regime with a review trigger. No grant or incentive track before demand evidence exists. Publish achieved results, not only targets.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Draft two pre-defined low-risk categories with standard conditions from cohort-1 monitoring data (M9-M12) for Council approval; pilot the Express Track after the cohort-1 stage-8 evaluations (from about M13-M14). Decision within 21 calendar days of a complete application (planning assumption, modelled on MAS); attainment reported quarterly. Owner: Sandbox Secretariat; approval: Council.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[S7] MAS parliamentary reply (14 Oct 2025); [S8] MAS Sandbox Express consultation (2018), launch (2019), guidelines (Jan 2020); [S9] MAS Sandbox Plus release (Nov 2021).</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3.3  UK FCA Digital Sandbox: users say synthetic data speeds development; its quality decides its value</w:t>
            </w:r>
          </w:p>
          <w:p>
            <w:pPr>
              <w:keepNext/>
              <w:spacing w:before="0" w:after="0" w:line="259" w:lineRule="auto"/>
            </w:pPr>
            <w:r>
              <w:rPr>
                <w:rFonts w:ascii="Calibri" w:hAnsi="Calibri" w:eastAsia="Calibri"/>
                <w:color w:val="D7EFE7"/>
                <w:sz w:val="16"/>
              </w:rPr>
              <w:t>United Kingdom | FCA | pilots 2020–2022; permanent since Aug 2023; AI programmes from 2025 | operational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What was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 cloud testing environment with synthetic datasets, APIs and an observation layer; no live consumers, no authorisation relief.</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Reported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DataSprint (Jul–Aug 2020): about 120 participants built synthetic datasets for the pilot over three weeks (R) [S4]</w:t>
            </w:r>
          </w:p>
          <w:p>
            <w:pPr>
              <w:spacing w:before="0" w:after="20" w:line="250" w:lineRule="auto"/>
            </w:pPr>
            <w:r>
              <w:rPr>
                <w:rFonts w:ascii="Calibri" w:hAnsi="Calibri" w:eastAsia="Calibri"/>
                <w:sz w:val="17"/>
              </w:rPr>
              <w:t>- Pilot 1 (Oct 2020–Feb 2021; SME finance, fraud, vulnerable customers): 28 organisations from 94 applications; Pilot 2 (Nov 2021–Mar 2022; ESG data and disclosure): 12 firms from 40 (R) [S4]</w:t>
            </w:r>
          </w:p>
          <w:p>
            <w:pPr>
              <w:spacing w:before="0" w:after="20" w:line="250" w:lineRule="auto"/>
            </w:pPr>
            <w:r>
              <w:rPr>
                <w:rFonts w:ascii="Calibri" w:hAnsi="Calibri" w:eastAsia="Calibri"/>
                <w:sz w:val="17"/>
              </w:rPr>
              <w:t>- Pilot 1 evaluation: 84% of survey responders said it accelerated development; synthetic data was most valued, yet only about half said it met expectations (P, FCA-reported) [S4]</w:t>
            </w:r>
          </w:p>
          <w:p>
            <w:pPr>
              <w:spacing w:before="0" w:after="20" w:line="250" w:lineRule="auto"/>
            </w:pPr>
            <w:r>
              <w:rPr>
                <w:rFonts w:ascii="Calibri" w:hAnsi="Calibri" w:eastAsia="Calibri"/>
                <w:sz w:val="17"/>
              </w:rPr>
              <w:t>- Permanent since 1 Aug 2023, vendor-operated (NayaOne); 300+ datasets listed (Aug 2026, R) [S42]</w:t>
            </w:r>
          </w:p>
          <w:p>
            <w:pPr>
              <w:spacing w:before="0" w:after="20" w:line="250" w:lineRule="auto"/>
            </w:pPr>
            <w:r>
              <w:rPr>
                <w:rFonts w:ascii="Calibri" w:hAnsi="Calibri" w:eastAsia="Calibri"/>
                <w:sz w:val="17"/>
              </w:rPr>
              <w:t>- AI programmes (intake only): Supercharged Sandbox, 23 firms from 132 applications (Oct 2025–Jan 2026), 21 from 199 (from Jul 2026) (R) [S43]; AI Live Testing cohorts of 7 and 8 firms (Dec 2025, Apr 2026; one banking group in both) (R) [S33][S44]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Not results: targets, gaps, unreconciled items</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Not verified: permanent sandbox outcomes (no FCA evaluation found)</w:t>
            </w:r>
          </w:p>
          <w:p>
            <w:pPr>
              <w:spacing w:before="0" w:after="20" w:line="250" w:lineRule="auto"/>
            </w:pPr>
            <w:r>
              <w:rPr>
                <w:rFonts w:ascii="Calibri" w:hAnsi="Calibri" w:eastAsia="Calibri"/>
                <w:sz w:val="17"/>
              </w:rPr>
              <w:t>- Supercharged Sandbox: only qualitative outcomes, from the platform operator and trade press (P); no measured results found</w:t>
            </w:r>
          </w:p>
          <w:p>
            <w:pPr>
              <w:spacing w:before="0" w:after="20" w:line="250" w:lineRule="auto"/>
            </w:pPr>
            <w:r>
              <w:rPr>
                <w:rFonts w:ascii="Calibri" w:hAnsi="Calibri" w:eastAsia="Calibri"/>
                <w:sz w:val="17"/>
              </w:rPr>
              <w:t>- AI Live Testing: evaluation report due Q1 2027 (T) [S44]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Firms can test away from live consumers, but value depends on data quality: satisfaction was mixed, and the DataSprint produced no finalised datasets [S4].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Treat synthetic data and a secure test environment as a core service from first admissions (M6), with a data-quality specification agreed with participants.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Build a minimum test environment in M2-M6, live for the first pilots at M6: separate tenancy per participant, synthetic datasets for the P1 and P3 domains, API gateway and logging (Exhibit 16a). Set the success test with first-pilot participants. Owner: platform and data lead; operation may be outsourced under EUz control, as at the FCA.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[S4] FCA Digital Sandbox pilots, evaluation; [S42] permanent Digital Sandbox; [S43] Supercharged Sandbox; [S33] trade press, [S44] FCA on AI Live Testing.</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3.4  UK ICO Sandbox: a regulator with no power to waive the law still produced published guidance</w:t>
            </w:r>
          </w:p>
          <w:p>
            <w:pPr>
              <w:keepNext/>
              <w:spacing w:before="0" w:after="0" w:line="259" w:lineRule="auto"/>
            </w:pPr>
            <w:r>
              <w:rPr>
                <w:rFonts w:ascii="Calibri" w:hAnsi="Calibri" w:eastAsia="Calibri"/>
                <w:color w:val="D7EFE7"/>
                <w:sz w:val="16"/>
              </w:rPr>
              <w:t>United Kingdom | Information Commissioner's Office; since 30 Sep 2026 the Information Commission (S) [S47] | beta 2019 | operational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What was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Non-statutory: free, bespoke engagement with ICO staff on innovative projects using personal data, ending in a published exit report with the regulator's views. No exemption from data protection law, but comfort from enforcement: inadvertent contraventions during development do not immediately lead to regulatory action while the participant cooperates [S5]. Rolling admissions after the 2019 beta.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Reported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- 10 organisations selected from 64 applications (Jul 2019; 2021 beta review: 65) (R) [S5]</w:t>
            </w:r>
          </w:p>
          <w:p>
            <w:pPr>
              <w:spacing w:before="0" w:after="20" w:line="250" w:lineRule="auto"/>
            </w:pPr>
            <w:r>
              <w:rPr>
                <w:rFonts w:ascii="Calibri" w:hAnsi="Calibri" w:eastAsia="Calibri"/>
                <w:sz w:val="17"/>
              </w:rPr>
              <w:t>- 9 of the 10 exited Jun 2020–Mar 2021, later than planned because of COVID-19 (R) [S5]</w:t>
            </w:r>
          </w:p>
          <w:p>
            <w:pPr>
              <w:spacing w:before="0" w:after="20" w:line="250" w:lineRule="auto"/>
            </w:pPr>
            <w:r>
              <w:rPr>
                <w:rFonts w:ascii="Calibri" w:hAnsi="Calibri" w:eastAsia="Calibri"/>
                <w:sz w:val="17"/>
              </w:rPr>
              <w:t>- 2024 Insights Report: 14 post-beta participants (R) [S46]</w:t>
            </w:r>
          </w:p>
          <w:p>
            <w:pPr>
              <w:spacing w:before="0" w:after="20" w:line="250" w:lineRule="auto"/>
            </w:pPr>
            <w:r>
              <w:rPr>
                <w:rFonts w:ascii="Calibri" w:hAnsi="Calibri" w:eastAsia="Calibri"/>
                <w:sz w:val="17"/>
              </w:rPr>
              <w:t>- Later reports include Our Future Health (Oct 2023) and Meta (exit report, Sep 2025) (R) [S5]</w:t>
            </w:r>
          </w:p>
          <w:p>
            <w:pPr>
              <w:spacing w:before="0" w:after="20" w:line="250" w:lineRule="auto"/>
            </w:pPr>
            <w:r>
              <w:rPr>
                <w:rFonts w:ascii="Calibri" w:hAnsi="Calibri" w:eastAsia="Calibri"/>
                <w:sz w:val="17"/>
              </w:rPr>
              <w:t>- Beta review: participants reported access to expertise and more confidence in finished products (P, ICO-reported) [S5]</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Not results: targets, gaps, unreconciled items</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Statutory option: ICO research (Jul 2026) found a statutory sandbox with time-limited, conditional exemptions feasible, subject to primary legislation and conditions; a recommendation, not an enacted power [S46]</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Published exit reports turn a bilateral engagement into reusable regulatory guidance. Limits: small cohorts, high staff effort, and benefits reported by participants and the ICO, not measured.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The Guidance Track needs no exemption power and can go live before rules are final. Unlike the ICO, EUz often will not own the rule: positions on national requirements must be co-signed by the competent regulator or published as a labelled, non-binding EUz view.</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Every Guidance Track case closes with a short written regulatory position within 30 working days of a complete request (planning assumption), published in anonymised form. Regulatory counsel drafts; the Sandbox head signs under the Guidance Track positions rule (Section 5.3). Owner: Sandbox head. Output: public position library.</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[S5] ICO beta review (Nov 2021), participant pages; [S46] ICO Insights Report (2024), statutory-sandbox research (Jul 2026); [S47] Lewis Silkin briefing (Sep 2026).</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3.5  ADGM RegLab and DFSA ITL: Gulf sandboxes admit many firms, but only 3 of 51 accepted DFSA firms had graduated by June 2021</w:t>
            </w:r>
          </w:p>
          <w:p>
            <w:pPr>
              <w:keepNext/>
              <w:spacing w:before="0" w:after="0" w:line="259" w:lineRule="auto"/>
            </w:pPr>
            <w:r>
              <w:rPr>
                <w:rFonts w:ascii="Calibri" w:hAnsi="Calibri" w:eastAsia="Calibri"/>
                <w:color w:val="D7EFE7"/>
                <w:sz w:val="16"/>
              </w:rPr>
              <w:t>United Arab Emirates | ADGM FSRA (2016) and DFSA (May 2017) | operational; no official totals found after 2019 (ADGM) or 2022 (DFSA)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What was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ADGM RegLab: time-limited, conditional authorisation for fintech firms, in cohorts. DFSA Innovation Testing Licence (ITL): up to 12 months' testing against a test plan; to exit, a firm must show it can meet full authorisation requirements. The DFSA replaced cohorts with a year-round window in Jul 2022 [S14].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Reported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RegLab: 32 firms admitted from 83 applications from 20 countries, May 2017–Aug 2019 (ADGM total, R); NOW Money and Pyypl named as graduates in the live market [S49]</w:t>
            </w:r>
          </w:p>
          <w:p>
            <w:pPr>
              <w:spacing w:before="0" w:after="20" w:line="250" w:lineRule="auto"/>
            </w:pPr>
            <w:r>
              <w:rPr>
                <w:rFonts w:ascii="Calibri" w:hAnsi="Calibri" w:eastAsia="Calibri"/>
                <w:sz w:val="17"/>
              </w:rPr>
              <w:t>- ITL: 105 applied, 51 accepted, 3 graduated (Jun 2021, R); 130 applied, 67 accepted (Jul 2022, R) [S14]</w:t>
            </w:r>
          </w:p>
          <w:p>
            <w:pPr>
              <w:spacing w:before="0" w:after="20" w:line="250" w:lineRule="auto"/>
            </w:pPr>
            <w:r>
              <w:rPr>
                <w:rFonts w:ascii="Calibri" w:hAnsi="Calibri" w:eastAsia="Calibri"/>
                <w:sz w:val="17"/>
              </w:rPr>
              <w:t>- First DFSA graduate: Sarwa (robo-adviser), 5 Nov 2018, after nearly 12 months' testing (R) [S14]</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Not results: targets, gaps, unreconciled items</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DFSA decision time: typically 10–12 weeks after a complete application, indicative only (May 2025, T) [S50]; no attainment data; no ADGM time found</w:t>
            </w:r>
          </w:p>
          <w:p>
            <w:pPr>
              <w:spacing w:before="0" w:after="20" w:line="250" w:lineRule="auto"/>
            </w:pPr>
            <w:r>
              <w:rPr>
                <w:rFonts w:ascii="Calibri" w:hAnsi="Calibri" w:eastAsia="Calibri"/>
                <w:sz w:val="17"/>
              </w:rPr>
              <w:t>- Not verified: later ADGM or DFSA totals; any RegLab conversion rate</w:t>
            </w:r>
          </w:p>
          <w:p>
            <w:pPr>
              <w:spacing w:before="0" w:after="20" w:line="250" w:lineRule="auto"/>
            </w:pPr>
            <w:r>
              <w:rPr>
                <w:rFonts w:ascii="Calibri" w:hAnsi="Calibri" w:eastAsia="Calibri"/>
                <w:sz w:val="17"/>
              </w:rPr>
              <w:t>- Unreconciled: ADGM's announced cohorts sum to 30 firms, against its total of 32 (Annex B) [S13][S49]</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Rising DFSA applications (row B) show regional demand for supervised testing. The 2021 graduation count is a snapshot: press reports put 5 firms in live testing and 7 with in-principle approval (S), so most outcomes were not yet known. Few graduations are consistent with the exit conditions and test durations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Gulf jurisdictions already attract applicants. EUz must differentiate on non-financial emerging technology, a published decision clock with reported attainment (unlike the DFSA's indicative time, row B2) and exit tests defined at the start.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Each test plan states at admission the evidence qualifying the participant for a permanent route (licence, operation under existing rules or a revised regime); conversion is tracked. The licensing authority is consulted at test design but not bound (Exhibit 12). Owner: Sandbox Committee.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[S13] ADGM cohort announcements (2017–2018); [S49] ADGM 4th cohort (Aug 2019); [S14] DFSA Sarwa release, ITL announcement (Jun 2021); Finance Magnates on the ITL window; [S50] DFSA ITL guide (May 2025).</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3.6  WEF-UAE TradeTech Sandbox: a convened multi-regulator sandbox is feasible, but its outcome evidence is convener-reported</w:t>
            </w:r>
          </w:p>
          <w:p>
            <w:pPr>
              <w:keepNext/>
              <w:spacing w:before="0" w:after="0" w:line="259" w:lineRule="auto"/>
            </w:pPr>
            <w:r>
              <w:rPr>
                <w:rFonts w:ascii="Calibri" w:hAnsi="Calibri" w:eastAsia="Calibri"/>
                <w:color w:val="D7EFE7"/>
                <w:sz w:val="16"/>
              </w:rPr>
              <w:t>United Arab Emirates | WEF with UAE federal and Abu Dhabi authorities | announced Jan 2024; WEF report Oct 2025 | results convener-reported (P)</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What was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 trade-technology sandbox announced at Davos (WEF Annual Meeting, Jan 2024) under an MoU among the WEF, the UAE federal ministry responsible for foreign trade (sources differ on which) and the Abu Dhabi Department of Economic Development [S10]. Platform supplied by vendor NayaOne (vendor-reported, P) [S32].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Reported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- 8 start-ups tested solutions with UAE regulators; WEF cites four (WEF report, Oct 2025, P) [S11]</w:t>
            </w:r>
          </w:p>
          <w:p>
            <w:pPr>
              <w:spacing w:before="0" w:after="20" w:line="250" w:lineRule="auto"/>
            </w:pPr>
            <w:r>
              <w:rPr>
                <w:rFonts w:ascii="Calibri" w:hAnsi="Calibri" w:eastAsia="Calibri"/>
                <w:sz w:val="17"/>
              </w:rPr>
              <w:t>- Themes: digital trade documents, self-sovereign identity, stablecoin payments and decentralised-finance (DeFi) lending (P) [S11]</w:t>
            </w:r>
          </w:p>
          <w:p>
            <w:pPr>
              <w:spacing w:before="0" w:after="20" w:line="250" w:lineRule="auto"/>
            </w:pPr>
            <w:r>
              <w:rPr>
                <w:rFonts w:ascii="Calibri" w:hAnsi="Calibri" w:eastAsia="Calibri"/>
                <w:sz w:val="17"/>
              </w:rPr>
              <w:t>- About 21 months from MoU (Jan 2024) to WEF report (Oct 2025) (D) [S10][S11]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Not results: targets, gaps, unreconciled items</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Unreconciled: a 2026 WEF report reportedly links five UAE bodies, not four (ADGM FSRA, DFSA, Central Bank of the UAE, federal trade ministry, Abu Dhabi Department of Economic Development); regulators unnamed here pending WEF confirmation (S; Annex B)</w:t>
            </w:r>
          </w:p>
          <w:p>
            <w:pPr>
              <w:spacing w:before="0" w:after="20" w:line="250" w:lineRule="auto"/>
            </w:pPr>
            <w:r>
              <w:rPr>
                <w:rFonts w:ascii="Calibri" w:hAnsi="Calibri" w:eastAsia="Calibri"/>
                <w:sz w:val="17"/>
              </w:rPr>
              <w:t>- Not verified: per-participant outcomes, licences, volumes or independent evaluation; the WEF report, not yet reviewed in full, may hold case-level detail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The documented value is coordination: one programme spanning trade, payments and identity with several UAE authorities (P). Commercial results are undocumented in the sources reached.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 convener can reduce coordination cost for multi-authority pilots, provided outcomes are reported per participant and unresolved issues are published.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Run Pilot 2 (electronic trade documents with AI screening, Chapter 7) under one test plan with one lead and consenting authority. Any partner, WEF included, reports outcomes per participant (Exhibit 19a); a WEF design review is optional, off the critical path. Owner: Sandbox head; partner terms: International affairs.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[S10] WAM launch release (Jan 2024); [S11] WEF, Advancing Digital Trade (Oct 2025); [S32] NayaOne release (Jan 2025; vendor).</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3.7  HKMA GenAI Sandbox: admitted use cases rose from 15 to 36 in under two years as scope widened; no outcome data found</w:t>
            </w:r>
          </w:p>
          <w:p>
            <w:pPr>
              <w:keepNext/>
              <w:spacing w:before="0" w:after="0" w:line="259" w:lineRule="auto"/>
            </w:pPr>
            <w:r>
              <w:rPr>
                <w:rFonts w:ascii="Calibri" w:hAnsi="Calibri" w:eastAsia="Calibri"/>
                <w:color w:val="D7EFE7"/>
                <w:sz w:val="16"/>
              </w:rPr>
              <w:t>Hong Kong SAR | HKMA with Cyberport | launched 2024 | operational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What was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 sandbox pairing banks with technology partners to test generative-AI use cases. GenAI Sandbox++ (first cohort Aug 2026) extends it to securities and insurance participants and includes agentic-AI use cases [S21].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Reported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Cohort 1 (19 Dec 2024): 15 use cases, 10 banks, 4 technology partners; over 40 proposals (R) [S21]</w:t>
            </w:r>
          </w:p>
          <w:p>
            <w:pPr>
              <w:spacing w:before="0" w:after="20" w:line="250" w:lineRule="auto"/>
            </w:pPr>
            <w:r>
              <w:rPr>
                <w:rFonts w:ascii="Calibri" w:hAnsi="Calibri" w:eastAsia="Calibri"/>
                <w:sz w:val="17"/>
              </w:rPr>
              <w:t>- Cohort 2 (15 Oct 2025): 27 use cases, 20 banks, 14 technology partners; over 60 proposals (R) [S21]</w:t>
            </w:r>
          </w:p>
          <w:p>
            <w:pPr>
              <w:spacing w:before="0" w:after="20" w:line="250" w:lineRule="auto"/>
            </w:pPr>
            <w:r>
              <w:rPr>
                <w:rFonts w:ascii="Calibri" w:hAnsi="Calibri" w:eastAsia="Calibri"/>
                <w:sz w:val="17"/>
              </w:rPr>
              <w:t>- Sandbox++ cohort 1 (27 Aug 2026): 36 use cases, 30 financial institutions, 27 technology partners; about 100 proposals; wider scope, not directly comparable with bank-only cohorts (R) [S21]</w:t>
            </w:r>
          </w:p>
          <w:p>
            <w:pPr>
              <w:spacing w:before="0" w:after="20" w:line="250" w:lineRule="auto"/>
            </w:pPr>
            <w:r>
              <w:rPr>
                <w:rFonts w:ascii="Calibri" w:hAnsi="Calibri" w:eastAsia="Calibri"/>
                <w:sz w:val="17"/>
              </w:rPr>
              <w:t>- Earlier Fintech Supervisory Sandbox (FSS): about 234 technology initiatives tested by end-2021 (trials, not firms or products launched; Legislative Council paper citing HKMA data, R) [S21]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Not results: targets, gaps, unreconciled items</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Not verified: production deployments, risk findings or supervisory outcomes; FSS totals after 2021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Repeat cohorts with rising proposals show demand for AI testing. Counts are admissions, not results; part of the 2026 rise reflects the wider Sandbox++ scope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Start with one themed cohort and expand in rounds only after review. Consider pairing participants with technology partners, as the HKMA does.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Run the first Full Sandbox round as one call for the Chapter 7 AI and data pilots, capped at three to four: announced by Day 90, opened on adoption of the Sandbox Rules (M4), first admissions at M6. P4 runs alongside as an internal pilot. Decide on a larger round 2 at the M9 mid-term review. Owner: Sandbox Committee; round 2: Council.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[S21] HKMA press releases (Dec 2024, Oct 2025, Aug 2026); Hong Kong Legislative Council research paper (Feb 2022).</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3.8  EU sandboxes: dialogue at scale produces guidance, while the power to grant exemptions remains absent</w:t>
            </w:r>
          </w:p>
          <w:p>
            <w:pPr>
              <w:keepNext/>
              <w:spacing w:before="0" w:after="0" w:line="259" w:lineRule="auto"/>
            </w:pPr>
            <w:r>
              <w:rPr>
                <w:rFonts w:ascii="Calibri" w:hAnsi="Calibri" w:eastAsia="Calibri"/>
                <w:color w:val="D7EFE7"/>
                <w:sz w:val="16"/>
              </w:rPr>
              <w:t>European Union | Blockchain Sandbox (2023–2026); AI Act sandboxes (Articles 57–59); Spain's AI sandbox pilot (closed Jun 2026) | mixed status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A. What was introduced</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Blockchain Sandbox: non-binding, cross-border project–regulator dialogues without legal exemptions, for up to 20 use cases a year [S17]. AI Act: requires at least one national AI regulatory sandbox per Member State; per legal commentaries, the Digital Omnibus on AI moved the deadline from 2 Aug 2026 to 2 Aug 2027 (S) [S18]. On request, the authority issues written proof of activities and an exit report, which market-surveillance authorities and notified bodies must take into account positively, without a presumption of conformity (Art. 57(7) as enacted). Spain's AI sandbox pilot (Royal Decree 817/2023), the EU's first, closed 12 Jun 2026 [S19].</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B. Reported results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 Blockchain Sandbox cohort 1: 87 applications, 20 use cases selected, over 50 regulators and authorities involved (R) [S17]</w:t>
            </w:r>
          </w:p>
          <w:p>
            <w:pPr>
              <w:spacing w:before="0" w:after="20" w:line="250" w:lineRule="auto"/>
            </w:pPr>
            <w:r>
              <w:rPr>
                <w:rFonts w:ascii="Calibri" w:hAnsi="Calibri" w:eastAsia="Calibri"/>
                <w:sz w:val="17"/>
              </w:rPr>
              <w:t>- Final best-practices report (11 Feb 2026): 60 use cases across three cohorts (R) [S17]</w:t>
            </w:r>
          </w:p>
          <w:p>
            <w:pPr>
              <w:spacing w:before="0" w:after="20" w:line="250" w:lineRule="auto"/>
            </w:pPr>
            <w:r>
              <w:rPr>
                <w:rFonts w:ascii="Calibri" w:hAnsi="Calibri" w:eastAsia="Calibri"/>
                <w:sz w:val="17"/>
              </w:rPr>
              <w:t>- Spain: 11 AI systems completed the pilot and received diplomas; outputs include AI Act compliance guides published during the pilot and a results report (Sep 2026) (R) [S19]</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0" w:line="240" w:lineRule="auto"/>
            </w:pPr>
            <w:r>
              <w:rPr>
                <w:rFonts w:ascii="Calibri" w:hAnsi="Calibri" w:eastAsia="Calibri"/>
                <w:b/>
                <w:color w:val="8A5A00"/>
                <w:sz w:val="16"/>
              </w:rPr>
              <w:t>B2. Not results: targets, gaps, unreconciled items</w:t>
            </w:r>
          </w:p>
        </w:tc>
        <w:tc>
          <w:tcPr>
            <w:tcW w:type="dxa" w:w="8107"/>
            <w:tcBorders>
              <w:top w:val="single" w:sz="4" w:space="0" w:color="D5DBD9"/>
              <w:left w:val="nil" w:sz="0" w:space="0" w:color="D5DBD9"/>
              <w:bottom w:val="single" w:sz="4" w:space="0" w:color="D5DBD9"/>
              <w:right w:val="nil" w:sz="0" w:space="0" w:color="D5DBD9"/>
            </w:tcBorders>
            <w:shd w:val="clear" w:color="auto" w:fill="FFF6E5"/>
            <w:tcMar>
              <w:top w:w="45" w:type="dxa"/>
              <w:left w:w="100" w:type="dxa"/>
              <w:bottom w:w="45" w:type="dxa"/>
              <w:right w:w="90" w:type="dxa"/>
            </w:tcMar>
          </w:tcPr>
          <w:p>
            <w:pPr>
              <w:spacing w:before="0" w:after="20" w:line="250" w:lineRule="auto"/>
            </w:pPr>
            <w:r>
              <w:rPr>
                <w:rFonts w:ascii="Calibri" w:hAnsi="Calibri" w:eastAsia="Calibri"/>
                <w:sz w:val="17"/>
              </w:rPr>
              <w:t>- Spain: secondary reports put 2025 selections at 12, against 11 completions; no reason found for the difference (S; Annex B)</w:t>
            </w:r>
          </w:p>
          <w:p>
            <w:pPr>
              <w:spacing w:before="0" w:after="20" w:line="250" w:lineRule="auto"/>
            </w:pPr>
            <w:r>
              <w:rPr>
                <w:rFonts w:ascii="Calibri" w:hAnsi="Calibri" w:eastAsia="Calibri"/>
                <w:sz w:val="17"/>
              </w:rPr>
              <w:t>- AI Act: no evidence found that the Article 58 implementing act on sandbox arrangements was adopted by Oct 2026 [S18]</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 Why it matters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Structured dialogue yields shared interpretations at scale. No measured effects on compliance cost or time to market were published in the sources reached.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D. Lesson for EUz</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 published best-practice report per cohort turns dialogues into reusable guidance and builds credibility as an emerging-technology rule-maker. Exit reports that later authorities take into account, without being bound by them, are a model for EUz's own (Exhibit 12).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009162"/>
                <w:sz w:val="16"/>
              </w:rPr>
              <w:t>E. EUz design decision</w:t>
            </w:r>
          </w:p>
        </w:tc>
        <w:tc>
          <w:tcPr>
            <w:tcW w:type="dxa" w:w="8107"/>
            <w:tcBorders>
              <w:top w:val="single" w:sz="4" w:space="0" w:color="D5DBD9"/>
              <w:left w:val="nil" w:sz="0" w:space="0" w:color="D5DBD9"/>
              <w:bottom w:val="single" w:sz="4" w:space="0" w:color="D5DBD9"/>
              <w:right w:val="nil" w:sz="0" w:space="0" w:color="D5DBD9"/>
            </w:tcBorders>
            <w:shd w:val="clear" w:color="auto" w:fill="E6F4EE"/>
            <w:tcMar>
              <w:top w:w="45" w:type="dxa"/>
              <w:left w:w="100" w:type="dxa"/>
              <w:bottom w:w="45" w:type="dxa"/>
              <w:right w:w="90" w:type="dxa"/>
            </w:tcMar>
          </w:tcPr>
          <w:p>
            <w:pPr>
              <w:spacing w:before="0" w:after="20" w:line="250" w:lineRule="auto"/>
            </w:pPr>
            <w:r>
              <w:rPr>
                <w:rFonts w:ascii="Calibri" w:hAnsi="Calibri" w:eastAsia="Calibri"/>
                <w:sz w:val="17"/>
              </w:rPr>
              <w:t>Commit to a Regulatory Insights Report within 60 calendar days of each cohort closing (planning assumption; cohort 1: about M14), approved by the Council and feeding the Regulation Prototyping Track. Owner: Sandbox Secretariat.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F. Source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[S17] European Blockchain Sandbox pages, final report (Feb 2026); [S18] Digital Omnibus legal commentary; [S19] Spanish Government release, results report; AI Act (Regulation (EU) 2024/1689), Art. 57(7).</w:t>
            </w:r>
          </w:p>
        </w:tc>
      </w:tr>
    </w:tbl>
    <w:p>
      <w:pPr>
        <w:spacing w:before="0" w:after="100" w:line="168" w:lineRule="auto"/>
      </w:pPr>
    </w:p>
    <w:p>
      <w:pPr>
        <w:pStyle w:val="Heading1"/>
        <w:pageBreakBefore/>
        <w:pBdr>
          <w:bottom w:val="single" w:sz="12" w:space="3" w:color="009162"/>
        </w:pBdr>
      </w:pPr>
      <w:r>
        <w:rPr>
          <w:rFonts w:ascii="Calibri" w:hAnsi="Calibri" w:eastAsia="Calibri"/>
        </w:rPr>
        <w:t>4. Innovative mechanisms and cases: proven tools are modest; novel ones are mostly unmeasured</w:t>
      </w:r>
    </w:p>
    <w:p>
      <w:pPr>
        <w:pStyle w:val="Heading2"/>
      </w:pPr>
      <w:r>
        <w:rPr>
          <w:rFonts w:ascii="Calibri" w:hAnsi="Calibri" w:eastAsia="Calibri"/>
        </w:rPr>
        <w:t>4.1 Fourteen mechanisms: licence conversion and the UK funding effect are best evidenced; fast-track and AI testing are not yet independently evaluated</w:t>
      </w:r>
    </w:p>
    <w:p>
      <w:pPr>
        <w:spacing w:before="0" w:after="80" w:line="259" w:lineRule="auto"/>
      </w:pPr>
      <w:r>
        <w:rPr>
          <w:rFonts w:ascii="Calibri" w:hAnsi="Calibri" w:eastAsia="Calibri"/>
          <w:sz w:val="18"/>
        </w:rPr>
        <w:t xml:space="preserve">Status key: </w:t>
      </w:r>
      <w:r>
        <w:rPr>
          <w:rFonts w:ascii="Calibri" w:hAnsi="Calibri" w:eastAsia="Calibri"/>
          <w:b/>
          <w:sz w:val="18"/>
        </w:rPr>
        <w:t>Proven</w:t>
      </w:r>
      <w:r>
        <w:rPr>
          <w:rFonts w:ascii="Calibri" w:hAnsi="Calibri" w:eastAsia="Calibri"/>
          <w:sz w:val="18"/>
        </w:rPr>
        <w:t xml:space="preserve"> = operational with documented results; </w:t>
      </w:r>
      <w:r>
        <w:rPr>
          <w:rFonts w:ascii="Calibri" w:hAnsi="Calibri" w:eastAsia="Calibri"/>
          <w:b/>
          <w:sz w:val="18"/>
        </w:rPr>
        <w:t>Operational without impact data</w:t>
      </w:r>
      <w:r>
        <w:rPr>
          <w:rFonts w:ascii="Calibri" w:hAnsi="Calibri" w:eastAsia="Calibri"/>
          <w:sz w:val="18"/>
        </w:rPr>
        <w:t xml:space="preserve"> = running, no reliable outcome data found; </w:t>
      </w:r>
      <w:r>
        <w:rPr>
          <w:rFonts w:ascii="Calibri" w:hAnsi="Calibri" w:eastAsia="Calibri"/>
          <w:b/>
          <w:sz w:val="18"/>
        </w:rPr>
        <w:t>Experimental</w:t>
      </w:r>
      <w:r>
        <w:rPr>
          <w:rFonts w:ascii="Calibri" w:hAnsi="Calibri" w:eastAsia="Calibri"/>
          <w:sz w:val="18"/>
        </w:rPr>
        <w:t xml:space="preserve"> = early or ongoing; </w:t>
      </w:r>
      <w:r>
        <w:rPr>
          <w:rFonts w:ascii="Calibri" w:hAnsi="Calibri" w:eastAsia="Calibri"/>
          <w:b/>
          <w:sz w:val="18"/>
        </w:rPr>
        <w:t>Proposed</w:t>
      </w:r>
      <w:r>
        <w:rPr>
          <w:rFonts w:ascii="Calibri" w:hAnsi="Calibri" w:eastAsia="Calibri"/>
          <w:sz w:val="18"/>
        </w:rPr>
        <w:t xml:space="preserve"> = announced, not implemented. Brackets give the reason. Innovation alone is not treated as evidence of success.</w:t>
      </w:r>
    </w:p>
    <w:p>
      <w:pPr>
        <w:pStyle w:val="ExhibitTitle"/>
      </w:pPr>
      <w:r>
        <w:rPr>
          <w:rFonts w:ascii="Calibri" w:hAnsi="Calibri" w:eastAsia="Calibri"/>
        </w:rPr>
        <w:t>Exhibit 4. Mechanism cards: international examples, reported results, value and requirements for EUz</w:t>
      </w:r>
    </w:p>
    <w:tbl>
      <w:tblPr>
        <w:tblW w:w="9639" w:type="dxa"/>
        <w:jc w:val="center"/>
        <w:tblLayout w:type="fixed"/>
        <w:tblLook w:firstColumn="1" w:firstRow="1" w:lastColumn="0" w:lastRow="0" w:noHBand="0" w:noVBand="1" w:val="04A0"/>
      </w:tblPr>
      <w:tblGrid>
        <w:gridCol w:w="1417"/>
        <w:gridCol w:w="1587"/>
        <w:gridCol w:w="2211"/>
        <w:gridCol w:w="1417"/>
        <w:gridCol w:w="1587"/>
        <w:gridCol w:w="1417"/>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Mechanism</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International example</w:t>
            </w:r>
          </w:p>
        </w:tc>
        <w:tc>
          <w:tcPr>
            <w:tcW w:type="dxa" w:w="221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Reported result (evidence type)</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Value for EUz</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Implementation requirements</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Status</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Express / fast-track</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Sandbox Express (2019)</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21-day response target (T); no usage or achieved-turnaround data [S8]. Standard track: median about 3 months, including applicant time (R) [S7]. Remittance track withdrawn Jan 2020, before a new payments law (R) [S8]</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Predictable decision for low-risk cases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Predefined categories, each tied to a named legal regime and review trigger; Council-approved standard conditions; published attainment</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Guidance without exemptions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ICO Sandbox; Ofgem Innovation Link; Japan Grey Zone Elimination (since 2014)</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Ofgem window 1: 22 of 30 expressions of interest needed feedback only (R) [S6]. ICO: published exit reports (R) [S5]. Japan: competent ministry replies, in principle within about one month; replies published (R) [S20]; reply count not verified</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Needs no exemption power; usable before rules are final</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Case manager; counsel; publication policy; national-rule positions co-signed by the competent regulator or labelled non-binding</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 (outputs documented)</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Multi-track</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Sandbox, Sandbox Express, Sandbox Plus; Uzbek Central Bank three-track update (reported draft)</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Plus: no approvals by end-Sep 2025 (R) [S7]; Sandbox Express: see mechanism 1. Central Bank draft reported (S) [S29]; current status not checked</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Matches effort to risk</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Clear entry test per track; start with two tracks</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 (one track unused)</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Cross-sector sandbox</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Japan (2018; permanent 2021); Korea ICT convergence (2019)</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Japan: over 30 projects certified by 2024 (IMF) [S20]; 33 plans, 152 entities by Mar 2025 (Cabinet Office, R). Korea ICT: applications fell from 110 to 67 over two years (press, Aug 2026, S); overall regime split across six ministries (S) [S23]</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One door for emerging technology across ministries; judge by outcomes, not intake (A)</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Consent protocols and MoUs with national regulators (no power to bind them); single case file</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5 Time-limited exemptions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Korea financial-innovation designation (2019); UK Digital Securities Sandbox (statutory, 2024)</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Korea: over 300 services designated by Mar 2024 (R); 2,220 jobs and KRW 6.03 trillion investment claimed (R, FSC) [S23]. UK: since 8 Jan 2024, SI 2023/1398 lets the Bank of England and FCA modify or disapply specified financial-markets legislation for participants [S45]</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Legal certainty for the test period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 power to modify rules, which real flexibility needs (UK case; see Exhibit 13); caps; stop-loss; defined term</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 (Korea outcome claim: method not examined)</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6 Regulation prototyping</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Japan and Korea cross-sector sandboxes; FCA stablecoins cohort (2026)</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Japan: no published total of resulting rule changes [S20]. Korea: regulatory improvements in 373 of 1,752 approved projects by 2025, per ICO research (S; Korean source not checked) [S46]. FCA: stablecoin findings to inform final rules (T) [S41]</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Turns tests into rules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rule-making route; pilot-to-rule note at every exit</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 (rule-change counts unchecked)</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7 Graduation</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SAMA, DFSA (exit into an existing licence); EU AI Act exit report (Art. 57(7))</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15 of 19 accepted firms licensed (end-Sep 2025; track scope unclear) [S7]; SAMA: 18 graduates of 45 permitted (May 2023) [S22]; DFSA: 3 graduates of 51 accepted (Jun 2021) [S14]; all R. Australia: 1 licence among 16 exits (S) [S24]</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Defines success and avoids limbo</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Exit routes and evidence set at admission; licensing bodies consulted; written exit report that later authorities weigh but are not bound by (AI Act model)</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Proven (regulator-reported counts; not comparable across programmes)</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8 Cross-border corridors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GFIN cross-border testing pilot; Singapore-Abu Dhabi MLETR pilot transaction</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GFIN: 44 applications, 17 regulators, 8 firms shortlisted; none had begun testing by the Jan 2020 report (R) [S15]; 2020–21 trial outcomes not verified. Trade press: first MLETR-enabled Singapore-Abu Dhabi transaction (pilot, S) [S34]</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Reach and credibility abroad</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Bilateral MoUs; mutual recognition; common test plan</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Experimental (no completed cross-border test documented)</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9 Digital sandbox, synthetic data</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FCA Digital Sandbox (pilots 2020–2022)</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Pilot 1: 28 organisations (R); synthetic data most valued; only about half said it met expectations (P, via FCA) [S4]. Permanent since Aug 2023, vendor-run (NayaOne); 300+ datasets listed (R) [S42]</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Removes the data-access barrier</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Isolated environment; datasets with quality specifications; API gateway; vendor-run under EUz control</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 (participant survey only)</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10 AI model and live testing</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HKMA GenAI Sandbox; FCA AI Live Testing and Supercharged Sandbox; Spain AI sandbox</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HKMA: 15, 27, then 36 use cases admitted (last under a wider scope, R) [S21]. FCA AI Live Testing: cohorts of 7 and 8 firms (R); evaluation due Q1 2027 (T) [S44]. Supercharged Sandbox: qualitative outcomes only (P) [S43]. Spain: 11 AI systems completed (R) [S19]</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Fits EUz's cohort-1 AI and data theme</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Independent assurance partner; test protocols; evaluation committed in advance</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Experimental</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11 Regulator-in-the-loop, multi-regulator</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European Blockchain Sandbox; WEF-UAE TradeTech</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Blockchain Sandbox cohort 1: over 50 regulators and authorities (R) [S17]; TradeTech: four UAE regulators, per WEF (P) [S11]</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One test plan across authorities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Lead authority; consent protocol</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12 Funding signal of admission</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UK FCA sandbox (BIS study); MAS Sandbox Plus grants</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About 15% more capital raised after entry (I) [S2]; Sandbox Plus: no approvals by end-Sep 2025 (see mechanism 3)</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Commercial pull for participants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Outcome data from admission; no grant track until demand is shown</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Proven (UK, I); grants unproven (MAS Sandbox Plus)</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13 Published exit and insight reports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ICO; European Blockchain Sandbox; Spain AI sandbox</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ICO: exit reports; 2024 Insights Report on 14 participants (R) [S5][S46]. Blockchain Sandbox: best-practices report, 60 use cases (Feb 2026, R) [S17]. Spain: results report (Sep 2026, R) [S19]</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Reputation as a rule-maker</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Confidentiality clauses; editorial process</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 (outputs documented)</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14 Open-window intake</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FCA always open (since Aug 2021); DFSA year-round window (since Jul 2022)</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DFSA: decisions typically 10–12 weeks from a complete application (indicative, T) [S50]. FCA: thematic cohorts since late 2025 [S41]</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Avoids cohort delays; themed calls can run alongside</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Standing triage capacity</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without impact data</w:t>
            </w:r>
          </w:p>
        </w:tc>
      </w:tr>
    </w:tbl>
    <w:p>
      <w:pPr>
        <w:spacing w:before="0" w:after="40" w:line="144" w:lineRule="auto"/>
      </w:pPr>
    </w:p>
    <w:p>
      <w:pPr>
        <w:spacing w:before="40" w:after="160" w:line="240" w:lineRule="auto"/>
      </w:pPr>
      <w:r>
        <w:rPr>
          <w:rFonts w:ascii="Calibri" w:hAnsi="Calibri" w:eastAsia="Calibri"/>
          <w:color w:val="6B6E70"/>
          <w:sz w:val="15"/>
        </w:rPr>
        <w:t>Results as reported by the cited sources; none yet checked against the full primary text (Annex D, step 2). Exhibit 5 (Chapter 5) turns these mechanisms into EUz recommendations.</w:t>
      </w:r>
    </w:p>
    <w:p>
      <w:pPr>
        <w:pStyle w:val="Heading2"/>
      </w:pPr>
      <w:r>
        <w:rPr>
          <w:rFonts w:ascii="Calibri" w:hAnsi="Calibri" w:eastAsia="Calibri"/>
        </w:rPr>
        <w:t>4.2 Seven cases: licensing shows completed outcomes; no audited cost saving was found; rule-change evidence is thin</w:t>
      </w:r>
    </w:p>
    <w:p>
      <w:pPr>
        <w:spacing w:before="0" w:after="80" w:line="259" w:lineRule="auto"/>
      </w:pPr>
      <w:r>
        <w:rPr>
          <w:rFonts w:ascii="Calibri" w:hAnsi="Calibri" w:eastAsia="Calibri"/>
          <w:sz w:val="18"/>
        </w:rPr>
        <w:t>Each case gives its status; figures in Exhibit 4 and Chapter 3 cards are not repeated. The last column is analysis (A).</w:t>
      </w:r>
    </w:p>
    <w:tbl>
      <w:tblPr>
        <w:tblW w:w="9639" w:type="dxa"/>
        <w:jc w:val="center"/>
        <w:tblLayout w:type="fixed"/>
        <w:tblLook w:firstColumn="1" w:firstRow="1" w:lastColumn="0" w:lastRow="0" w:noHBand="0" w:noVBand="1" w:val="04A0"/>
      </w:tblPr>
      <w:tblGrid>
        <w:gridCol w:w="1587"/>
        <w:gridCol w:w="5216"/>
        <w:gridCol w:w="2835"/>
      </w:tblGrid>
      <w:tr>
        <w:trPr>
          <w:cantSplit/>
          <w:tblHeader/>
        </w:trPr>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Case</w:t>
            </w:r>
          </w:p>
        </w:tc>
        <w:tc>
          <w:tcPr>
            <w:tcW w:type="dxa" w:w="5216"/>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What happened (status)</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6"/>
              </w:rPr>
              <w:t>How EUz could apply this</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A. Sandbox to commercial launch</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DFSA's first graduate, Sarwa, and MAS licence conversion (completed, R; cards 3.2, 3.5).</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Count a launch only when a permanent route is granted; track time from admission to permanent status.</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B. Reducing cost and uncertainty</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 xml:space="preserve">Closest evidence (Exhibit 4, mechanisms 2 and 12): the UK funding effect (I) [S2]; Ofgem's feedback-only triage (completed, R) [S6]. </w:t>
            </w:r>
            <w:r>
              <w:rPr>
                <w:rFonts w:ascii="Calibri" w:hAnsi="Calibri" w:eastAsia="Calibri"/>
                <w:b/>
                <w:color w:val="39393B"/>
                <w:sz w:val="16"/>
              </w:rPr>
              <w:t>No audited saving in compliance cost or approval time was found in any programme reviewed (evidence gap).</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Record participant-estimated baseline cost and time at admission; label results as estimates.</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C. Digital sandbox with synthetic data</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FCA Digital Sandbox: two pilots (completed, R), then a permanent service (operational, R; Exhibit 4, mechanism 9; card 3.3).</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Provide synthetic data to AI and data pilots; test data quality with users.</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D. Sandbox creating regulation</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Japan's sandbox made permanent by law in 2021 (completed, R); FCA stablecoins cohort to inform final stablecoin rules (ongoing, T) [S41]. Rule-change counts are missing or unchecked (Exhibit 4, mechanism 6).</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End every pilot with a Council note: rule change, guidance or none.</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E. Multi-regulator testing</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European Blockchain Sandbox dialogues (2023–2026 programme; final report Feb 2026, R) and the convened UAE TradeTech sandbox (WEF report Oct 2025; current status not confirmed, P); cards 3.6, 3.8.</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One test plan; one lead authority; defined consent steps.</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6"/>
              </w:rPr>
              <w:t>F. Cross-border experiment</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GFIN's first cross-border testing pilot: no completed test documented (R) [S15]; trade press reports a first Singapore-Abu Dhabi MLETR pilot transaction (S) [S34] (Exhibit 4, mechanism 8).</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6"/>
              </w:rPr>
              <w:t>Defer the Cross-border Track to year 2; start with one bilateral MoU and recognition of a partner regulator's test decision.</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6"/>
              </w:rPr>
              <w:t>G. New technology economy</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HKMA, FCA and Spanish AI sandboxes (Exhibit 4, mechanism 10; cards 3.3, 3.7, 3.8): Spain's concluded Jun 2026; the others continue. Ofgem plans a 12-month AI Technical Sandbox pilot from late autumn 2026 (decided Jun 2026, R) [S48]. Press (Aug 2026) reported interest in testing drones and robotaxis in EUz (S) [S27].</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6"/>
              </w:rPr>
              <w:t>AI and data as the cohort-1 theme; treat autonomous vehicles as a watch item given physical-safety authorities.</w:t>
            </w:r>
          </w:p>
        </w:tc>
      </w:tr>
    </w:tbl>
    <w:p>
      <w:pPr>
        <w:spacing w:before="0" w:after="40" w:line="144" w:lineRule="auto"/>
      </w:pPr>
    </w:p>
    <w:p>
      <w:pPr>
        <w:pStyle w:val="Heading1"/>
        <w:pageBreakBefore/>
        <w:pBdr>
          <w:bottom w:val="single" w:sz="12" w:space="3" w:color="009162"/>
        </w:pBdr>
      </w:pPr>
      <w:r>
        <w:rPr>
          <w:rFonts w:ascii="Calibri" w:hAnsi="Calibri" w:eastAsia="Calibri"/>
        </w:rPr>
        <w:t>5. EUz Sandbox strategic design: a target operating model that is lean at launch and expands only on evidence</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Basis for this chapter: reported provisions, not yet checked against the official texts</w:t>
            </w:r>
          </w:p>
          <w:p>
            <w:pPr>
              <w:spacing w:before="0" w:after="40" w:line="252" w:lineRule="auto"/>
            </w:pPr>
            <w:r>
              <w:rPr>
                <w:rFonts w:ascii="Calibri" w:hAnsi="Calibri" w:eastAsia="Calibri"/>
                <w:sz w:val="17"/>
              </w:rPr>
              <w:t xml:space="preserve">Design choices rest on the evidence in Chapters 2–4. Statements on the powers of the International Centre for Digital Technologies (the Centre, reported to operate as Enterprise Uzbekistan) rely on official database listings, press reports and EUz working files (W). </w:t>
            </w:r>
            <w:r>
              <w:rPr>
                <w:rFonts w:ascii="Calibri" w:hAnsi="Calibri" w:eastAsia="Calibri"/>
                <w:b/>
                <w:sz w:val="17"/>
              </w:rPr>
              <w:t>The official texts have not yet been reviewed (Annex D, step 1).</w:t>
            </w:r>
          </w:p>
          <w:p>
            <w:pPr>
              <w:spacing w:before="0" w:after="40" w:line="252" w:lineRule="auto"/>
            </w:pPr>
            <w:r>
              <w:rPr>
                <w:rFonts w:ascii="Calibri" w:hAnsi="Calibri" w:eastAsia="Calibri"/>
                <w:b/>
                <w:sz w:val="17"/>
              </w:rPr>
              <w:t>Legal acts.</w:t>
            </w:r>
            <w:r>
              <w:rPr>
                <w:rFonts w:ascii="Calibri" w:hAnsi="Calibri" w:eastAsia="Calibri"/>
                <w:sz w:val="17"/>
              </w:rPr>
              <w:t xml:space="preserve"> Decree UP-233 of 26 Nov 2025 organised the activity of the Centre, first established by Decree UP-25 on 1 Feb 2024 (lex.uz listing) [S28]. The press reports a special legal regime based on the norms of English and Welsh common law or the standards of leading international financial centres [S27]. The law on the Centre is LRU-1169 of 19 Aug 2026 (lex.uz listing [S57]; a constitutional law, per the press); one outlet reports entry into force on 21 Jan 2027, to be checked against its final provisions [S27]. Until then, the decree-level framework presumably remains the operative basis (to be confirmed by counsel).</w:t>
            </w:r>
          </w:p>
          <w:p>
            <w:pPr>
              <w:spacing w:before="0" w:after="40" w:line="252" w:lineRule="auto"/>
            </w:pPr>
            <w:r>
              <w:rPr>
                <w:rFonts w:ascii="Calibri" w:hAnsi="Calibri" w:eastAsia="Calibri"/>
                <w:b/>
                <w:sz w:val="17"/>
              </w:rPr>
              <w:t>Reported sandbox provisions (press and search excerpts).</w:t>
            </w:r>
            <w:r>
              <w:rPr>
                <w:rFonts w:ascii="Calibri" w:hAnsi="Calibri" w:eastAsia="Calibri"/>
                <w:sz w:val="17"/>
              </w:rPr>
              <w:t xml:space="preserve"> A regulatory sandbox may be introduced (per one excerpt, by the Centre's Administration) for up to 12 months unless the Governing Council sets another term ("the Board" in some reports, presumed to be the Council; to be confirmed, Annex D, step 1). Participants are temporarily exempted from certain statutory requirements; single outlets add simplified licensing and access to the Centre's infrastructure. Detailed procedures are expected in Council decisions and secondary acts, none published by 20 Oct 2026 [S27]. Whether the regime is mandatory or discretionary, and the Administration's role, are not settled.</w:t>
            </w:r>
          </w:p>
          <w:p>
            <w:pPr>
              <w:spacing w:before="0" w:after="40" w:line="252" w:lineRule="auto"/>
            </w:pPr>
            <w:r>
              <w:rPr>
                <w:rFonts w:ascii="Calibri" w:hAnsi="Calibri" w:eastAsia="Calibri"/>
                <w:b/>
                <w:sz w:val="17"/>
              </w:rPr>
              <w:t>Reported governance.</w:t>
            </w:r>
            <w:r>
              <w:rPr>
                <w:rFonts w:ascii="Calibri" w:hAnsi="Calibri" w:eastAsia="Calibri"/>
                <w:sz w:val="17"/>
              </w:rPr>
              <w:t xml:space="preserve"> The President chairs the Governing Council and approves its composition; the Centre's Administration performs executive functions; participants' disputes go to the Tashkent International Commercial Court [S27][S57]. EUz working files model admission as a Council decision limited to the product, clients, territory, term and volume it specifies, with no automatic right to commercial launch; financial testing follows the competent regulator's decision (W) [S31].</w:t>
            </w:r>
          </w:p>
          <w:p>
            <w:pPr>
              <w:spacing w:before="0" w:after="40" w:line="252" w:lineRule="auto"/>
            </w:pPr>
            <w:r>
              <w:rPr>
                <w:rFonts w:ascii="Calibri" w:hAnsi="Calibri" w:eastAsia="Calibri"/>
                <w:b/>
                <w:sz w:val="17"/>
              </w:rPr>
              <w:t>Design consequence (A).</w:t>
            </w:r>
            <w:r>
              <w:rPr>
                <w:rFonts w:ascii="Calibri" w:hAnsi="Calibri" w:eastAsia="Calibri"/>
                <w:sz w:val="17"/>
              </w:rPr>
              <w:t xml:space="preserve"> A Council-delegated Sandbox Committee, serviced by the EUz Administration and acting under Council-set requirements, is consistent with the reported wording, but counsel must confirm it (Action 2); the fallback is the Council deciding each case. </w:t>
            </w:r>
            <w:r>
              <w:rPr>
                <w:rFonts w:ascii="Calibri" w:hAnsi="Calibri" w:eastAsia="Calibri"/>
                <w:b/>
                <w:sz w:val="17"/>
              </w:rPr>
              <w:t>This design does not assume that EUz can waive any national regulator's requirement.</w:t>
            </w:r>
          </w:p>
        </w:tc>
      </w:tr>
    </w:tbl>
    <w:p>
      <w:pPr>
        <w:spacing w:before="0" w:after="40" w:line="144" w:lineRule="auto"/>
      </w:pPr>
    </w:p>
    <w:p>
      <w:pPr>
        <w:pStyle w:val="Heading3"/>
      </w:pPr>
      <w:r>
        <w:rPr>
          <w:rFonts w:ascii="Calibri" w:hAnsi="Calibri" w:eastAsia="Calibri"/>
        </w:rPr>
        <w:t>What EUz adopts from international practice</w:t>
      </w:r>
    </w:p>
    <w:p>
      <w:pPr>
        <w:spacing w:before="0" w:after="80" w:line="259" w:lineRule="auto"/>
      </w:pPr>
      <w:r>
        <w:rPr>
          <w:rFonts w:ascii="Calibri" w:hAnsi="Calibri" w:eastAsia="Calibri"/>
          <w:sz w:val="18"/>
        </w:rPr>
        <w:t>Exhibit 5 turns the fourteen mechanisms in Exhibit 4 into EUz actions with owners and start dates (Launch Day: target Day 90, about M3; launch sequence: Section 5.9).</w:t>
      </w:r>
    </w:p>
    <w:p>
      <w:pPr>
        <w:pStyle w:val="ExhibitTitle"/>
      </w:pPr>
      <w:r>
        <w:rPr>
          <w:rFonts w:ascii="Calibri" w:hAnsi="Calibri" w:eastAsia="Calibri"/>
        </w:rPr>
        <w:t>Exhibit 5. International mechanism to EUz recommendation matrix</w:t>
      </w:r>
    </w:p>
    <w:tbl>
      <w:tblPr>
        <w:tblW w:w="9639" w:type="dxa"/>
        <w:jc w:val="center"/>
        <w:tblLayout w:type="fixed"/>
        <w:tblLook w:firstColumn="1" w:firstRow="1" w:lastColumn="0" w:lastRow="0" w:noHBand="0" w:noVBand="1" w:val="04A0"/>
      </w:tblPr>
      <w:tblGrid>
        <w:gridCol w:w="2041"/>
        <w:gridCol w:w="5216"/>
        <w:gridCol w:w="2381"/>
      </w:tblGrid>
      <w:tr>
        <w:trPr>
          <w:cantSplit/>
          <w:tblHeader/>
        </w:trPr>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Mechanism</w:t>
            </w:r>
          </w:p>
        </w:tc>
        <w:tc>
          <w:tcPr>
            <w:tcW w:type="dxa" w:w="5216"/>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EUz recommendation (action, owner)</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Timing</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Guidance without exemptions</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Guidance Track as first point of contact; published positions. Regulatory counsel.</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Launch Day</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Published exit and insight reports</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One Council-approved Regulatory Insights Report per cohort. Secretariat.</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First report about M14 (60 calendar days after cohort 1 closes)</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Graduation</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Exit evidence in every test plan. Sandbox Committee.</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From the first admissions (M6)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Digital sandbox, synthetic data</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Minimum viable environment for the AI and data pilots. Platform and data lead.</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MVP built M2-M6; live for first pilots at M6</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Time-limited exemptions</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Only for EUz-controlled requirements; consent for others. Council, regulators.</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From M6, within exemption classes set by the Sandbox Rules</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Regulator-in-the-loop, multi-regulator testing</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One test plan, named lead authority. Sandbox Committee.</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M6, Pilot 2 only</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Express / fast-track</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Express Track: two predefined low-risk categories drafted from cohort-1 data. Council.</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Conditions drafted M9-M12; pilot from about M13-M14</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Open-window intake</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Guidance Track: rolling intake. Full Sandbox: one call in year 1; rolling intake considered at the annual review. Secretariat.</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Guidance: Launch Day; Full Sandbox: year 2</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AI model and live testing</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First cohort themed on AI and data (P1-P3; internal pilot P4 alongside). Sandbox Committee.</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Cohort 1 admitted M6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Regulation prototyping</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Pilot-to-rule notes first; Prototyping Track after review. Council.</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Notes at cohort-1 exit; pilot from about M13-M14</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Funding signal of admission</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Demo events (A; no evidence found); no grant track until demand is shown (MAS Sandbox Plus). Business development.</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After month 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Cross-sector sandbox</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Single door; consent protocols and MoUs with national regulators (no power to bind them). Council, regulators.</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Launch Day (by design)</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Multi-track</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Two tracks first; others as in Section 5.3. Council.</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Phased</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Cross-border corridors</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Cross-border Track: MoUs only in year 1; no tests. International affairs.</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Year 2</w:t>
            </w:r>
          </w:p>
        </w:tc>
      </w:tr>
    </w:tbl>
    <w:p>
      <w:pPr>
        <w:spacing w:before="0" w:after="40" w:line="144" w:lineRule="auto"/>
      </w:pPr>
    </w:p>
    <w:p>
      <w:pPr>
        <w:spacing w:before="40" w:after="160" w:line="240" w:lineRule="auto"/>
      </w:pPr>
      <w:r>
        <w:rPr>
          <w:rFonts w:ascii="Calibri" w:hAnsi="Calibri" w:eastAsia="Calibri"/>
          <w:color w:val="6B6E70"/>
          <w:sz w:val="15"/>
        </w:rPr>
        <w:t>Analyst recommendation (A), based on Exhibit 4. Owners are EUz functions; national regulators act only where their consent is needed.</w:t>
      </w:r>
    </w:p>
    <w:p>
      <w:pPr>
        <w:pStyle w:val="Heading2"/>
      </w:pPr>
      <w:r>
        <w:rPr>
          <w:rFonts w:ascii="Calibri" w:hAnsi="Calibri" w:eastAsia="Calibri"/>
        </w:rPr>
        <w:t>5.1 Institutional architecture: ownership, decision rights and consent gates</w:t>
      </w:r>
    </w:p>
    <w:p>
      <w:pPr>
        <w:pStyle w:val="ExhibitTitle"/>
      </w:pPr>
      <w:r>
        <w:rPr>
          <w:rFonts w:ascii="Calibri" w:hAnsi="Calibri" w:eastAsia="Calibri"/>
        </w:rPr>
        <w:t>Exhibit 6. Proposed EUz Sandbox architecture</w:t>
      </w:r>
    </w:p>
    <w:p>
      <w:pPr>
        <w:keepNext/>
        <w:spacing w:before="0" w:after="40" w:line="259" w:lineRule="auto"/>
        <w:jc w:val="center"/>
      </w:pPr>
      <w:r>
        <w:drawing>
          <wp:inline xmlns:a="http://schemas.openxmlformats.org/drawingml/2006/main" xmlns:pic="http://schemas.openxmlformats.org/drawingml/2006/picture">
            <wp:extent cx="5616000" cy="5518416"/>
            <wp:docPr id="2" name="Picture 2"/>
            <wp:cNvGraphicFramePr>
              <a:graphicFrameLocks noChangeAspect="1"/>
            </wp:cNvGraphicFramePr>
            <a:graphic>
              <a:graphicData uri="http://schemas.openxmlformats.org/drawingml/2006/picture">
                <pic:pic>
                  <pic:nvPicPr>
                    <pic:cNvPr id="0" name="f2_architecture.png"/>
                    <pic:cNvPicPr/>
                  </pic:nvPicPr>
                  <pic:blipFill>
                    <a:blip r:embed="rId10"/>
                    <a:stretch>
                      <a:fillRect/>
                    </a:stretch>
                  </pic:blipFill>
                  <pic:spPr>
                    <a:xfrm>
                      <a:off x="0" y="0"/>
                      <a:ext cx="5616000" cy="5518416"/>
                    </a:xfrm>
                    <a:prstGeom prst="rect"/>
                  </pic:spPr>
                </pic:pic>
              </a:graphicData>
            </a:graphic>
          </wp:inline>
        </w:drawing>
      </w:r>
    </w:p>
    <w:p>
      <w:pPr>
        <w:spacing w:before="40" w:after="160" w:line="240" w:lineRule="auto"/>
      </w:pPr>
      <w:r>
        <w:rPr>
          <w:rFonts w:ascii="Calibri" w:hAnsi="Calibri" w:eastAsia="Calibri"/>
          <w:color w:val="6B6E70"/>
          <w:sz w:val="15"/>
        </w:rPr>
        <w:t>Analyst design (A). The Registrar's role and national-regulator competences are to be confirmed against the official texts.</w:t>
      </w:r>
    </w:p>
    <w:p>
      <w:pPr>
        <w:pStyle w:val="ExhibitTitle"/>
      </w:pPr>
      <w:r>
        <w:rPr>
          <w:rFonts w:ascii="Calibri" w:hAnsi="Calibri" w:eastAsia="Calibri"/>
        </w:rPr>
        <w:t>Exhibit 7. Governance and decision rights</w:t>
      </w:r>
    </w:p>
    <w:tbl>
      <w:tblPr>
        <w:tblW w:w="9639" w:type="dxa"/>
        <w:jc w:val="center"/>
        <w:tblLayout w:type="fixed"/>
        <w:tblLook w:firstColumn="1" w:firstRow="1" w:lastColumn="0" w:lastRow="0" w:noHBand="0" w:noVBand="1" w:val="04A0"/>
      </w:tblPr>
      <w:tblGrid>
        <w:gridCol w:w="1757"/>
        <w:gridCol w:w="3231"/>
        <w:gridCol w:w="2211"/>
        <w:gridCol w:w="2438"/>
      </w:tblGrid>
      <w:tr>
        <w:trPr>
          <w:cantSplit/>
          <w:tblHeader/>
        </w:trPr>
        <w:tc>
          <w:tcPr>
            <w:tcW w:type="dxa" w:w="175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Actor</w:t>
            </w:r>
          </w:p>
        </w:tc>
        <w:tc>
          <w:tcPr>
            <w:tcW w:type="dxa" w:w="32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Decides</w:t>
            </w:r>
          </w:p>
        </w:tc>
        <w:tc>
          <w:tcPr>
            <w:tcW w:type="dxa" w:w="221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Recommends / advises</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Limits on its authority</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Governing Council</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Rules; standard test conditions; which tracks open and when; exemption classes within EUz's own powers (individual grants delegated to the Committee); appeals (three-member panel, Section 5.5); annual evaluation</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Rule changes to national bodies</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Cannot waive a national regulator's requirement</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Chairman</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Instructs the legal verification (D4a); approves external release of the English edition (D11); signs partner agreements after the Council's D8 decision</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None</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Cannot admit, suspend or exit participants, or vary test conditions</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EUz Administration (Executive Director)</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Secretariat staffing and spending within the Council's envelope; platform sourcing; designation of an acting Sandbox head; readiness certificate for the first admission (Section 5.9)</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Operating model, budget, Committee nominations and Sandbox Rules, to the Council</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Cannot admit, suspend or exit participants, or vary test conditions</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Sandbox Committee (delegated by the Council, subject to counsel's confirmation)</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Admission; test conditions; individual exemptions from EUz requirements within Council-approved classes; extension within the Council-set term; suspension; exit route</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Changes to standard conditions, to the Council</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Cannot admit without a regulatory mapping memo and any required consent</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Sandbox Secretariat</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Eligibility screening; Guidance Track positions (signed by the Sandbox head); monitoring actions within the Rules (e.g. information requests)</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Admission and exit recommendations; evaluation reports</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Cannot grant exemptions or approve tests; its head does not vote on Secretariat recommendations</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Independent experts (roster)</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Only through two voting Committee seats; otherwise advisory</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Risk ratings and test-design advice: AI safety, cyber, data protection, law, sector</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Recusal as in the Committee procedure (below)</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Registrar</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Register entries only: sandbox status, conditions and removals (role to be confirmed, W) [S31]</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Status checks</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Cannot admit or exit participants</w:t>
            </w:r>
          </w:p>
        </w:tc>
      </w:tr>
      <w:tr>
        <w:trPr>
          <w:cantSplit/>
        </w:trPr>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National regulators</w:t>
            </w:r>
          </w:p>
        </w:tc>
        <w:tc>
          <w:tcPr>
            <w:tcW w:type="dxa" w:w="32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Consent, where a requirement is theirs to waive</w:t>
            </w:r>
          </w:p>
        </w:tc>
        <w:tc>
          <w:tcPr>
            <w:tcW w:type="dxa" w:w="221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 conditions in their remit</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 Committee vote; EUz decisions bind them only with their consent</w:t>
            </w:r>
          </w:p>
        </w:tc>
      </w:tr>
      <w:tr>
        <w:trPr>
          <w:cantSplit/>
        </w:trPr>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Participant</w:t>
            </w:r>
          </w:p>
        </w:tc>
        <w:tc>
          <w:tcPr>
            <w:tcW w:type="dxa" w:w="32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Whether to accept conditions</w:t>
            </w:r>
          </w:p>
        </w:tc>
        <w:tc>
          <w:tcPr>
            <w:tcW w:type="dxa" w:w="221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design</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Cannot operate outside the approved scope</w:t>
            </w:r>
          </w:p>
        </w:tc>
      </w:tr>
    </w:tbl>
    <w:p>
      <w:pPr>
        <w:spacing w:before="0" w:after="40" w:line="144" w:lineRule="auto"/>
      </w:pPr>
    </w:p>
    <w:p>
      <w:pPr>
        <w:spacing w:before="40" w:after="160" w:line="240" w:lineRule="auto"/>
      </w:pPr>
      <w:r>
        <w:rPr>
          <w:rFonts w:ascii="Calibri" w:hAnsi="Calibri" w:eastAsia="Calibri"/>
          <w:color w:val="6B6E70"/>
          <w:sz w:val="15"/>
        </w:rPr>
        <w:t>Analyst design (A), to be confirmed under Action 2 against the Council powers in the EUz working file (Art. 15–17, W) [S31]. Shared functions (General Counsel, HR, procurement, communications, business development, international affairs) support the Sandbox on the Executive Director's instruction and take no admission decisions, except that General Counsel (or a nominee) votes as a Sandbox Committee member.</w:t>
      </w:r>
    </w:p>
    <w:p>
      <w:pPr>
        <w:spacing w:before="0" w:after="80" w:line="259" w:lineRule="auto"/>
      </w:pPr>
      <w:r>
        <w:rPr>
          <w:rFonts w:ascii="Calibri" w:hAnsi="Calibri" w:eastAsia="Calibri"/>
          <w:b/>
          <w:sz w:val="18"/>
        </w:rPr>
        <w:t>Governing Council composition (reported).</w:t>
      </w:r>
      <w:r>
        <w:rPr>
          <w:rFonts w:ascii="Calibri" w:hAnsi="Calibri" w:eastAsia="Calibri"/>
          <w:sz w:val="18"/>
        </w:rPr>
        <w:t xml:space="preserve"> A search summary of UP-233 Annex 1 (not yet reviewed) lists, under the President as chair, the Prime Minister, the Minister of Economy and Finance, the Ministers of Digital Technologies and Justice, the Chairman of the Central Bank and the Director of NAPP, with a Presidential Administration department head as secretary [S28]. To be confirmed against the annex and the composition approved under LRU-1169. If confirmed, the Central Bank and NAPP sit on the body that sets sandbox requirements: useful for coordination and referral, but membership is not consent in an individual case, and members should stay out of cases, appeals and decisions within their own authority's remit (A).</w:t>
      </w:r>
    </w:p>
    <w:p>
      <w:pPr>
        <w:pStyle w:val="Heading3"/>
      </w:pPr>
      <w:r>
        <w:rPr>
          <w:rFonts w:ascii="Calibri" w:hAnsi="Calibri" w:eastAsia="Calibri"/>
        </w:rPr>
        <w:t>Sandbox Committee: composition and procedure</w:t>
      </w:r>
    </w:p>
    <w:p>
      <w:pPr>
        <w:numPr>
          <w:ilvl w:val="0"/>
          <w:numId w:val="90"/>
        </w:numPr>
        <w:spacing w:before="0" w:after="40" w:line="259" w:lineRule="auto"/>
      </w:pPr>
      <w:r>
        <w:rPr>
          <w:rFonts w:ascii="Calibri" w:hAnsi="Calibri" w:eastAsia="Calibri"/>
          <w:b/>
          <w:sz w:val="18"/>
        </w:rPr>
        <w:t>Composition (A; no benchmark found for voting external members).</w:t>
      </w:r>
      <w:r>
        <w:rPr>
          <w:rFonts w:ascii="Calibri" w:hAnsi="Calibri" w:eastAsia="Calibri"/>
          <w:sz w:val="18"/>
        </w:rPr>
        <w:t xml:space="preserve"> Voting: a Chair designated by the Council from senior EUz executives (casting vote), General Counsel or a nominee, and two independent experts. Quorum: the Chair and two voting members, at least one an independent expert. Non-voting: the Sandbox head (presents cases), a Registrar representative and the relevant national regulator (consent rules: Section 5.8).</w:t>
      </w:r>
    </w:p>
    <w:p>
      <w:pPr>
        <w:numPr>
          <w:ilvl w:val="0"/>
          <w:numId w:val="90"/>
        </w:numPr>
        <w:spacing w:before="0" w:after="40" w:line="259" w:lineRule="auto"/>
      </w:pPr>
      <w:r>
        <w:rPr>
          <w:rFonts w:ascii="Calibri" w:hAnsi="Calibri" w:eastAsia="Calibri"/>
          <w:b/>
          <w:sz w:val="18"/>
        </w:rPr>
        <w:t>Procedure (for adoption with Decision D2).</w:t>
      </w:r>
      <w:r>
        <w:rPr>
          <w:rFonts w:ascii="Calibri" w:hAnsi="Calibri" w:eastAsia="Calibri"/>
          <w:sz w:val="18"/>
        </w:rPr>
        <w:t xml:space="preserve"> Each independent expert has a named alternate and a fixed two-year term, renewable once (planning assumption). Members with a conflict (declared and recorded; box below) and experts who did the case's stage-4 review do not vote; an alternate who did not review it sits instead. Decisions and reasons go into the anonymised case register. Except for termination, decisions may be taken by written procedure, which carries unless a voting member asks for a meeting within 3 WD (planning assumption).</w:t>
      </w:r>
    </w:p>
    <w:p>
      <w:pPr>
        <w:numPr>
          <w:ilvl w:val="0"/>
          <w:numId w:val="90"/>
        </w:numPr>
        <w:spacing w:before="0" w:after="40" w:line="259" w:lineRule="auto"/>
      </w:pPr>
      <w:r>
        <w:rPr>
          <w:rFonts w:ascii="Calibri" w:hAnsi="Calibri" w:eastAsia="Calibri"/>
          <w:b/>
          <w:sz w:val="18"/>
        </w:rPr>
        <w:t>Urgent suspension.</w:t>
      </w:r>
      <w:r>
        <w:rPr>
          <w:rFonts w:ascii="Calibri" w:hAnsi="Calibri" w:eastAsia="Calibri"/>
          <w:sz w:val="18"/>
        </w:rPr>
        <w:t xml:space="preserve"> The Chair may suspend a test at once on a proposal from the Sandbox head or the risk, cyber and integrity lead, or at a national regulator's request within its remit; the Committee confirms or lifts it within 2 WD (planning assumption).</w:t>
      </w:r>
    </w:p>
    <w:p>
      <w:pPr>
        <w:pStyle w:val="Heading3"/>
      </w:pPr>
      <w:r>
        <w:rPr>
          <w:rFonts w:ascii="Calibri" w:hAnsi="Calibri" w:eastAsia="Calibri"/>
        </w:rPr>
        <w:t>Ownership and the Sandbox Secretariat</w:t>
      </w:r>
    </w:p>
    <w:p>
      <w:pPr>
        <w:spacing w:before="0" w:after="60" w:line="259" w:lineRule="auto"/>
      </w:pPr>
      <w:r>
        <w:rPr>
          <w:rFonts w:ascii="Calibri" w:hAnsi="Calibri" w:eastAsia="Calibri"/>
          <w:b/>
          <w:sz w:val="18"/>
        </w:rPr>
        <w:t>Owner.</w:t>
      </w:r>
      <w:r>
        <w:rPr>
          <w:rFonts w:ascii="Calibri" w:hAnsi="Calibri" w:eastAsia="Calibri"/>
          <w:sz w:val="18"/>
        </w:rPr>
        <w:t xml:space="preserve"> The EUz Administration owns the Sandbox through a dedicated Sandbox Secretariat led by the Sandbox head (core team: Exhibit 7a). Eligibility decisions, case management, regulatory mapping, risk monitoring, publication and regulator relations stay inside EUz.</w:t>
      </w:r>
    </w:p>
    <w:p>
      <w:pPr>
        <w:pStyle w:val="ExhibitTitle"/>
      </w:pPr>
      <w:r>
        <w:rPr>
          <w:rFonts w:ascii="Calibri" w:hAnsi="Calibri" w:eastAsia="Calibri"/>
        </w:rPr>
        <w:t>Exhibit 7a. Secretariat roles and skills (planning assumption: about six staff, scaled after cohort 1)</w:t>
      </w:r>
    </w:p>
    <w:tbl>
      <w:tblPr>
        <w:tblW w:w="9639" w:type="dxa"/>
        <w:jc w:val="center"/>
        <w:tblLayout w:type="fixed"/>
        <w:tblLook w:firstColumn="1" w:firstRow="1" w:lastColumn="0" w:lastRow="0" w:noHBand="0" w:noVBand="1" w:val="04A0"/>
      </w:tblPr>
      <w:tblGrid>
        <w:gridCol w:w="1927"/>
        <w:gridCol w:w="4082"/>
        <w:gridCol w:w="3628"/>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Role</w:t>
            </w:r>
          </w:p>
        </w:tc>
        <w:tc>
          <w:tcPr>
            <w:tcW w:type="dxa" w:w="408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Responsibilities</w:t>
            </w:r>
          </w:p>
        </w:tc>
        <w:tc>
          <w:tcPr>
            <w:tcW w:type="dxa" w:w="36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Essential skills</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Sandbox head</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Service standards and attainment; Committee secretary (presents cases); chairs the quarterly regulator forum; signs Guidance Track positions</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Regulatory or supervisory leadership; relations with national regulators</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Two case managers</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Single point of contact per applicant; test-plan drafting; monitoring of live tests</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Product and technology literacy; test-plan drafting</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Regulatory counsel</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Regulatory mapping memos; Guidance Track positions; exit-route opinions</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Financial-services, data-protection and technology law</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Risk, cyber and integrity lead</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Monitoring; incidents; stop-loss triggers; integrity and sanctions screening</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Operational and cyber risk; AML/CFT and sanctions screening; incident handling</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Platform and data lead</w:t>
            </w:r>
          </w:p>
        </w:tc>
        <w:tc>
          <w:tcPr>
            <w:tcW w:type="dxa" w:w="408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Platform MVP; synthetic data; vendor management</w:t>
            </w:r>
          </w:p>
        </w:tc>
        <w:tc>
          <w:tcPr>
            <w:tcW w:type="dxa" w:w="36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Secure environments; synthetic data; vendor management</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Outsourced under EUz control</w:t>
            </w:r>
          </w:p>
        </w:tc>
        <w:tc>
          <w:tcPr>
            <w:tcW w:type="dxa" w:w="408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Test-environment operation; specialist assessments; independent evaluation of cohort 1</w:t>
            </w:r>
          </w:p>
        </w:tc>
        <w:tc>
          <w:tcPr>
            <w:tcW w:type="dxa" w:w="36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Independence: EUz appoints and pays assessors and evaluators, never the participant whose test they assess</w:t>
            </w:r>
          </w:p>
        </w:tc>
      </w:tr>
    </w:tbl>
    <w:p>
      <w:pPr>
        <w:spacing w:before="0" w:after="40" w:line="144" w:lineRule="auto"/>
      </w:pPr>
    </w:p>
    <w:p>
      <w:pPr>
        <w:spacing w:before="40" w:after="160" w:line="240" w:lineRule="auto"/>
      </w:pPr>
      <w:r>
        <w:rPr>
          <w:rFonts w:ascii="Calibri" w:hAnsi="Calibri" w:eastAsia="Calibri"/>
          <w:color w:val="6B6E70"/>
          <w:sz w:val="15"/>
        </w:rPr>
        <w:t>Planning assumption (A), not a benchmark. Working languages: English and the languages of the national instruments (Uzbek and Russian). Each shared service (General Counsel, procurement, communications, HR, IT security, finance) names a contact and commits time in writing by Day 30. Hours are recorded per case from the first case; before any increase in the Full Sandbox cap, the month-9 review compares actual hours per Guidance and per Full Sandbox case with this assumption.</w:t>
      </w:r>
    </w:p>
    <w:p>
      <w:pPr>
        <w:pStyle w:val="Heading3"/>
      </w:pPr>
      <w:r>
        <w:rPr>
          <w:rFonts w:ascii="Calibri" w:hAnsi="Calibri" w:eastAsia="Calibri"/>
        </w:rPr>
        <w:t>Regulators and supervision of live tests</w:t>
      </w:r>
    </w:p>
    <w:p>
      <w:pPr>
        <w:numPr>
          <w:ilvl w:val="0"/>
          <w:numId w:val="90"/>
        </w:numPr>
        <w:spacing w:before="0" w:after="40" w:line="259" w:lineRule="auto"/>
      </w:pPr>
      <w:r>
        <w:rPr>
          <w:rFonts w:ascii="Calibri" w:hAnsi="Calibri" w:eastAsia="Calibri"/>
          <w:b/>
          <w:sz w:val="18"/>
        </w:rPr>
        <w:t>National regulators must be involved</w:t>
      </w:r>
      <w:r>
        <w:rPr>
          <w:rFonts w:ascii="Calibri" w:hAnsi="Calibri" w:eastAsia="Calibri"/>
          <w:sz w:val="18"/>
        </w:rPr>
        <w:t xml:space="preserve"> whenever a test touches a requirement they administer (e.g. financial services, securities, personal data, trade or transport); competences must be confirmed case by case and consent is never presumed (Section 5.8).</w:t>
      </w:r>
    </w:p>
    <w:p>
      <w:pPr>
        <w:numPr>
          <w:ilvl w:val="0"/>
          <w:numId w:val="90"/>
        </w:numPr>
        <w:spacing w:before="0" w:after="40" w:line="259" w:lineRule="auto"/>
      </w:pPr>
      <w:r>
        <w:rPr>
          <w:rFonts w:ascii="Calibri" w:hAnsi="Calibri" w:eastAsia="Calibri"/>
          <w:b/>
          <w:sz w:val="18"/>
        </w:rPr>
        <w:t>Supervision of live tests</w:t>
      </w:r>
      <w:r>
        <w:rPr>
          <w:rFonts w:ascii="Calibri" w:hAnsi="Calibri" w:eastAsia="Calibri"/>
          <w:sz w:val="18"/>
        </w:rPr>
        <w:t xml:space="preserve"> follows Exhibit 7b. The Committee reviews a monthly summary of all live tests and reports quarterly to the Council (A).</w:t>
      </w:r>
    </w:p>
    <w:p>
      <w:pPr>
        <w:pStyle w:val="ExhibitTitle"/>
      </w:pPr>
      <w:r>
        <w:rPr>
          <w:rFonts w:ascii="Calibri" w:hAnsi="Calibri" w:eastAsia="Calibri"/>
        </w:rPr>
        <w:t>Exhibit 7b. Supervision and monitoring protocol (recommendation, A)</w:t>
      </w:r>
    </w:p>
    <w:tbl>
      <w:tblPr>
        <w:tblW w:w="9639" w:type="dxa"/>
        <w:jc w:val="center"/>
        <w:tblLayout w:type="fixed"/>
        <w:tblLook w:firstColumn="1" w:firstRow="1" w:lastColumn="0" w:lastRow="0" w:noHBand="0" w:noVBand="1" w:val="04A0"/>
      </w:tblPr>
      <w:tblGrid>
        <w:gridCol w:w="1417"/>
        <w:gridCol w:w="2494"/>
        <w:gridCol w:w="1474"/>
        <w:gridCol w:w="1814"/>
        <w:gridCol w:w="2438"/>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Stream</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What is checked</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When</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Who</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Trigger and escalation</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Exposure caps</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Clients, transaction value or volume, territory and term against the decision</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Platform alert on breach; monthly review</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Risk, cyber and integrity lead</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Breach to the Committee within 2 WD (planning assumption); suspend or vary conditions</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Cyber security</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Security review before testing (stage 6); incidents; test-environment access logs</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Before testing; on incident</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Risk, cyber and integrity lead with a roster expert</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Material incident to the Committee within 2 WD; the Chair may suspend at once</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Data protection</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Data-handling plan compliance; synthetic versus real data; re-identification tests (P3)</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Before testing; quarterly</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Regulatory counsel with a roster privacy expert; national personal-data authority where relevant</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Personal data used outside the plan: stop the test, notify the authority</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Integrity</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Sanctions screening; changes of control; AML/CFT controls in tests moving money, value or title documents</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At admission; on change of control; monthly</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Risk, cyber and integrity lead</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Confirmed sanctions match or integrity concern: urgent suspension; inform the competent authority</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Legal and conduct</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conditions; user disclosure; complaints and redress</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Complaints monthly; conditions quarterly</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Regulatory counsel</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Breach: corrective action or termination (Exhibit 12)</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AI behaviour (P1, P4)</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Logged agent actions; human overrides; false positives and negatives</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Monthly</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Roster AI expert</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Stop-loss threshold set in the test plan</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Matters in a national regulator's remit</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Incidents in that remit</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 occurrence</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Secretariat (case manager)</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Regulator notified within the same 2 WD</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Conflict-of-interest rules (minimum content of the Action 6 policy)</w:t>
            </w:r>
          </w:p>
          <w:p>
            <w:pPr>
              <w:spacing w:before="0" w:after="40" w:line="252" w:lineRule="auto"/>
            </w:pPr>
            <w:r>
              <w:rPr>
                <w:rFonts w:ascii="Calibri" w:hAnsi="Calibri" w:eastAsia="Calibri"/>
                <w:sz w:val="17"/>
              </w:rPr>
              <w:t>(1) Sandbox participation gives no preference in EUz procurement.</w:t>
            </w:r>
          </w:p>
          <w:p>
            <w:pPr>
              <w:spacing w:before="0" w:after="40" w:line="252" w:lineRule="auto"/>
            </w:pPr>
            <w:r>
              <w:rPr>
                <w:rFonts w:ascii="Calibri" w:hAnsi="Calibri" w:eastAsia="Calibri"/>
                <w:sz w:val="17"/>
              </w:rPr>
              <w:t>(2) The platform vendor, outsourced operators and their affiliates may not be participants in the same cohort and process participant data only under contract.</w:t>
            </w:r>
          </w:p>
          <w:p>
            <w:pPr>
              <w:spacing w:before="0" w:after="40" w:line="252" w:lineRule="auto"/>
            </w:pPr>
            <w:r>
              <w:rPr>
                <w:rFonts w:ascii="Calibri" w:hAnsi="Calibri" w:eastAsia="Calibri"/>
                <w:sz w:val="17"/>
              </w:rPr>
              <w:t>(3) Staff with company-attraction targets (business development) take no part in screening or Committee decisions.</w:t>
            </w:r>
          </w:p>
          <w:p>
            <w:pPr>
              <w:spacing w:before="0" w:after="40" w:line="252" w:lineRule="auto"/>
            </w:pPr>
            <w:r>
              <w:rPr>
                <w:rFonts w:ascii="Calibri" w:hAnsi="Calibri" w:eastAsia="Calibri"/>
                <w:sz w:val="17"/>
              </w:rPr>
              <w:t>(4) Staff and Committee members declare interests on appointment and annually, hold no interests in applicants or participants, and declare gifts; a 12-month cooling-off period (planning assumption) applies before joining a participant they supervised.</w:t>
            </w:r>
          </w:p>
          <w:p>
            <w:pPr>
              <w:spacing w:before="0" w:after="40" w:line="252" w:lineRule="auto"/>
            </w:pPr>
            <w:r>
              <w:rPr>
                <w:rFonts w:ascii="Calibri" w:hAnsi="Calibri" w:eastAsia="Calibri"/>
                <w:sz w:val="17"/>
              </w:rPr>
              <w:t>(5) Experts are paid fixed fees not linked to outcomes.</w:t>
            </w:r>
          </w:p>
        </w:tc>
      </w:tr>
    </w:tbl>
    <w:p>
      <w:pPr>
        <w:spacing w:before="0" w:after="40" w:line="144" w:lineRule="auto"/>
      </w:pPr>
    </w:p>
    <w:p>
      <w:pPr>
        <w:pStyle w:val="Heading3"/>
      </w:pPr>
      <w:r>
        <w:rPr>
          <w:rFonts w:ascii="Calibri" w:hAnsi="Calibri" w:eastAsia="Calibri"/>
        </w:rPr>
        <w:t>Existing national regimes: refer, do not compete</w:t>
      </w:r>
    </w:p>
    <w:p>
      <w:pPr>
        <w:spacing w:before="0" w:after="60" w:line="259" w:lineRule="auto"/>
      </w:pPr>
      <w:r>
        <w:rPr>
          <w:rFonts w:ascii="Calibri" w:hAnsi="Calibri" w:eastAsia="Calibri"/>
          <w:sz w:val="18"/>
        </w:rPr>
        <w:t xml:space="preserve">Uzbekistan already has several sandbox-type regimes, known here only from titles, database listings and press summaries (Annex C); </w:t>
      </w:r>
      <w:r>
        <w:rPr>
          <w:rFonts w:ascii="Calibri" w:hAnsi="Calibri" w:eastAsia="Calibri"/>
          <w:b/>
          <w:sz w:val="18"/>
        </w:rPr>
        <w:t>none of these texts has yet been reviewed</w:t>
      </w:r>
      <w:r>
        <w:rPr>
          <w:rFonts w:ascii="Calibri" w:hAnsi="Calibri" w:eastAsia="Calibri"/>
          <w:sz w:val="18"/>
        </w:rPr>
        <w:t>.</w:t>
      </w:r>
    </w:p>
    <w:p>
      <w:pPr>
        <w:numPr>
          <w:ilvl w:val="0"/>
          <w:numId w:val="90"/>
        </w:numPr>
        <w:spacing w:before="0" w:after="40" w:line="259" w:lineRule="auto"/>
      </w:pPr>
      <w:r>
        <w:rPr>
          <w:rFonts w:ascii="Calibri" w:hAnsi="Calibri" w:eastAsia="Calibri"/>
          <w:b/>
          <w:sz w:val="18"/>
        </w:rPr>
        <w:t>Central Bank of Uzbekistan:</w:t>
      </w:r>
      <w:r>
        <w:rPr>
          <w:rFonts w:ascii="Calibri" w:hAnsi="Calibri" w:eastAsia="Calibri"/>
          <w:sz w:val="18"/>
        </w:rPr>
        <w:t xml:space="preserve"> financial-services "regulatory sandbox" special legal regime (Law on the Central Bank, Art. 67-1; 2022 Regulation, cited by legal press as No. 3391 of 4 Oct 2022); tests of up to three years (law-firm summary); three-track update reported in draft, status not checked [S29].</w:t>
      </w:r>
    </w:p>
    <w:p>
      <w:pPr>
        <w:numPr>
          <w:ilvl w:val="0"/>
          <w:numId w:val="90"/>
        </w:numPr>
        <w:spacing w:before="0" w:after="40" w:line="259" w:lineRule="auto"/>
      </w:pPr>
      <w:r>
        <w:rPr>
          <w:rFonts w:ascii="Calibri" w:hAnsi="Calibri" w:eastAsia="Calibri"/>
          <w:b/>
          <w:sz w:val="18"/>
        </w:rPr>
        <w:t>NAPP</w:t>
      </w:r>
      <w:r>
        <w:rPr>
          <w:rFonts w:ascii="Calibri" w:hAnsi="Calibri" w:eastAsia="Calibri"/>
          <w:sz w:val="18"/>
        </w:rPr>
        <w:t xml:space="preserve"> (reported capital-market regulator since 2023): capital-market "Regulatory sandbox" Regulation No. 3493 (29 Jan 2024; amended 3 Apr 2026) and 2022 crypto-asset special-regime regulation No. 3409 (status not checked) [S60]. PQ-255 (21 Aug 2025): investment platforms under the sandbox regime from 1 Oct 2025 to 1 Oct 2026; it did not create the capital-market sandbox, and what applies after that date is not verified [S30]. PP-359 (27 Nov 2025): special legal regime for stable tokens as a means of payment (press: from 1 Jan 2026, run by NAPP with the Central Bank) [S29].</w:t>
      </w:r>
    </w:p>
    <w:p>
      <w:pPr>
        <w:numPr>
          <w:ilvl w:val="0"/>
          <w:numId w:val="90"/>
        </w:numPr>
        <w:spacing w:before="0" w:after="40" w:line="259" w:lineRule="auto"/>
      </w:pPr>
      <w:r>
        <w:rPr>
          <w:rFonts w:ascii="Calibri" w:hAnsi="Calibri" w:eastAsia="Calibri"/>
          <w:b/>
          <w:sz w:val="18"/>
        </w:rPr>
        <w:t>Cross-sector and AI regimes:</w:t>
      </w:r>
      <w:r>
        <w:rPr>
          <w:rFonts w:ascii="Calibri" w:hAnsi="Calibri" w:eastAsia="Calibri"/>
          <w:sz w:val="18"/>
        </w:rPr>
        <w:t xml:space="preserve"> UP-244 (9 Nov 2022) created a cross-sector "Regulatory sandbox" special legal regime, with tests under an agreement between the competent authorised body and the initiator for up to 3 years per project (current status not checked) [S58]; Kun.uz reported on 29 Nov 2023 that a procedure for introducing it had been set (act number and content not verified) [S37]. Resolution No. 717 (29 Nov 2021) approved a special regime to support AI technologies (issuer likely the Cabinet of Ministers; status not checked) [S61].</w:t>
      </w:r>
    </w:p>
    <w:p>
      <w:pPr>
        <w:numPr>
          <w:ilvl w:val="0"/>
          <w:numId w:val="90"/>
        </w:numPr>
        <w:spacing w:before="0" w:after="40" w:line="259" w:lineRule="auto"/>
      </w:pPr>
      <w:r>
        <w:rPr>
          <w:rFonts w:ascii="Calibri" w:hAnsi="Calibri" w:eastAsia="Calibri"/>
          <w:b/>
          <w:sz w:val="18"/>
        </w:rPr>
        <w:t>Law on Legal Experiment</w:t>
      </w:r>
      <w:r>
        <w:rPr>
          <w:rFonts w:ascii="Calibri" w:hAnsi="Calibri" w:eastAsia="Calibri"/>
          <w:sz w:val="18"/>
        </w:rPr>
        <w:t xml:space="preserve"> (LRU-1127, 27 Mar 2026; reported in force 29 Jun 2026): per press summaries, a state "authorised body" trials a normative act in a limited territory or for a limited group for 6 months to 3 years, with a Ministry of Justice register and a results report within 30 working days [S59][S38]. Our inference (A): a state tool to trial rules, not a firm-level admission regime; relation to EUz not established (counsel).</w:t>
      </w:r>
    </w:p>
    <w:p>
      <w:pPr>
        <w:spacing w:before="0" w:after="40" w:line="259" w:lineRule="auto"/>
      </w:pPr>
      <w:r>
        <w:rPr>
          <w:rFonts w:ascii="Calibri" w:hAnsi="Calibri" w:eastAsia="Calibri"/>
          <w:b/>
          <w:sz w:val="18"/>
        </w:rPr>
        <w:t>Referral rules.</w:t>
      </w:r>
      <w:r>
        <w:rPr>
          <w:rFonts w:ascii="Calibri" w:hAnsi="Calibri" w:eastAsia="Calibri"/>
          <w:sz w:val="18"/>
        </w:rPr>
        <w:t xml:space="preserve"> EUz will not compete with these regimes for the same activity. Until counsel has reviewed the texts, five rules apply:</w:t>
      </w:r>
    </w:p>
    <w:p>
      <w:pPr>
        <w:numPr>
          <w:ilvl w:val="0"/>
          <w:numId w:val="90"/>
        </w:numPr>
        <w:spacing w:before="0" w:after="40" w:line="259" w:lineRule="auto"/>
      </w:pPr>
      <w:r>
        <w:rPr>
          <w:rFonts w:ascii="Calibri" w:hAnsi="Calibri" w:eastAsia="Calibri"/>
          <w:b/>
          <w:sz w:val="18"/>
        </w:rPr>
        <w:t>Declaration.</w:t>
      </w:r>
      <w:r>
        <w:rPr>
          <w:rFonts w:ascii="Calibri" w:hAnsi="Calibri" w:eastAsia="Calibri"/>
          <w:sz w:val="18"/>
        </w:rPr>
        <w:t xml:space="preserve"> Applicants declare any past or pending application to another sandbox, in Uzbekistan or abroad, and its outcome.</w:t>
      </w:r>
    </w:p>
    <w:p>
      <w:pPr>
        <w:numPr>
          <w:ilvl w:val="0"/>
          <w:numId w:val="90"/>
        </w:numPr>
        <w:spacing w:before="0" w:after="40" w:line="259" w:lineRule="auto"/>
      </w:pPr>
      <w:r>
        <w:rPr>
          <w:rFonts w:ascii="Calibri" w:hAnsi="Calibri" w:eastAsia="Calibri"/>
          <w:b/>
          <w:sz w:val="18"/>
        </w:rPr>
        <w:t>One admission per activity.</w:t>
      </w:r>
      <w:r>
        <w:rPr>
          <w:rFonts w:ascii="Calibri" w:hAnsi="Calibri" w:eastAsia="Calibri"/>
          <w:sz w:val="18"/>
        </w:rPr>
        <w:t xml:space="preserve"> No firm holds two sandbox admissions for the same activity at the same time.</w:t>
      </w:r>
    </w:p>
    <w:p>
      <w:pPr>
        <w:numPr>
          <w:ilvl w:val="0"/>
          <w:numId w:val="90"/>
        </w:numPr>
        <w:spacing w:before="0" w:after="40" w:line="259" w:lineRule="auto"/>
      </w:pPr>
      <w:r>
        <w:rPr>
          <w:rFonts w:ascii="Calibri" w:hAnsi="Calibri" w:eastAsia="Calibri"/>
          <w:b/>
          <w:sz w:val="18"/>
        </w:rPr>
        <w:t>Licensing authority first.</w:t>
      </w:r>
      <w:r>
        <w:rPr>
          <w:rFonts w:ascii="Calibri" w:hAnsi="Calibri" w:eastAsia="Calibri"/>
          <w:sz w:val="18"/>
        </w:rPr>
        <w:t xml:space="preserve"> If the activity needs a licence from a national authority that runs its own sandbox, EUz hosts the test only with that authority's written agreement; otherwise it offers referral with file transfer (with the applicant's consent) and keeps EUz-side matters on the Guidance Track.</w:t>
      </w:r>
    </w:p>
    <w:p>
      <w:pPr>
        <w:numPr>
          <w:ilvl w:val="0"/>
          <w:numId w:val="90"/>
        </w:numPr>
        <w:spacing w:before="0" w:after="40" w:line="259" w:lineRule="auto"/>
      </w:pPr>
      <w:r>
        <w:rPr>
          <w:rFonts w:ascii="Calibri" w:hAnsi="Calibri" w:eastAsia="Calibri"/>
          <w:b/>
          <w:sz w:val="18"/>
        </w:rPr>
        <w:t>Refusals elsewhere</w:t>
      </w:r>
      <w:r>
        <w:rPr>
          <w:rFonts w:ascii="Calibri" w:hAnsi="Calibri" w:eastAsia="Calibri"/>
          <w:sz w:val="18"/>
        </w:rPr>
        <w:t xml:space="preserve"> on safety, integrity or consumer-protection grounds are a material fact at screening.</w:t>
      </w:r>
    </w:p>
    <w:p>
      <w:pPr>
        <w:numPr>
          <w:ilvl w:val="0"/>
          <w:numId w:val="90"/>
        </w:numPr>
        <w:spacing w:before="0" w:after="40" w:line="259" w:lineRule="auto"/>
      </w:pPr>
      <w:r>
        <w:rPr>
          <w:rFonts w:ascii="Calibri" w:hAnsi="Calibri" w:eastAsia="Calibri"/>
          <w:b/>
          <w:sz w:val="18"/>
        </w:rPr>
        <w:t>Information exchange.</w:t>
      </w:r>
      <w:r>
        <w:rPr>
          <w:rFonts w:ascii="Calibri" w:hAnsi="Calibri" w:eastAsia="Calibri"/>
          <w:sz w:val="18"/>
        </w:rPr>
        <w:t xml:space="preserve"> With the applicant's consent, EUz and the other operator exchange admission status before a decision.</w:t>
      </w:r>
    </w:p>
    <w:p>
      <w:pPr>
        <w:spacing w:before="0" w:after="80" w:line="259" w:lineRule="auto"/>
      </w:pPr>
      <w:r>
        <w:rPr>
          <w:rFonts w:ascii="Calibri" w:hAnsi="Calibri" w:eastAsia="Calibri"/>
          <w:sz w:val="18"/>
        </w:rPr>
        <w:t>The referral protocol names the Central Bank and NAPP first (questions for counsel: Exhibit 13). The Council adopts these rules and the consent rules (Section 5.8) as one policy (Decision D12).</w:t>
      </w:r>
    </w:p>
    <w:p>
      <w:pPr>
        <w:pStyle w:val="Heading2"/>
      </w:pPr>
      <w:r>
        <w:rPr>
          <w:rFonts w:ascii="Calibri" w:hAnsi="Calibri" w:eastAsia="Calibri"/>
        </w:rPr>
        <w:t>5.2 Participant journey: nine stages with an owner, a decision and a clock</w:t>
      </w:r>
    </w:p>
    <w:p>
      <w:pPr>
        <w:pStyle w:val="ExhibitTitle"/>
      </w:pPr>
      <w:r>
        <w:rPr>
          <w:rFonts w:ascii="Calibri" w:hAnsi="Calibri" w:eastAsia="Calibri"/>
        </w:rPr>
        <w:t>Exhibit 8. End-to-end participant journey</w:t>
      </w:r>
    </w:p>
    <w:p>
      <w:pPr>
        <w:keepNext/>
        <w:spacing w:before="0" w:after="40" w:line="259" w:lineRule="auto"/>
        <w:jc w:val="center"/>
      </w:pPr>
      <w:r>
        <w:drawing>
          <wp:inline xmlns:a="http://schemas.openxmlformats.org/drawingml/2006/main" xmlns:pic="http://schemas.openxmlformats.org/drawingml/2006/picture">
            <wp:extent cx="5760000" cy="4789157"/>
            <wp:docPr id="3" name="Picture 3"/>
            <wp:cNvGraphicFramePr>
              <a:graphicFrameLocks noChangeAspect="1"/>
            </wp:cNvGraphicFramePr>
            <a:graphic>
              <a:graphicData uri="http://schemas.openxmlformats.org/drawingml/2006/picture">
                <pic:pic>
                  <pic:nvPicPr>
                    <pic:cNvPr id="0" name="f3_journey.png"/>
                    <pic:cNvPicPr/>
                  </pic:nvPicPr>
                  <pic:blipFill>
                    <a:blip r:embed="rId11"/>
                    <a:stretch>
                      <a:fillRect/>
                    </a:stretch>
                  </pic:blipFill>
                  <pic:spPr>
                    <a:xfrm>
                      <a:off x="0" y="0"/>
                      <a:ext cx="5760000" cy="4789157"/>
                    </a:xfrm>
                    <a:prstGeom prst="rect"/>
                  </pic:spPr>
                </pic:pic>
              </a:graphicData>
            </a:graphic>
          </wp:inline>
        </w:drawing>
      </w:r>
    </w:p>
    <w:p>
      <w:pPr>
        <w:spacing w:before="40" w:after="160" w:line="240" w:lineRule="auto"/>
      </w:pPr>
      <w:r>
        <w:rPr>
          <w:rFonts w:ascii="Calibri" w:hAnsi="Calibri" w:eastAsia="Calibri"/>
          <w:color w:val="6B6E70"/>
          <w:sz w:val="15"/>
        </w:rPr>
        <w:t>WD = working days. Box headers show EUz service standards (planning assumptions, not benchmarks); the clock stops while EUz awaits the applicant or a regulator. "Test term" is the test duration; "Monthly", the reporting frequency. *Regulator's consent period to be agreed by MoU. Express Track: decision within 21 calendar days of a complete application (planning assumption, modelled on MAS's stated 21-day target for Sandbox Express) [S8].</w:t>
      </w:r>
    </w:p>
    <w:p>
      <w:pPr>
        <w:pStyle w:val="ExhibitTitle"/>
      </w:pPr>
      <w:r>
        <w:rPr>
          <w:rFonts w:ascii="Calibri" w:hAnsi="Calibri" w:eastAsia="Calibri"/>
        </w:rPr>
        <w:t>Exhibit 9. Stage outputs and digital platform functionality</w:t>
      </w:r>
    </w:p>
    <w:tbl>
      <w:tblPr>
        <w:tblW w:w="9639" w:type="dxa"/>
        <w:jc w:val="center"/>
        <w:tblLayout w:type="fixed"/>
        <w:tblLook w:firstColumn="1" w:firstRow="1" w:lastColumn="0" w:lastRow="0" w:noHBand="0" w:noVBand="1" w:val="04A0"/>
      </w:tblPr>
      <w:tblGrid>
        <w:gridCol w:w="1417"/>
        <w:gridCol w:w="3061"/>
        <w:gridCol w:w="2608"/>
        <w:gridCol w:w="2551"/>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Stage</w:t>
            </w:r>
          </w:p>
        </w:tc>
        <w:tc>
          <w:tcPr>
            <w:tcW w:type="dxa" w:w="30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Required inputs</w:t>
            </w:r>
          </w:p>
        </w:tc>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Output</w:t>
            </w:r>
          </w:p>
        </w:tc>
        <w:tc>
          <w:tcPr>
            <w:tcW w:type="dxa" w:w="255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Platform functionality</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Application</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Company profile; technology description; problem statement; readiness checklist; other sandbox applications and their outcomes</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Complete file, case number</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Online form; document upload; automatic completeness check</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Screening</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File; eligibility criteria (genuine novelty, user benefit, need to test, readiness); ownership and director declarations; sanctions-screening result; refusals or enforcement elsewhere</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Admit to assessment, or redirect to the Guidance Track</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Pass/fail checklist (no scores); reasons recorded</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Regulatory assessment</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Product description; rule library</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Regulatory mapping memo: applicable rules, who can waive them, consents needed</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Rule library; consent tracker per authority</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Test design</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Mapping memo; participant plan</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 plan: scope, caps, safeguards, KPIs, exit evidence, wind-down plan</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Test-plan template; versioning</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5 Approval</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plan; risk report; consent letters</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Committee decision with published reasons</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Decision log; e-signature</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6 Testing</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Approved conditions; signed test agreement; security review passed</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Live or synthetic-data test within caps</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Secure environment; API gateway; logging</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7 Monitoring</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Monthly data; incident reports</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Monitoring report; interventions, including urgent suspension by the Committee Chair</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Dashboard; incident form; cap-breach alerts</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8 Evaluation</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 data; KPIs; user outcomes</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Evaluation report; regulatory findings</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 template; outcome capture</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9 Exit</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Evaluation; licence or permit status</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Exit decision; register update; insight input; data returned or deleted</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Register interface; follow-up surveys 12 and 24 months after admission</w:t>
            </w:r>
          </w:p>
        </w:tc>
      </w:tr>
    </w:tbl>
    <w:p>
      <w:pPr>
        <w:spacing w:before="0" w:after="40" w:line="144" w:lineRule="auto"/>
      </w:pPr>
    </w:p>
    <w:p>
      <w:pPr>
        <w:spacing w:before="40" w:after="160" w:line="240" w:lineRule="auto"/>
      </w:pPr>
      <w:r>
        <w:rPr>
          <w:rFonts w:ascii="Calibri" w:hAnsi="Calibri" w:eastAsia="Calibri"/>
          <w:color w:val="6B6E70"/>
          <w:sz w:val="15"/>
        </w:rPr>
        <w:t>Minimum platform requirements, including non-functional ones: Exhibit 16a.</w:t>
      </w:r>
    </w:p>
    <w:p>
      <w:pPr>
        <w:spacing w:before="0" w:after="80" w:line="259" w:lineRule="auto"/>
      </w:pPr>
      <w:r>
        <w:rPr>
          <w:rFonts w:ascii="Calibri" w:hAnsi="Calibri" w:eastAsia="Calibri"/>
          <w:b/>
          <w:sz w:val="18"/>
        </w:rPr>
        <w:t>Decision clock.</w:t>
      </w:r>
      <w:r>
        <w:rPr>
          <w:rFonts w:ascii="Calibri" w:hAnsi="Calibri" w:eastAsia="Calibri"/>
          <w:sz w:val="18"/>
        </w:rPr>
        <w:t xml:space="preserve"> Planning assumption: 50 working days from a complete application to the Committee decision for a Full Sandbox case (stages 2–5), clock stopped as in the Exhibit 8 note. It is a target, not a result, and not comparable with MAS's reported median of about 3 months (as at end-Sep 2025), which includes applicant response time (R) [S7]. EUz should publish its achieved median in EUz-controlled working days and in total elapsed calendar days. For cohort 1 the call opens at M4 and first admissions are planned for M6, less time than the stage 1–5 service standards provide (5 WD plus 50 WD); M6 therefore assumes that pilot design from M3 (Chapter 7) and pre-application dialogues (Section 5.9) settle most of the mapping and test design before the call. Otherwise the Phase 2 fallback applies (Exhibit 23: pilot admitted later).</w:t>
      </w:r>
    </w:p>
    <w:p>
      <w:pPr>
        <w:pStyle w:val="Heading2"/>
      </w:pPr>
      <w:r>
        <w:rPr>
          <w:rFonts w:ascii="Calibri" w:hAnsi="Calibri" w:eastAsia="Calibri"/>
        </w:rPr>
        <w:t>5.3 Operating tracks: launch two, pilot two after the cohort-1 evaluation, defer one</w:t>
      </w:r>
    </w:p>
    <w:p>
      <w:pPr>
        <w:pStyle w:val="ExhibitTitle"/>
      </w:pPr>
      <w:r>
        <w:rPr>
          <w:rFonts w:ascii="Calibri" w:hAnsi="Calibri" w:eastAsia="Calibri"/>
        </w:rPr>
        <w:t>Exhibit 10. Sandbox track comparison and sequencing</w:t>
      </w:r>
    </w:p>
    <w:tbl>
      <w:tblPr>
        <w:tblW w:w="9639" w:type="dxa"/>
        <w:jc w:val="center"/>
        <w:tblLayout w:type="fixed"/>
        <w:tblLook w:firstColumn="1" w:firstRow="1" w:lastColumn="0" w:lastRow="0" w:noHBand="0" w:noVBand="1" w:val="04A0"/>
      </w:tblPr>
      <w:tblGrid>
        <w:gridCol w:w="1360"/>
        <w:gridCol w:w="1474"/>
        <w:gridCol w:w="1927"/>
        <w:gridCol w:w="1927"/>
        <w:gridCol w:w="1077"/>
        <w:gridCol w:w="1871"/>
      </w:tblGrid>
      <w:tr>
        <w:trPr>
          <w:cantSplit/>
          <w:tblHeader/>
        </w:trPr>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Track</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What it is</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International evidence</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Legal feasibility (to verify)</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Capacity need</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Recommendation</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Guidance Track</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Written regulatory position; no exemption</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Ofgem window 1: 22 of 30 feedback only (R) [S6]; ICO exit reports [S5]; Japan Grey Zone Elimination: replies in principle within about one month, published (R) [S20]</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High for EUz's own rules; on national requirements, non-binding unless the competent regulator co-signs (box below). Basis not yet found (Exhibit 13)</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Low</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Launch Day</w:t>
            </w:r>
            <w:r>
              <w:rPr>
                <w:rFonts w:ascii="Calibri" w:hAnsi="Calibri" w:eastAsia="Calibri"/>
                <w:color w:val="39393B"/>
                <w:sz w:val="14"/>
              </w:rPr>
              <w:t xml:space="preserve"> (target Day 90)</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Full Sandbox Track</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Capped live test with conditions; consent where needed</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MAS: 15 of 19 accepted firms licensed, to end-Sep 2025; track scope unclear (R) [S7]; UK funding effect (I) [S2]</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Reported in the law; scope of exemptions to verify [S27]</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Medium</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Call when the Rules are adopted (M4); first admissions M6</w:t>
            </w:r>
            <w:r>
              <w:rPr>
                <w:rFonts w:ascii="Calibri" w:hAnsi="Calibri" w:eastAsia="Calibri"/>
                <w:color w:val="39393B"/>
                <w:sz w:val="14"/>
              </w:rPr>
              <w:t>; capped at three to four pilots, each with several participating organisations (Chapter 7)</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Express Track</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Predefined low-risk categories with standard conditions</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MAS Sandbox Express: 21-day target; no attainment data found (T) [S8]</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Needs Council-approved standard conditions</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Medium</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Draft two categories from cohort-1 monitoring data (M9-M12); pilot from about M13-M14</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Regulation Prototyping Track</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Test draft rules with participants before adoption</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Korea: regulatory improvements in 373 of 1,752 approved projects by 2025, as cited by the ICO (S) [S46]; Japan: no published total of reforms [S20]</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Needs a Council rule-making route; limited to EUz rules</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Medium-high</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Pilot-to-rule notes at cohort-1 exit; Prototyping Track pilot from about M13-M14</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5 Cross-border Track</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One test across jurisdictions</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GFIN pilot: none of 8 shortlisted firms had begun cross-border testing when its report was written (R) [S15]</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Needs MoUs and partner regulators' consent</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High</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Year 2</w:t>
            </w:r>
            <w:r>
              <w:rPr>
                <w:rFonts w:ascii="Calibri" w:hAnsi="Calibri" w:eastAsia="Calibri"/>
                <w:color w:val="39393B"/>
                <w:sz w:val="14"/>
              </w:rPr>
              <w:t>; MoUs only in year 1</w:t>
            </w:r>
          </w:p>
        </w:tc>
      </w:tr>
    </w:tbl>
    <w:p>
      <w:pPr>
        <w:spacing w:before="0" w:after="40" w:line="144" w:lineRule="auto"/>
      </w:pPr>
    </w:p>
    <w:p>
      <w:pPr>
        <w:spacing w:before="40" w:after="160" w:line="240" w:lineRule="auto"/>
      </w:pPr>
      <w:r>
        <w:rPr>
          <w:rFonts w:ascii="Calibri" w:hAnsi="Calibri" w:eastAsia="Calibri"/>
          <w:color w:val="6B6E70"/>
          <w:sz w:val="15"/>
        </w:rPr>
        <w:t>Track names are proposed for the Sandbox Rules and used throughout; "Sandbox Express" and "Sandbox Plus" refer only to MAS programmes. The Express and Prototyping Tracks start after the cohort-1 stage-8 evaluations (about M13-M14).</w:t>
      </w:r>
    </w:p>
    <w:p>
      <w:pPr>
        <w:spacing w:before="0" w:after="80" w:line="259" w:lineRule="auto"/>
      </w:pPr>
      <w:r>
        <w:rPr>
          <w:rFonts w:ascii="Calibri" w:hAnsi="Calibri" w:eastAsia="Calibri"/>
          <w:b/>
          <w:sz w:val="18"/>
        </w:rPr>
        <w:t>Reasoning.</w:t>
      </w:r>
      <w:r>
        <w:rPr>
          <w:rFonts w:ascii="Calibri" w:hAnsi="Calibri" w:eastAsia="Calibri"/>
          <w:sz w:val="18"/>
        </w:rPr>
        <w:t xml:space="preserve"> Evidence favours launching the Guidance Track, which needs no legal exemption, and the Full Sandbox Track, which the reported provisions of the law most directly describe [S27]. The Express Track needs first-cohort data on what is genuinely low-risk, and a richer track can sit unused (MAS Sandbox Plus: no approvals as at end-Sep 2025; Exhibit 14) [S7]. The Prototyping Track needs completed tests; cross-border tests depend on counterparts EUz does not control (GFIN's first pilot, the only one with published figures: Exhibit 10) (R) [S15].</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Rule on Guidance Track positions (for the Sandbox Rules)</w:t>
            </w:r>
          </w:p>
          <w:p>
            <w:pPr>
              <w:spacing w:before="0" w:after="40" w:line="252" w:lineRule="auto"/>
            </w:pPr>
            <w:r>
              <w:rPr>
                <w:rFonts w:ascii="Calibri" w:hAnsi="Calibri" w:eastAsia="Calibri"/>
                <w:b/>
                <w:sz w:val="17"/>
              </w:rPr>
              <w:t>Scope.</w:t>
            </w:r>
            <w:r>
              <w:rPr>
                <w:rFonts w:ascii="Calibri" w:hAnsi="Calibri" w:eastAsia="Calibri"/>
                <w:sz w:val="17"/>
              </w:rPr>
              <w:t xml:space="preserve"> How EUz rules apply to a product or activity the applicant describes. On a national requirement, a position is co-signed by the competent regulator or published, and labelled, as EUz's non-binding view.</w:t>
            </w:r>
          </w:p>
          <w:p>
            <w:pPr>
              <w:spacing w:before="0" w:after="40" w:line="252" w:lineRule="auto"/>
            </w:pPr>
            <w:r>
              <w:rPr>
                <w:rFonts w:ascii="Calibri" w:hAnsi="Calibri" w:eastAsia="Calibri"/>
                <w:b/>
                <w:sz w:val="17"/>
              </w:rPr>
              <w:t>Sign-off.</w:t>
            </w:r>
            <w:r>
              <w:rPr>
                <w:rFonts w:ascii="Calibri" w:hAnsi="Calibri" w:eastAsia="Calibri"/>
                <w:sz w:val="17"/>
              </w:rPr>
              <w:t xml:space="preserve"> Drafted by regulatory counsel; cleared by the General Counsel where it interprets EUz legislation; signed by the Sandbox head within 30 WD of a complete request (planning assumption); published in anonymised form (card 3.4).</w:t>
            </w:r>
          </w:p>
          <w:p>
            <w:pPr>
              <w:spacing w:before="0" w:after="40" w:line="252" w:lineRule="auto"/>
            </w:pPr>
            <w:r>
              <w:rPr>
                <w:rFonts w:ascii="Calibri" w:hAnsi="Calibri" w:eastAsia="Calibri"/>
                <w:b/>
                <w:sz w:val="17"/>
              </w:rPr>
              <w:t>Effect.</w:t>
            </w:r>
            <w:r>
              <w:rPr>
                <w:rFonts w:ascii="Calibri" w:hAnsi="Calibri" w:eastAsia="Calibri"/>
                <w:sz w:val="17"/>
              </w:rPr>
              <w:t xml:space="preserve"> While a position stands, EUz will not act against the participant contrary to it on the facts described, if counsel confirms that the official texts allow this; otherwise positions are labelled non-binding.</w:t>
            </w:r>
          </w:p>
          <w:p>
            <w:pPr>
              <w:spacing w:before="0" w:after="40" w:line="252" w:lineRule="auto"/>
            </w:pPr>
            <w:r>
              <w:rPr>
                <w:rFonts w:ascii="Calibri" w:hAnsi="Calibri" w:eastAsia="Calibri"/>
                <w:b/>
                <w:sz w:val="17"/>
              </w:rPr>
              <w:t>Withdrawal.</w:t>
            </w:r>
            <w:r>
              <w:rPr>
                <w:rFonts w:ascii="Calibri" w:hAnsi="Calibri" w:eastAsia="Calibri"/>
                <w:sz w:val="17"/>
              </w:rPr>
              <w:t xml:space="preserve"> For the future only, on 30 WD notice (planning assumption).</w:t>
            </w:r>
          </w:p>
          <w:p>
            <w:pPr>
              <w:spacing w:before="0" w:after="40" w:line="252" w:lineRule="auto"/>
            </w:pPr>
            <w:r>
              <w:rPr>
                <w:rFonts w:ascii="Calibri" w:hAnsi="Calibri" w:eastAsia="Calibri"/>
                <w:b/>
                <w:sz w:val="17"/>
              </w:rPr>
              <w:t>Disclaimer.</w:t>
            </w:r>
            <w:r>
              <w:rPr>
                <w:rFonts w:ascii="Calibri" w:hAnsi="Calibri" w:eastAsia="Calibri"/>
                <w:sz w:val="17"/>
              </w:rPr>
              <w:t xml:space="preserve"> Not legal advice or an endorsement; does not bind national authorities.</w:t>
            </w:r>
          </w:p>
        </w:tc>
      </w:tr>
    </w:tbl>
    <w:p>
      <w:pPr>
        <w:spacing w:before="0" w:after="40" w:line="144" w:lineRule="auto"/>
      </w:pPr>
    </w:p>
    <w:p>
      <w:pPr>
        <w:pStyle w:val="Heading2"/>
      </w:pPr>
      <w:r>
        <w:rPr>
          <w:rFonts w:ascii="Calibri" w:hAnsi="Calibri" w:eastAsia="Calibri"/>
        </w:rPr>
        <w:t>5.4 Services and the "why EUz" case: compete on emerging-technology scope and a published clock, not on fintech volume</w:t>
      </w:r>
    </w:p>
    <w:p>
      <w:pPr>
        <w:spacing w:before="0" w:after="60" w:line="259" w:lineRule="auto"/>
      </w:pPr>
      <w:r>
        <w:rPr>
          <w:rFonts w:ascii="Calibri" w:hAnsi="Calibri" w:eastAsia="Calibri"/>
          <w:sz w:val="18"/>
        </w:rPr>
        <w:t>Singapore, the UK and the UAE already offer sandboxes with documented track records. On the evidence available (Exhibit 11a), EUz should neither claim to outperform them nor compete with them for fintech volume. Its credible offer is narrower: non-financial AI, data and trade-technology testing with a published clock, still to be tested with prospective participants (Action 10, Section 8.1). Financial-services tests go to the competent national regime (referral rules, Section 5.1).</w:t>
      </w:r>
    </w:p>
    <w:p>
      <w:pPr>
        <w:pStyle w:val="ExhibitTitle"/>
      </w:pPr>
      <w:r>
        <w:rPr>
          <w:rFonts w:ascii="Calibri" w:hAnsi="Calibri" w:eastAsia="Calibri"/>
        </w:rPr>
        <w:t>Exhibit 11. Services and when they should be available</w:t>
      </w:r>
    </w:p>
    <w:tbl>
      <w:tblPr>
        <w:tblW w:w="9639" w:type="dxa"/>
        <w:jc w:val="center"/>
        <w:tblLayout w:type="fixed"/>
        <w:tblLook w:firstColumn="1" w:firstRow="1" w:lastColumn="0" w:lastRow="0" w:noHBand="0" w:noVBand="1" w:val="04A0"/>
      </w:tblPr>
      <w:tblGrid>
        <w:gridCol w:w="2664"/>
        <w:gridCol w:w="2381"/>
        <w:gridCol w:w="2324"/>
        <w:gridCol w:w="2268"/>
      </w:tblGrid>
      <w:tr>
        <w:trPr>
          <w:cantSplit/>
          <w:tblHeader/>
        </w:trPr>
        <w:tc>
          <w:tcPr>
            <w:tcW w:type="dxa" w:w="266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Service</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At launch (essential)</w:t>
            </w:r>
          </w:p>
        </w:tc>
        <w:tc>
          <w:tcPr>
            <w:tcW w:type="dxa" w:w="232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Later (differentiator)</w:t>
            </w:r>
          </w:p>
        </w:tc>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 or reason</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Clear regulatory guidance, published positions</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ICO, Ofgem [S5][S6]</w:t>
            </w:r>
          </w:p>
        </w:tc>
      </w:tr>
      <w:tr>
        <w:trPr>
          <w:cantSplit/>
        </w:trPr>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Fast eligibility assessment</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Yes: 10 WD screening (planning assumption)</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Express Track decisions within 21 calendar days (planning assumption)</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target [S8]</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Dedicated case manager</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Single point of contact reduces hand-offs (A)</w:t>
            </w:r>
          </w:p>
        </w:tc>
      </w:tr>
      <w:tr>
        <w:trPr>
          <w:cantSplit/>
        </w:trPr>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Defined testing conditions and safeguards</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Yes, in the draft Sandbox Rules</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FCA tools [S1]; ICO limits [S5]</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Controlled regulatory flexibility</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From M6 admissions; EUz-controlled requirements only</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Extended through regulator consent protocols</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 powers to verify [S27]</w:t>
            </w:r>
          </w:p>
        </w:tc>
      </w:tr>
      <w:tr>
        <w:trPr>
          <w:cantSplit/>
        </w:trPr>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Testing infrastructure, APIs, synthetic data</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Intake platform at launch; test environment M6</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Richer datasets, compute</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FCA Digital Sandbox [S4][S42]</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Cybersecurity and privacy advisory</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 via expert roster</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Standing lab</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Risk in live tests (A)</w:t>
            </w:r>
          </w:p>
        </w:tc>
      </w:tr>
      <w:tr>
        <w:trPr>
          <w:cantSplit/>
        </w:trPr>
        <w:tc>
          <w:tcPr>
            <w:tcW w:type="dxa" w:w="266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International expert engagement</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Operator peer review of the draft Rules (Exhibit 19a)</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Standing advisory panel</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WEF and others (Chapter 6)</w:t>
            </w:r>
          </w:p>
        </w:tc>
      </w:tr>
      <w:tr>
        <w:trPr>
          <w:cantSplit/>
        </w:trPr>
        <w:tc>
          <w:tcPr>
            <w:tcW w:type="dxa" w:w="266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Market-entry support and commercialisation pathway</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Introductions to licensing bodies</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Demo events, investor access</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UK funding effect (I) [S2]; MAS Sandbox Plus: no approvals [S7]</w:t>
            </w:r>
          </w:p>
        </w:tc>
      </w:tr>
    </w:tbl>
    <w:p>
      <w:pPr>
        <w:spacing w:before="0" w:after="40" w:line="144" w:lineRule="auto"/>
      </w:pPr>
    </w:p>
    <w:p>
      <w:pPr>
        <w:pStyle w:val="ExhibitTitle"/>
      </w:pPr>
      <w:r>
        <w:rPr>
          <w:rFonts w:ascii="Calibri" w:hAnsi="Calibri" w:eastAsia="Calibri"/>
        </w:rPr>
        <w:t>Exhibit 11a. EUz against established sandboxes (published data only)</w:t>
      </w:r>
    </w:p>
    <w:tbl>
      <w:tblPr>
        <w:tblW w:w="9639" w:type="dxa"/>
        <w:jc w:val="center"/>
        <w:tblLayout w:type="fixed"/>
        <w:tblLook w:firstColumn="1" w:firstRow="1" w:lastColumn="0" w:lastRow="0" w:noHBand="0" w:noVBand="1" w:val="04A0"/>
      </w:tblPr>
      <w:tblGrid>
        <w:gridCol w:w="1417"/>
        <w:gridCol w:w="1814"/>
        <w:gridCol w:w="2041"/>
        <w:gridCol w:w="1927"/>
        <w:gridCol w:w="2438"/>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Dimension</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Singapore (MAS)</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UK (FCA, ICO, Ofgem)</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UAE (ADGM, DFSA)</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EUz (proposed)</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Scope</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Financial services; three tracks [S7][S8][S9]</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One sandbox per regulator: financial (FCA, plus a Digital Sandbox), personal data (ICO), energy (Ofgem) [S3][S4][S5][S6]</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Financial services [S13][S14]</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One door for AI, data, trade technology and identity under the reported cross-sector mandate (S [S27]; A). Cross-sector sandboxes exist elsewhere (Japan, Korea ICT), so the offer is the combination, not the scope alone</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Track record</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15 of 19 accepted firms licensed, 2016 to end-Sep 2025; track scope unclear (R) [S7]</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FCA: 172 of 629 accepted to Dec 2023 (R) [S3]; 13% accepted in 2025 (R) [S40]; about +15% capital raised after entry (I) [S2]</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ADGM: 32 admitted of 83 applications, to Aug 2019 (R) [S49]; DFSA: 67 of 130 accepted, Jul 2022 (R) [S14]</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None yet</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Published decision time</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Median about 3 months, including applicant time (R) [S7]; Express: 21-day target; no attainment data found (T) [S8]</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FCA, indicative: eligibility about 2–3 weeks; full assessment about 8–12 weeks (T) [S39]</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DFSA: typically 10–12 weeks after a complete application (indicative, T) [S50]; ADGM: Not verified</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50 WD of EUz-controlled time (planning assumption, Section 5.2); attainment published quarterly (A). A target, not comparable with measured medians</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Exit</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Into the existing licensing regime [S7]</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FCA: restricted authorisation route [S1]</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DFSA: the firm must meet full authorisation requirements [S14]</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Exit routes fixed at admission; the licensing authority is not bound (Exhibit 12)</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Still to prove</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Track record; legal basis (official texts not yet reviewed) [S27]; recognition MoUs; demand (Action 10). Court and tax details unreconciled (Annex B); not used in marketing</w:t>
            </w:r>
          </w:p>
        </w:tc>
      </w:tr>
    </w:tbl>
    <w:p>
      <w:pPr>
        <w:spacing w:before="0" w:after="40" w:line="144" w:lineRule="auto"/>
      </w:pPr>
    </w:p>
    <w:p>
      <w:pPr>
        <w:spacing w:before="40" w:after="160" w:line="240" w:lineRule="auto"/>
      </w:pPr>
      <w:r>
        <w:rPr>
          <w:rFonts w:ascii="Calibri" w:hAnsi="Calibri" w:eastAsia="Calibri"/>
          <w:color w:val="6B6E70"/>
          <w:sz w:val="15"/>
        </w:rPr>
        <w:t>Figures as reported by each programme, with dates; definitions differ, so the columns are not directly comparable. ICO: the Information Commissioner's Office, replaced by the Information Commission from 30 Sep 2026 (S) [S47].</w:t>
      </w:r>
    </w:p>
    <w:p>
      <w:pPr>
        <w:pStyle w:val="Heading2"/>
      </w:pPr>
      <w:r>
        <w:rPr>
          <w:rFonts w:ascii="Calibri" w:hAnsi="Calibri" w:eastAsia="Calibri"/>
        </w:rPr>
        <w:t>5.5 Exit and graduation: successful testing does not automatically grant a licence</w:t>
      </w:r>
    </w:p>
    <w:p>
      <w:pPr>
        <w:pStyle w:val="ExhibitTitle"/>
      </w:pPr>
      <w:r>
        <w:rPr>
          <w:rFonts w:ascii="Calibri" w:hAnsi="Calibri" w:eastAsia="Calibri"/>
        </w:rPr>
        <w:t>Exhibit 12. Exit routes</w:t>
      </w:r>
    </w:p>
    <w:tbl>
      <w:tblPr>
        <w:tblW w:w="9639" w:type="dxa"/>
        <w:jc w:val="center"/>
        <w:tblLayout w:type="fixed"/>
        <w:tblLook w:firstColumn="1" w:firstRow="1" w:lastColumn="0" w:lastRow="0" w:noHBand="0" w:noVBand="1" w:val="04A0"/>
      </w:tblPr>
      <w:tblGrid>
        <w:gridCol w:w="1871"/>
        <w:gridCol w:w="2268"/>
        <w:gridCol w:w="2778"/>
        <w:gridCol w:w="2721"/>
      </w:tblGrid>
      <w:tr>
        <w:trPr>
          <w:cantSplit/>
          <w:tblHeader/>
        </w:trPr>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Route</w:t>
            </w:r>
          </w:p>
        </w:tc>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When it applies</w:t>
            </w:r>
          </w:p>
        </w:tc>
        <w:tc>
          <w:tcPr>
            <w:tcW w:type="dxa" w:w="277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Decided by</w:t>
            </w:r>
          </w:p>
        </w:tc>
        <w:tc>
          <w:tcPr>
            <w:tcW w:type="dxa" w:w="272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Legal note (to verify)</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Continue under existing rules</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showed the activity is lawful without a licence</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Committee, with regulator confirmation where relevant</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Written confirmation; no EUz waiver of external rules</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Apply for permanent licence or permit</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Activity needs authorisation from EUz or a national regulator</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The licensing authority, not the Committee</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 evidence and the EUz exit report support but do not bind the authority</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Transition to revised regime</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led to a new rule or standard</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Council (EUz rules) or national bodies</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Requires rule-making; may need amendments</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Extension or further testing</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Material evidence gap; legally permissible</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 within the Council-set term</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Reported: up to 12 months unless the Council sets another term (S) [S27]</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Commercial expansion</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Beyond the approved clients, territory or volume</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Committee, on a new application</w:t>
            </w:r>
          </w:p>
        </w:tc>
        <w:tc>
          <w:tcPr>
            <w:tcW w:type="dxa" w:w="272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Admission gives no automatic launch right (W) [S31]</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Termination or corrective action</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Breach, harm, stop-loss trigger, no longer eligible</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 terminates sandbox status (the Chair may suspend at once, Section 5.1); sanctions only by the EUz body holding enforcement powers, on Committee referral (body to confirm, Exhibit 13)</w:t>
            </w:r>
          </w:p>
        </w:tc>
        <w:tc>
          <w:tcPr>
            <w:tcW w:type="dxa" w:w="272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Enforcement powers reportedly include warning, order, removal of benefits, sanctions and suspension (W) [S31]; termination open to reconsideration and appeal (box below)</w:t>
            </w:r>
          </w:p>
        </w:tc>
      </w:tr>
    </w:tbl>
    <w:p>
      <w:pPr>
        <w:spacing w:before="0" w:after="40" w:line="144" w:lineRule="auto"/>
      </w:pPr>
    </w:p>
    <w:p>
      <w:pPr>
        <w:spacing w:before="0" w:after="80" w:line="259" w:lineRule="auto"/>
      </w:pPr>
      <w:r>
        <w:rPr>
          <w:rFonts w:ascii="Calibri" w:hAnsi="Calibri" w:eastAsia="Calibri"/>
          <w:b/>
          <w:sz w:val="18"/>
        </w:rPr>
        <w:t>Exit report.</w:t>
      </w:r>
      <w:r>
        <w:rPr>
          <w:rFonts w:ascii="Calibri" w:hAnsi="Calibri" w:eastAsia="Calibri"/>
          <w:sz w:val="18"/>
        </w:rPr>
        <w:t xml:space="preserve"> Each test ends with a written Committee exit report: what was tested, under which conditions, the evidence produced and the exit route. Like the EU AI Act exit report, which market-surveillance authorities and notified bodies must take into account positively without presuming compliance (Regulation (EU) 2024/1689, Art. 57(7) as enacted; card 3.8), it should support, not bind, the licensing authority's decision (A).</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Reconsideration and appeal (for the Sandbox Rules)</w:t>
            </w:r>
          </w:p>
          <w:p>
            <w:pPr>
              <w:spacing w:before="0" w:after="40" w:line="252" w:lineRule="auto"/>
            </w:pPr>
            <w:r>
              <w:rPr>
                <w:rFonts w:ascii="Calibri" w:hAnsi="Calibri" w:eastAsia="Calibri"/>
                <w:b/>
                <w:sz w:val="17"/>
              </w:rPr>
              <w:t>Open to challenge:</w:t>
            </w:r>
            <w:r>
              <w:rPr>
                <w:rFonts w:ascii="Calibri" w:hAnsi="Calibri" w:eastAsia="Calibri"/>
                <w:sz w:val="17"/>
              </w:rPr>
              <w:t xml:space="preserve"> decline at approval; conditions imposed; suspension; termination; refusal of an extension; exit route. </w:t>
            </w:r>
            <w:r>
              <w:rPr>
                <w:rFonts w:ascii="Calibri" w:hAnsi="Calibri" w:eastAsia="Calibri"/>
                <w:b/>
                <w:sz w:val="17"/>
              </w:rPr>
              <w:t>Not open to challenge in EUz:</w:t>
            </w:r>
            <w:r>
              <w:rPr>
                <w:rFonts w:ascii="Calibri" w:hAnsi="Calibri" w:eastAsia="Calibri"/>
                <w:sz w:val="17"/>
              </w:rPr>
              <w:t xml:space="preserve"> return of an incomplete file (the applicant resubmits); redirection to the Guidance Track (one Committee review on request); any national regulator's decision (its own procedures apply).</w:t>
            </w:r>
          </w:p>
          <w:p>
            <w:pPr>
              <w:spacing w:before="0" w:after="40" w:line="252" w:lineRule="auto"/>
            </w:pPr>
            <w:r>
              <w:rPr>
                <w:rFonts w:ascii="Calibri" w:hAnsi="Calibri" w:eastAsia="Calibri"/>
                <w:b/>
                <w:sz w:val="17"/>
              </w:rPr>
              <w:t>Step 1, reconsideration:</w:t>
            </w:r>
            <w:r>
              <w:rPr>
                <w:rFonts w:ascii="Calibri" w:hAnsi="Calibri" w:eastAsia="Calibri"/>
                <w:sz w:val="17"/>
              </w:rPr>
              <w:t xml:space="preserve"> by the Committee, on new evidence or factual error; requested within 10 WD, decided within 15 WD.</w:t>
            </w:r>
          </w:p>
          <w:p>
            <w:pPr>
              <w:spacing w:before="0" w:after="40" w:line="252" w:lineRule="auto"/>
            </w:pPr>
            <w:r>
              <w:rPr>
                <w:rFonts w:ascii="Calibri" w:hAnsi="Calibri" w:eastAsia="Calibri"/>
                <w:b/>
                <w:sz w:val="17"/>
              </w:rPr>
              <w:t>Step 2, appeal:</w:t>
            </w:r>
            <w:r>
              <w:rPr>
                <w:rFonts w:ascii="Calibri" w:hAnsi="Calibri" w:eastAsia="Calibri"/>
                <w:sz w:val="17"/>
              </w:rPr>
              <w:t xml:space="preserve"> within 15 WD, to a panel of three Council members not involved in the case, for procedural error, error of fact, disproportionate conditions or inconsistency with the Rules; decided within 30 WD. The panel may confirm, annul and send back, or vary conditions, but may not admit a test lacking a required consent. If the Council took the original decision (the D2 fallback), a differently composed Council panel hears the appeal, subject to counsel's view.</w:t>
            </w:r>
          </w:p>
          <w:p>
            <w:pPr>
              <w:spacing w:before="0" w:after="40" w:line="252" w:lineRule="auto"/>
            </w:pPr>
            <w:r>
              <w:rPr>
                <w:rFonts w:ascii="Calibri" w:hAnsi="Calibri" w:eastAsia="Calibri"/>
                <w:b/>
                <w:sz w:val="17"/>
              </w:rPr>
              <w:t>During a challenge:</w:t>
            </w:r>
            <w:r>
              <w:rPr>
                <w:rFonts w:ascii="Calibri" w:hAnsi="Calibri" w:eastAsia="Calibri"/>
                <w:sz w:val="17"/>
              </w:rPr>
              <w:t xml:space="preserve"> a suspension or termination made to prevent harm stays in force. All periods are planning assumptions.</w:t>
            </w:r>
          </w:p>
          <w:p>
            <w:pPr>
              <w:spacing w:before="0" w:after="40" w:line="252" w:lineRule="auto"/>
            </w:pPr>
            <w:r>
              <w:rPr>
                <w:rFonts w:ascii="Calibri" w:hAnsi="Calibri" w:eastAsia="Calibri"/>
                <w:b/>
                <w:sz w:val="17"/>
              </w:rPr>
              <w:t>Courts:</w:t>
            </w:r>
            <w:r>
              <w:rPr>
                <w:rFonts w:ascii="Calibri" w:hAnsi="Calibri" w:eastAsia="Calibri"/>
                <w:sz w:val="17"/>
              </w:rPr>
              <w:t xml:space="preserve"> any further route to court depends on the official texts (Annex D, step 1); one outlet reports that decisions of the Centre's Administration can be challenged in an independent court [S27]. The annual report gives anonymised outcomes of challenges.</w:t>
            </w:r>
          </w:p>
        </w:tc>
      </w:tr>
    </w:tbl>
    <w:p>
      <w:pPr>
        <w:spacing w:before="0" w:after="40" w:line="144" w:lineRule="auto"/>
      </w:pPr>
    </w:p>
    <w:p>
      <w:pPr>
        <w:pStyle w:val="Heading2"/>
      </w:pPr>
      <w:r>
        <w:rPr>
          <w:rFonts w:ascii="Calibri" w:hAnsi="Calibri" w:eastAsia="Calibri"/>
        </w:rPr>
        <w:t>5.6 Legal fit-gap analysis: a checklist for counsel, not a legal opinion</w:t>
      </w:r>
    </w:p>
    <w:p>
      <w:pPr>
        <w:spacing w:before="0" w:after="80" w:line="259" w:lineRule="auto"/>
      </w:pPr>
      <w:r>
        <w:rPr>
          <w:rFonts w:ascii="Calibri" w:hAnsi="Calibri" w:eastAsia="Calibri"/>
          <w:sz w:val="18"/>
        </w:rPr>
        <w:t xml:space="preserve">Categories: </w:t>
      </w:r>
      <w:r>
        <w:rPr>
          <w:rFonts w:ascii="Calibri" w:hAnsi="Calibri" w:eastAsia="Calibri"/>
          <w:b/>
          <w:sz w:val="18"/>
        </w:rPr>
        <w:t>Verify</w:t>
      </w:r>
      <w:r>
        <w:rPr>
          <w:rFonts w:ascii="Calibri" w:hAnsi="Calibri" w:eastAsia="Calibri"/>
          <w:sz w:val="18"/>
        </w:rPr>
        <w:t xml:space="preserve"> = confirm in the official text; </w:t>
      </w:r>
      <w:r>
        <w:rPr>
          <w:rFonts w:ascii="Calibri" w:hAnsi="Calibri" w:eastAsia="Calibri"/>
          <w:b/>
          <w:sz w:val="18"/>
        </w:rPr>
        <w:t>Sec. reg.</w:t>
      </w:r>
      <w:r>
        <w:rPr>
          <w:rFonts w:ascii="Calibri" w:hAnsi="Calibri" w:eastAsia="Calibri"/>
          <w:sz w:val="18"/>
        </w:rPr>
        <w:t xml:space="preserve"> = needs secondary regulation (a Council decision or the Sandbox Rules); </w:t>
      </w:r>
      <w:r>
        <w:rPr>
          <w:rFonts w:ascii="Calibri" w:hAnsi="Calibri" w:eastAsia="Calibri"/>
          <w:b/>
          <w:sz w:val="18"/>
        </w:rPr>
        <w:t>National</w:t>
      </w:r>
      <w:r>
        <w:rPr>
          <w:rFonts w:ascii="Calibri" w:hAnsi="Calibri" w:eastAsia="Calibri"/>
          <w:sz w:val="18"/>
        </w:rPr>
        <w:t xml:space="preserve"> = needs a national regulator's approval; </w:t>
      </w:r>
      <w:r>
        <w:rPr>
          <w:rFonts w:ascii="Calibri" w:hAnsi="Calibri" w:eastAsia="Calibri"/>
          <w:b/>
          <w:sz w:val="18"/>
        </w:rPr>
        <w:t>Amend</w:t>
      </w:r>
      <w:r>
        <w:rPr>
          <w:rFonts w:ascii="Calibri" w:hAnsi="Calibri" w:eastAsia="Calibri"/>
          <w:sz w:val="18"/>
        </w:rPr>
        <w:t xml:space="preserve"> = may need a change in law. "Existing basis" draws on press reports (S), official database listings or EUz working files (W), not official texts. Last column: the design fallback if counsel does not confirm that basis (A).</w:t>
      </w:r>
    </w:p>
    <w:p>
      <w:pPr>
        <w:pStyle w:val="ExhibitTitle"/>
      </w:pPr>
      <w:r>
        <w:rPr>
          <w:rFonts w:ascii="Calibri" w:hAnsi="Calibri" w:eastAsia="Calibri"/>
        </w:rPr>
        <w:t>Exhibit 13. Legal fit-gap matrix</w:t>
      </w:r>
    </w:p>
    <w:tbl>
      <w:tblPr>
        <w:tblW w:w="9639" w:type="dxa"/>
        <w:jc w:val="center"/>
        <w:tblLayout w:type="fixed"/>
        <w:tblLook w:firstColumn="1" w:firstRow="1" w:lastColumn="0" w:lastRow="0" w:noHBand="0" w:noVBand="1" w:val="04A0"/>
      </w:tblPr>
      <w:tblGrid>
        <w:gridCol w:w="1474"/>
        <w:gridCol w:w="2154"/>
        <w:gridCol w:w="850"/>
        <w:gridCol w:w="1984"/>
        <w:gridCol w:w="1304"/>
        <w:gridCol w:w="1871"/>
      </w:tblGrid>
      <w:tr>
        <w:trPr>
          <w:cantSplit/>
          <w:tblHeader/>
        </w:trPr>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Proposed mechanism</w:t>
            </w:r>
          </w:p>
        </w:tc>
        <w:tc>
          <w:tcPr>
            <w:tcW w:type="dxa" w:w="215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Existing EUz basis (status)</w:t>
            </w:r>
          </w:p>
        </w:tc>
        <w:tc>
          <w:tcPr>
            <w:tcW w:type="dxa" w:w="85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Category</w:t>
            </w:r>
          </w:p>
        </w:tc>
        <w:tc>
          <w:tcPr>
            <w:tcW w:type="dxa" w:w="198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Additional action required</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Responsible authority</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If not confirmed (fallback, A)</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Sandbox with temporary exemptions</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Reported: temporary exemptions from certain statutory requirements (S) [S27]; simplified licensing (one outlet, S). EUz file: Art. 39–43 (W)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Verify, Sec. reg.</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Review the text; settle whether the Administration or the Council introduces the sandbox; define exemption classes in the Rules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General Counsel</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Full Sandbox only where no exemption is needed or the competent regulator consents; Guidance Track unaffected</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Test term up to 12 months</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Reported, unless the Governing Council sets another term (S) [S27]</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Verify</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Confirm, including which body sets the term; set track-specific terms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Track-specific terms in the Rules; all four pilots test for six months or less</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Admission delegated to the Sandbox Committee</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EUz file: admission decided by the Governing Council; Art. 15–17 (W)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Verify, Sec. reg.</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Confirm the Council may delegate; otherwise Council ratification by written procedure</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General Counsel</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decides each case by written procedure (D2 alternative)</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Council acts before entry into force</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found; UP-233 text not yet reviewed [S28]</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Verify</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Confirm which acts (operating model, delegation, Committee appointments, Sandbox Rules) the Council may adopt before the reported entry into force (21 Jan 2027), and on what basis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Day-30 decisions in principle only; re-adopted at the first Council meeting after entry into force</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Guidance Track</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found. Possible basis: services provisions, Art. 66–70 (W, unverified)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Verify, Sec. reg.</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Confirm mandate; rule on legal effect of positions; co-signature protocol with national regulators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Non-binding written staff views with a disclaimer</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Express standard conditions</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found. Reported: detailed procedures to follow in Council decisions (S) [S27]</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Sec. reg.</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approves a standard-conditions schedule</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Defer the Express Track</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Flexibility on national requirements</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EUz file: financial testing follows the competent regulator's decision (W)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National</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Consent protocol per regulator; list of non-waivable requirements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National regulators; Council</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Test only EUz-controlled requirements; refer the rest to the competent national regime (Section 5.1)</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Participant safeguards (caps, disclosure, redress, stop-loss)</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found in sources reached</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Verify, Sec. reg.</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Include in the Sandbox Rules; check against consumer and liability provisions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General Counsel</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Imposed by contract in each test agreement</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Liability of EUz and its staff for sandbox decisions and statements</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found</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Verify, Sec. reg.</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Confirm any statutory good-faith protection for EUz and its officers; otherwise rely on the Rules, disclaimers and the test agreement</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Participant liability and indemnity in every test agreement; disclaimers on all positions</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Digital sandbox and synthetic data</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Reported: access to the Centre's infrastructure (one outlet, S) [S27]</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Verify, National</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Data-handling rules; check personal-data law</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Administration; data authority</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Synthetic data only, no personal data</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Data location and cross-border transfer of platform data</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assessed</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Verify, National</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Confirm any local-storage or transfer conditions in personal-data law; the answer feeds the D7 tender specification</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 data-protection authority</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 personal data on the platform until confirmed</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Regulation Prototyping Track</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found</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Sec. reg., Amend</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rule on prototyping notes; recommendations to national bodies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national bodies</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EUz's own rules only; recommendations to national bodies</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Registrar role in the sandbox</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EUz file: role not defined (W) [S31]</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Sec. reg.</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Define status recording and removal</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Registrar</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Secretariat keeps the sandbox register until the role is defined</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Enforcement against participants</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EUz file: Art. 78–79, warning to suspension (W) [S31]</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Verify</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Confirm application to sandbox participants and which EUz body holds the powers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Contractual suspension and termination in the test agreement</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Dispute forum for test agreements</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Reported: Tashkent International Commercial Court (three outlets, S) [S27]; a decree-stage report (Dec 2025) named a different court</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Verify</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Specify law and forum in the test agreement</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Governing-law and forum clause drafted once the forum is confirmed</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Coordination with national sandbox regimes</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Reported regimes in Section 5.1: Central Bank [S29]; NAPP [S60]; PQ-255 [S30]; PP-359 [S29]; UP-244 [S58]; No. 717 [S61] (titles or press only)</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Verify, National</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Review the texts; referral protocol with the Central Bank and NAPP; avoid dual admission; ask whether the UP-244 and AI regimes apply to EUz residents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Administration; Central Bank; NAPP; General Counsel</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Do not admit a firm already in another regime for the same activity</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Relation to the Law on Legal Experiment</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Reported: LRU-1127 lets a state body trial a normative act; Ministry of Justice register (S) [S59][S38]</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Verify</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Confirm how EUz tests relate to the law and whether they must enter the unified register of legal experiments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Ask the Ministry of Justice before the first admission; register tests if required</w:t>
            </w:r>
          </w:p>
        </w:tc>
      </w:tr>
      <w:tr>
        <w:trPr>
          <w:cantSplit/>
        </w:trPr>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Cross-border sandbox</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found</w:t>
            </w:r>
          </w:p>
        </w:tc>
        <w:tc>
          <w:tcPr>
            <w:tcW w:type="dxa" w:w="85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Amend, National</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MoUs; recognition of partner decisions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counterpart regulators</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Defer (already year 2)</w:t>
            </w:r>
          </w:p>
        </w:tc>
      </w:tr>
      <w:tr>
        <w:trPr>
          <w:cantSplit/>
        </w:trPr>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Publication of case register and exit reports</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found</w:t>
            </w:r>
          </w:p>
        </w:tc>
        <w:tc>
          <w:tcPr>
            <w:tcW w:type="dxa" w:w="85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Sec. reg.</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Confidentiality and consent clauses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Publish only under participant consent clauses</w:t>
            </w:r>
          </w:p>
        </w:tc>
      </w:tr>
    </w:tbl>
    <w:p>
      <w:pPr>
        <w:spacing w:before="0" w:after="40" w:line="144" w:lineRule="auto"/>
      </w:pPr>
    </w:p>
    <w:p>
      <w:pPr>
        <w:spacing w:before="0" w:after="80" w:line="259" w:lineRule="auto"/>
      </w:pPr>
      <w:r>
        <w:rPr>
          <w:rFonts w:ascii="Calibri" w:hAnsi="Calibri" w:eastAsia="Calibri"/>
          <w:b/>
          <w:sz w:val="18"/>
        </w:rPr>
        <w:t>Robust to a negative legal finding:</w:t>
      </w:r>
      <w:r>
        <w:rPr>
          <w:rFonts w:ascii="Calibri" w:hAnsi="Calibri" w:eastAsia="Calibri"/>
          <w:sz w:val="18"/>
        </w:rPr>
        <w:t xml:space="preserve"> the Guidance Track (as non-binding views), the Committee (with Council decisions as fallback) and safeguards by contract. </w:t>
      </w:r>
      <w:r>
        <w:rPr>
          <w:rFonts w:ascii="Calibri" w:hAnsi="Calibri" w:eastAsia="Calibri"/>
          <w:b/>
          <w:sz w:val="18"/>
        </w:rPr>
        <w:t>Contingent on confirmation:</w:t>
      </w:r>
      <w:r>
        <w:rPr>
          <w:rFonts w:ascii="Calibri" w:hAnsi="Calibri" w:eastAsia="Calibri"/>
          <w:sz w:val="18"/>
        </w:rPr>
        <w:t xml:space="preserve"> exemptions, the Express Track and the Prototyping Track.</w:t>
      </w:r>
    </w:p>
    <w:p>
      <w:pPr>
        <w:spacing w:before="0" w:after="80" w:line="259" w:lineRule="auto"/>
      </w:pPr>
      <w:r>
        <w:rPr>
          <w:rFonts w:ascii="Calibri" w:hAnsi="Calibri" w:eastAsia="Calibri"/>
          <w:b/>
          <w:sz w:val="18"/>
        </w:rPr>
        <w:t>International lesson: real legal flexibility needs a statutory power.</w:t>
      </w:r>
      <w:r>
        <w:rPr>
          <w:rFonts w:ascii="Calibri" w:hAnsi="Calibri" w:eastAsia="Calibri"/>
          <w:sz w:val="18"/>
        </w:rPr>
        <w:t xml:space="preserve"> The FCA can waive or modify only its own rules, not national law [S1]; the UK Digital Securities Sandbox, created by regulations under the Financial Services and Markets Act 2023 (in force 8 Jan 2024), lets the Bank of England and the FCA modify or disapply specified financial-markets legislation for participants [S45] (Exhibit 4, mechanism 5). Whether LRU-1169 gives EUz a comparable power is counsel's first question (row 1).</w:t>
      </w:r>
    </w:p>
    <w:p>
      <w:pPr>
        <w:pStyle w:val="Heading2"/>
      </w:pPr>
      <w:r>
        <w:rPr>
          <w:rFonts w:ascii="Calibri" w:hAnsi="Calibri" w:eastAsia="Calibri"/>
        </w:rPr>
        <w:t>5.7 Admission criteria and safeguards: admit only tests naming a specific regulatory barrier, with caps, disclosure and stop-loss in every decision</w:t>
      </w:r>
    </w:p>
    <w:p>
      <w:pPr>
        <w:spacing w:before="0" w:after="80" w:line="259" w:lineRule="auto"/>
      </w:pPr>
      <w:r>
        <w:rPr>
          <w:rFonts w:ascii="Calibri" w:hAnsi="Calibri" w:eastAsia="Calibri"/>
          <w:sz w:val="18"/>
        </w:rPr>
        <w:t>The Secretariat assesses and the Committee decides against these criteria. Recommended for the Sandbox Rules (not a reported feature of the law), they form the safeguards, liability and integrity baseline proposed for Decision D5.</w:t>
      </w:r>
    </w:p>
    <w:p>
      <w:pPr>
        <w:pStyle w:val="ExhibitTitle"/>
      </w:pPr>
      <w:r>
        <w:rPr>
          <w:rFonts w:ascii="Calibri" w:hAnsi="Calibri" w:eastAsia="Calibri"/>
        </w:rPr>
        <w:t>Exhibit 14. Admission criteria and standard safeguards</w:t>
      </w:r>
    </w:p>
    <w:tbl>
      <w:tblPr>
        <w:tblW w:w="9639" w:type="dxa"/>
        <w:jc w:val="center"/>
        <w:tblLayout w:type="fixed"/>
        <w:tblLook w:firstColumn="1" w:firstRow="1" w:lastColumn="0" w:lastRow="0" w:noHBand="0" w:noVBand="1" w:val="04A0"/>
      </w:tblPr>
      <w:tblGrid>
        <w:gridCol w:w="1587"/>
        <w:gridCol w:w="4989"/>
        <w:gridCol w:w="3061"/>
      </w:tblGrid>
      <w:tr>
        <w:trPr>
          <w:cantSplit/>
          <w:tblHeader/>
        </w:trPr>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Element</w:t>
            </w:r>
          </w:p>
        </w:tc>
        <w:tc>
          <w:tcPr>
            <w:tcW w:type="dxa" w:w="4989"/>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Standard</w:t>
            </w:r>
          </w:p>
        </w:tc>
        <w:tc>
          <w:tcPr>
            <w:tcW w:type="dxa" w:w="30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Why (evidence or reasoning)</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Genuine innovation</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Technology or business model new to Uzbekistan or materially improving on what exists</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Sandbox Plus had no approvals because most applications used technology already in Singapore (R) [S7]</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Need for testing</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 specific regulatory uncertainty or barrier is identified; otherwise redirect to the Guidance Track</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Ofgem window 1: 22 of 30 identified no specific barrier (R) [S6]; MAS turned away some applicants whose models existing rules already allowed (R) [S7]</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User or economic benefit</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Plausible benefit to users, trade or the data economy</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The UK evidence covers funding, not consumer outcomes [S2]</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Readiness</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Working prototype, governance, security basics and resources to complete the test and meet exit conditions</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DFSA exits depend on meeting full authorisation requirements [S14]</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Priority fit</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Within EUz's emerging-technology mandate</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Scope reported in [S27]</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Integrity screening</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Identity of the applicant, beneficial owners and directors verified. Sanctions screening at application, admission and any change of control, against lists counsel confirms as binding in Uzbekistan and any the Council adopts as policy. The applicant declares any regulatory refusal or enforcement action in any jurisdiction. Confirmed integrity concern: decline</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Admission signals scrutiny (card 3.1) (A)</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Caps</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Maximum clients, transaction value or volume, territory and term set in the decision</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EUz working-file admission model (W) [S31]</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Disclosure and redress</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Standard user notice: service under test in the EUz Sandbox within set limits; admission is not an endorsement or a licence; complaints to the participant first, then the Secretariat. The participant alone is liable to users and indemnifies EUz; before live testing it shows insurance, a guarantee or ring-fenced funds sufficient to compensate users up to the caps (form and amount set at test design by the risk, cyber and integrity lead). No EUz-funded compensation pool</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FCA: consumer safeguards agreed case by case; no-enforcement-action letters do not limit liability to consumers [S1] (A)</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Wind-down plan</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How users are served, refunded or transferred if the test stops early or the participant fails; approved at test design</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Australia: 12 of 16 exiting firms shut down (S) [S24]; Exhibit 3a (A)</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Stop-loss and incidents</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Pre-agreed triggers; incident reporting to the Secretariat within two working days (planning assumption)</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Risk control in live tests (A)</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Data and cyber</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Data-handling plan naming the controller and processor of each dataset (participant, EUz platform, outsourced operator). Roster-expert review of a data-protection impact assessment before any live personal data; synthetic or de-identified data first; expert security review. Breaches reported under the incident rule and to the competent authority as the law requires. Data deleted or returned within 30 WD of exit (planning assumption), with a certificate. Participant information used only for supervision and evaluation; shared with a national regulator only if the mapping memo names it (under MoU confidentiality); published only anonymised, after participant review</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FCA Digital Sandbox model [S4]; personal-data law not yet reviewed (A)</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Financial-crime controls in tests</w:t>
            </w:r>
          </w:p>
        </w:tc>
        <w:tc>
          <w:tcPr>
            <w:tcW w:type="dxa" w:w="4989"/>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Tests moving money, value, digital assets or title documents run through an entity already subject to AML/CFT obligations, or with the competent authority's written consent. Every mapping memo lists AML/CFT, sanctions and reporting duties as non-waivable. AI compliance tools supplement, never replace, the legally required controls and the human decision; an AI output cannot clear a sanctions match</w:t>
            </w:r>
          </w:p>
        </w:tc>
        <w:tc>
          <w:tcPr>
            <w:tcW w:type="dxa" w:w="30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Makes the non-waivable presumption operational; a control is not tested by removing it (A)</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Non-waivable core</w:t>
            </w:r>
          </w:p>
        </w:tc>
        <w:tc>
          <w:tcPr>
            <w:tcW w:type="dxa" w:w="4989"/>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 short list set with counsel and each regulator. Presumption: sanctions and financial-crime duties, core personal-data protections and safety-critical requirements are not waived</w:t>
            </w:r>
          </w:p>
        </w:tc>
        <w:tc>
          <w:tcPr>
            <w:tcW w:type="dxa" w:w="30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Recommendation (A); to be confirmed against the official texts</w:t>
            </w:r>
          </w:p>
        </w:tc>
      </w:tr>
    </w:tbl>
    <w:p>
      <w:pPr>
        <w:spacing w:before="0" w:after="40" w:line="144" w:lineRule="auto"/>
      </w:pPr>
    </w:p>
    <w:p>
      <w:pPr>
        <w:spacing w:before="40" w:after="160" w:line="240" w:lineRule="auto"/>
      </w:pPr>
      <w:r>
        <w:rPr>
          <w:rFonts w:ascii="Calibri" w:hAnsi="Calibri" w:eastAsia="Calibri"/>
          <w:color w:val="6B6E70"/>
          <w:sz w:val="15"/>
        </w:rPr>
        <w:t>Standard test agreement (minimum clauses): these safeguards, including scope and caps, participant liability and indemnity, capacity to compensate, user disclosure, complaints, wind-down plan, information sharing with the regulators named in the mapping memo, and data handling and deletion at exit; plus reporting and outcome data; IP and publication; suspension and termination; governing law and forum; no entitlement to a licence or to launch.</w:t>
      </w:r>
    </w:p>
    <w:p>
      <w:pPr>
        <w:pStyle w:val="Heading2"/>
      </w:pPr>
      <w:r>
        <w:rPr>
          <w:rFonts w:ascii="Calibri" w:hAnsi="Calibri" w:eastAsia="Calibri"/>
        </w:rPr>
        <w:t>5.8 How regulators, experts and companies interact: regulator consent is secured before approval, not after</w:t>
      </w:r>
    </w:p>
    <w:p>
      <w:pPr>
        <w:pStyle w:val="ExhibitTitle"/>
      </w:pPr>
      <w:r>
        <w:rPr>
          <w:rFonts w:ascii="Calibri" w:hAnsi="Calibri" w:eastAsia="Calibri"/>
        </w:rPr>
        <w:t>Exhibit 15. Engagement protocol across the participant lifecycle</w:t>
      </w:r>
    </w:p>
    <w:tbl>
      <w:tblPr>
        <w:tblW w:w="9639" w:type="dxa"/>
        <w:jc w:val="center"/>
        <w:tblLayout w:type="fixed"/>
        <w:tblLook w:firstColumn="1" w:firstRow="1" w:lastColumn="0" w:lastRow="0" w:noHBand="0" w:noVBand="1" w:val="04A0"/>
      </w:tblPr>
      <w:tblGrid>
        <w:gridCol w:w="1701"/>
        <w:gridCol w:w="2835"/>
        <w:gridCol w:w="2268"/>
        <w:gridCol w:w="2835"/>
      </w:tblGrid>
      <w:tr>
        <w:trPr>
          <w:cantSplit/>
          <w:tblHeader/>
        </w:trPr>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Moment</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Regulators</w:t>
            </w:r>
          </w:p>
        </w:tc>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Independent experts</w:t>
            </w:r>
          </w:p>
        </w:tc>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Technology company</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Before application</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Publish contact points and what they would and would not consent to; co-signor comment on Guidance positions touching their requirements</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None</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Uses the Guidance Track, readiness checklist and a case manager</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Regulatory mapping (stage 3)</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Confirm which requirements are theirs and whether they would consent; written reply within the MoU period</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Advise on technical risk classification</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Supplies product and data-flow descriptions</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Test design (stage 4)</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Agree conditions in their remit; may attend as observer</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Review AI, cyber and privacy risk; propose test protocols</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Co-designs scope, KPIs, exit evidence and the wind-down plan</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Approval (stage 5)</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Non-voting Committee seat for their matters (consent rules below)</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Two voting Committee seats (recusal: Section 5.1)</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Presents; accepts conditions in writing</w:t>
            </w:r>
          </w:p>
        </w:tc>
      </w:tr>
      <w:tr>
        <w:trPr>
          <w:cantSplit/>
        </w:trPr>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Testing and monitoring (6–7)</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Receive incident notices in their remit; quarterly regulator forum</w:t>
            </w:r>
          </w:p>
        </w:tc>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 call for incidents</w:t>
            </w:r>
          </w:p>
        </w:tc>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Reports monthly; incidents under the incident rule (Exhibit 14)</w:t>
            </w:r>
          </w:p>
        </w:tc>
      </w:tr>
      <w:tr>
        <w:trPr>
          <w:cantSplit/>
        </w:trPr>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Evaluation and exit (8–9)</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Confirm exit route in their remit; co-sign insights where relevant</w:t>
            </w:r>
          </w:p>
        </w:tc>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Review evaluation findings</w:t>
            </w:r>
          </w:p>
        </w:tc>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Provides outcome data (funding, licence status, survival) until 24 months after admission</w:t>
            </w:r>
          </w:p>
        </w:tc>
      </w:tr>
    </w:tbl>
    <w:p>
      <w:pPr>
        <w:spacing w:before="0" w:after="40" w:line="144" w:lineRule="auto"/>
      </w:pPr>
    </w:p>
    <w:p>
      <w:pPr>
        <w:spacing w:before="0" w:after="80" w:line="259" w:lineRule="auto"/>
      </w:pPr>
      <w:r>
        <w:rPr>
          <w:rFonts w:ascii="Calibri" w:hAnsi="Calibri" w:eastAsia="Calibri"/>
          <w:sz w:val="18"/>
        </w:rPr>
        <w:t>The quarterly regulator forum (Exhibit 7a) reviews live cases, consent turnaround (KPI 15) and rule-change proposals. The European Blockchain Sandbox reports more than 50 regulators and authorities in its first cohort (R) [S17]; EUz should aim at a much smaller, named group.</w:t>
      </w:r>
    </w:p>
    <w:p>
      <w:pPr>
        <w:pStyle w:val="Heading3"/>
      </w:pPr>
      <w:r>
        <w:rPr>
          <w:rFonts w:ascii="Calibri" w:hAnsi="Calibri" w:eastAsia="Calibri"/>
        </w:rPr>
        <w:t>When a national regulator refuses, delays or withdraws consent</w:t>
      </w:r>
    </w:p>
    <w:p>
      <w:pPr>
        <w:spacing w:before="0" w:after="40" w:line="259" w:lineRule="auto"/>
      </w:pPr>
      <w:r>
        <w:rPr>
          <w:rFonts w:ascii="Calibri" w:hAnsi="Calibri" w:eastAsia="Calibri"/>
          <w:sz w:val="18"/>
        </w:rPr>
        <w:t>Three rules complete the consent and referral policy proposed for Decision D12 (referral rules: Section 5.1).</w:t>
      </w:r>
    </w:p>
    <w:p>
      <w:pPr>
        <w:numPr>
          <w:ilvl w:val="0"/>
          <w:numId w:val="90"/>
        </w:numPr>
        <w:spacing w:before="0" w:after="40" w:line="259" w:lineRule="auto"/>
      </w:pPr>
      <w:r>
        <w:rPr>
          <w:rFonts w:ascii="Calibri" w:hAnsi="Calibri" w:eastAsia="Calibri"/>
          <w:b/>
          <w:sz w:val="18"/>
        </w:rPr>
        <w:t>No deemed consent.</w:t>
      </w:r>
      <w:r>
        <w:rPr>
          <w:rFonts w:ascii="Calibri" w:hAnsi="Calibri" w:eastAsia="Calibri"/>
          <w:sz w:val="18"/>
        </w:rPr>
        <w:t xml:space="preserve"> Silence is never consent, even where an MoU sets a reply period.</w:t>
      </w:r>
    </w:p>
    <w:p>
      <w:pPr>
        <w:numPr>
          <w:ilvl w:val="0"/>
          <w:numId w:val="90"/>
        </w:numPr>
        <w:spacing w:before="0" w:after="40" w:line="259" w:lineRule="auto"/>
      </w:pPr>
      <w:r>
        <w:rPr>
          <w:rFonts w:ascii="Calibri" w:hAnsi="Calibri" w:eastAsia="Calibri"/>
          <w:b/>
          <w:sz w:val="18"/>
        </w:rPr>
        <w:t>Consent before the regulated element.</w:t>
      </w:r>
      <w:r>
        <w:rPr>
          <w:rFonts w:ascii="Calibri" w:hAnsi="Calibri" w:eastAsia="Calibri"/>
          <w:sz w:val="18"/>
        </w:rPr>
        <w:t xml:space="preserve"> No test element that needs a regulator's consent is admitted or started until written consent is on file. Other elements may proceed only if the test plan still makes sense without the regulated element.</w:t>
      </w:r>
    </w:p>
    <w:p>
      <w:pPr>
        <w:numPr>
          <w:ilvl w:val="0"/>
          <w:numId w:val="90"/>
        </w:numPr>
        <w:spacing w:before="0" w:after="40" w:line="259" w:lineRule="auto"/>
      </w:pPr>
      <w:r>
        <w:rPr>
          <w:rFonts w:ascii="Calibri" w:hAnsi="Calibri" w:eastAsia="Calibri"/>
          <w:b/>
          <w:sz w:val="18"/>
        </w:rPr>
        <w:t>No appeal inside EUz against a regulator.</w:t>
      </w:r>
      <w:r>
        <w:rPr>
          <w:rFonts w:ascii="Calibri" w:hAnsi="Calibri" w:eastAsia="Calibri"/>
          <w:sz w:val="18"/>
        </w:rPr>
        <w:t xml:space="preserve"> The applicant uses that regulator's own procedures; recurring refusals may be raised with national bodies as rule-change proposals.</w:t>
      </w:r>
    </w:p>
    <w:p>
      <w:pPr>
        <w:pStyle w:val="ExhibitTitle"/>
      </w:pPr>
      <w:r>
        <w:rPr>
          <w:rFonts w:ascii="Calibri" w:hAnsi="Calibri" w:eastAsia="Calibri"/>
        </w:rPr>
        <w:t>Exhibit 15a. Consent outcomes and EUz response</w:t>
      </w:r>
    </w:p>
    <w:tbl>
      <w:tblPr>
        <w:tblW w:w="9639" w:type="dxa"/>
        <w:jc w:val="center"/>
        <w:tblLayout w:type="fixed"/>
        <w:tblLook w:firstColumn="1" w:firstRow="1" w:lastColumn="0" w:lastRow="0" w:noHBand="0" w:noVBand="1" w:val="04A0"/>
      </w:tblPr>
      <w:tblGrid>
        <w:gridCol w:w="1871"/>
        <w:gridCol w:w="4195"/>
        <w:gridCol w:w="1701"/>
        <w:gridCol w:w="1871"/>
      </w:tblGrid>
      <w:tr>
        <w:trPr>
          <w:cantSplit/>
          <w:tblHeader/>
        </w:trPr>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Situation</w:t>
            </w:r>
          </w:p>
        </w:tc>
        <w:tc>
          <w:tcPr>
            <w:tcW w:type="dxa" w:w="419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EUz response</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Who acts</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Applicant receives</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Written consent, with or without conditions</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Recorded in the mapping memo; conditions copied word for word into the test plan; the Committee may add conditions but not relax them</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Regulatory counsel; Committee</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Notice of next step; conditions in the decision</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Refusal, or the regulator says its own regime is the right route</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Within 5 WD (planning assumption), a written offer of: re-scoping to remove the regulated element; a Guidance Track position on EUz matters; referral to the regulator's own regime (e.g. the Central Bank's or NAPP's sandbox) under the referral rules (Section 5.1); or closure. Reason recorded, with the regulator's agreement, for the Regulatory Insights Report</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Sandbox head</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Options letter</w:t>
            </w:r>
          </w:p>
        </w:tc>
      </w:tr>
      <w:tr>
        <w:trPr>
          <w:cantSplit/>
        </w:trPr>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No reply within the MoU period</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Three-step escalation: case manager to the regulator's named contact; Sandbox head by letter or at the quarterly forum; Executive Director to the regulator's head. Case paused or closed, as the applicant chooses</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head; Executive Director</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Status notice at each step</w:t>
            </w:r>
          </w:p>
        </w:tc>
      </w:tr>
      <w:tr>
        <w:trPr>
          <w:cantSplit/>
        </w:trPr>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Consent withdrawn, or the regulator requires a stop during testing</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The regulated element stops at once or as the regulator directs; the wind-down plan applies; the Committee confirms within 2 WD (planning assumption)</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Committee Chair; risk, cyber and integrity lead</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Suspension notice with reasons</w:t>
            </w:r>
          </w:p>
        </w:tc>
      </w:tr>
    </w:tbl>
    <w:p>
      <w:pPr>
        <w:spacing w:before="0" w:after="40" w:line="144" w:lineRule="auto"/>
      </w:pPr>
    </w:p>
    <w:p>
      <w:pPr>
        <w:spacing w:before="40" w:after="160" w:line="240" w:lineRule="auto"/>
      </w:pPr>
      <w:r>
        <w:rPr>
          <w:rFonts w:ascii="Calibri" w:hAnsi="Calibri" w:eastAsia="Calibri"/>
          <w:color w:val="6B6E70"/>
          <w:sz w:val="15"/>
        </w:rPr>
        <w:t>The clock-stop rule (Exhibit 8 note) applies throughout. Each consent protocol or MoU covers at minimum: named contact point; requirements administered; reply period; form of consent (written, conditional, time-limited); confidentiality and information sharing; incident notices in its remit; right to require a stop; withdrawal procedure; annual review.</w:t>
      </w:r>
    </w:p>
    <w:p>
      <w:pPr>
        <w:pStyle w:val="Heading2"/>
      </w:pPr>
      <w:r>
        <w:rPr>
          <w:rFonts w:ascii="Calibri" w:hAnsi="Calibri" w:eastAsia="Calibri"/>
        </w:rPr>
        <w:t>5.9 Launch sequence: guidance at launch, live testing from month 6, everything else on evidence</w:t>
      </w:r>
    </w:p>
    <w:p>
      <w:pPr>
        <w:spacing w:before="0" w:after="80" w:line="259" w:lineRule="auto"/>
      </w:pPr>
      <w:r>
        <w:rPr>
          <w:rFonts w:ascii="Calibri" w:hAnsi="Calibri" w:eastAsia="Calibri"/>
          <w:b/>
          <w:sz w:val="18"/>
        </w:rPr>
        <w:t>What is open at launch (executive question 10).</w:t>
      </w:r>
      <w:r>
        <w:rPr>
          <w:rFonts w:ascii="Calibri" w:hAnsi="Calibri" w:eastAsia="Calibri"/>
          <w:sz w:val="18"/>
        </w:rPr>
        <w:t xml:space="preserve"> Launch Day (about month 3): Guidance Track intake and the intake platform; service standards published; draft Sandbox Rules out for comment. Month 4: Rules adopted; Full Sandbox call. Month 6: first admissions; synthetic-data test environment for P1 and P3. Full sequence: Exhibit 16.</w:t>
      </w:r>
    </w:p>
    <w:p>
      <w:pPr>
        <w:spacing w:before="0" w:after="80" w:line="259" w:lineRule="auto"/>
      </w:pPr>
      <w:r>
        <w:rPr>
          <w:rFonts w:ascii="Calibri" w:hAnsi="Calibri" w:eastAsia="Calibri"/>
          <w:b/>
          <w:sz w:val="18"/>
        </w:rPr>
        <w:t>Gate before the first admission.</w:t>
      </w:r>
      <w:r>
        <w:rPr>
          <w:rFonts w:ascii="Calibri" w:hAnsi="Calibri" w:eastAsia="Calibri"/>
          <w:sz w:val="18"/>
        </w:rPr>
        <w:t xml:space="preserve"> Unless counsel confirms another legal basis, EUz admits no participant, grants no exemption and signs no test agreement until the Constitutional Law is in force and the Sandbox Rules are adopted; earlier pre-application dialogues are labelled as having no legal effect. Before the first Full Sandbox admission, the Executive Director certifies to the Council that counsel's opinion on delegation and exemption scope is issued; the Committee is appointed, with alternates named and conflict declarations filed; the test-agreement template and the incident and stop-loss rule are adopted; the consent protocol is agreed with each authority whose consent the first cases need; the case register is live with an audit trail; and the Sandbox head (or acting head), a case manager and regulatory counsel are in post.</w:t>
      </w:r>
    </w:p>
    <w:p>
      <w:pPr>
        <w:pStyle w:val="ExhibitTitle"/>
      </w:pPr>
      <w:r>
        <w:rPr>
          <w:rFonts w:ascii="Calibri" w:hAnsi="Calibri" w:eastAsia="Calibri"/>
        </w:rPr>
        <w:t>Exhibit 16. Capabilities at launch and later additions</w:t>
      </w:r>
    </w:p>
    <w:tbl>
      <w:tblPr>
        <w:tblW w:w="9639" w:type="dxa"/>
        <w:jc w:val="center"/>
        <w:tblLayout w:type="fixed"/>
        <w:tblLook w:firstColumn="1" w:firstRow="1" w:lastColumn="0" w:lastRow="0" w:noHBand="0" w:noVBand="1" w:val="04A0"/>
      </w:tblPr>
      <w:tblGrid>
        <w:gridCol w:w="2608"/>
        <w:gridCol w:w="1814"/>
        <w:gridCol w:w="1701"/>
        <w:gridCol w:w="1871"/>
        <w:gridCol w:w="1644"/>
      </w:tblGrid>
      <w:tr>
        <w:trPr>
          <w:cantSplit/>
          <w:tblHeader/>
        </w:trPr>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Capability</w:t>
            </w:r>
          </w:p>
        </w:tc>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Launch Day (about M3)</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After month 6</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After month 12</w:t>
            </w:r>
          </w:p>
        </w:tc>
        <w:tc>
          <w:tcPr>
            <w:tcW w:type="dxa" w:w="164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Basis</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Guidance Track with published positions</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ICO, Ofgem [S5][S6]</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Full Sandbox, capped at three to four pilots (Exhibit 10)</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Call after Rules adopted (M4); first admissions M6</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Throughput evidence, Chapter 2</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Sandbox Committee with independent experts</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Appointed (D2); effective when the Rules are adopted</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Section 5.1</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Regulatory mapping memo and consent protocol</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Protocol agreed with at least two authorities</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GFIN pilot [S15]; Section 5.8</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Digital platform and test environment (Exhibit 16a)</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Intake platform: form, case file, decision log</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environment live for P1 and P3 (M6)</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Extend to more domains</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Operational need for journey stages 1–5 (A)</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Published service standards and quarterly attainment</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Standards published</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Attainment reported</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no Express attainment data found [S8]</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Outcome tracking at 12 and 24 months after admission</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Clauses in test agreements</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Baselines recorded at admission</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Exit data from the year-2 annual report; first 12-month survey about M18</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BIS evidence [S2]</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Express Track</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Standard conditions drafted (M9-M12)</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Pilot, two categories (from about M13-M14); extend if attainment met</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MAS Sandbox Express [S8]</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Regulation Prototyping Track</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Pilot (from about M13-M14)</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Exhibit 10</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Investor and demo events</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Yes</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Annual programme</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 direct evidence for demo events (A)</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Cross-border pilots and recognition</w:t>
            </w:r>
          </w:p>
        </w:tc>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MoU discussions only</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MoU discussions</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Year 2, if the Section 8.3 trigger is met</w:t>
            </w:r>
          </w:p>
        </w:tc>
        <w:tc>
          <w:tcPr>
            <w:tcW w:type="dxa" w:w="164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GFIN pilot [S15]</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Standing expert panel and advanced testing infrastructure</w:t>
            </w:r>
          </w:p>
        </w:tc>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On evidence of demand (Section 8.3)</w:t>
            </w:r>
          </w:p>
        </w:tc>
        <w:tc>
          <w:tcPr>
            <w:tcW w:type="dxa" w:w="164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Long-term (Section 8.3)</w:t>
            </w:r>
          </w:p>
        </w:tc>
      </w:tr>
    </w:tbl>
    <w:p>
      <w:pPr>
        <w:spacing w:before="0" w:after="40" w:line="144" w:lineRule="auto"/>
      </w:pPr>
    </w:p>
    <w:p>
      <w:pPr>
        <w:pStyle w:val="ExhibitTitle"/>
      </w:pPr>
      <w:r>
        <w:rPr>
          <w:rFonts w:ascii="Calibri" w:hAnsi="Calibri" w:eastAsia="Calibri"/>
        </w:rPr>
        <w:t>Exhibit 16a. Digital platform minimum requirements (planning assumption, A)</w:t>
      </w:r>
    </w:p>
    <w:tbl>
      <w:tblPr>
        <w:tblW w:w="9639" w:type="dxa"/>
        <w:jc w:val="center"/>
        <w:tblLayout w:type="fixed"/>
        <w:tblLook w:firstColumn="1" w:firstRow="1" w:lastColumn="0" w:lastRow="0" w:noHBand="0" w:noVBand="1" w:val="04A0"/>
      </w:tblPr>
      <w:tblGrid>
        <w:gridCol w:w="2041"/>
        <w:gridCol w:w="5443"/>
        <w:gridCol w:w="2154"/>
      </w:tblGrid>
      <w:tr>
        <w:trPr>
          <w:cantSplit/>
          <w:tblHeader/>
        </w:trPr>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Requirement</w:t>
            </w:r>
          </w:p>
        </w:tc>
        <w:tc>
          <w:tcPr>
            <w:tcW w:type="dxa" w:w="5443"/>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What it must do</w:t>
            </w:r>
          </w:p>
        </w:tc>
        <w:tc>
          <w:tcPr>
            <w:tcW w:type="dxa" w:w="215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Needed by</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Intake and case file</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Online intake form; document upload; completeness check; case file and number</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Launch Day (about M3)</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Decision log and clock</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Decision log with reasons; service-standard timestamps feeding KPIs 1–2; clock with stop reasons (consent pending, awaiting applicant, referral)</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Launch Day</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Rule library and consent tracker</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Stage-3 rule library; consent requests and replies by authority (KPI 15)</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M4-M6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Test environment</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Isolated tenancy per participant; synthetic datasets for the P1 and P3 domains; API gateway; logging</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M6 (first admissions)</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Monitoring</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Dashboard with cap-breach alerts; incident form</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Outcomes and reporting</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Outcome capture and follow-up surveys; register interface; cross-pilot reporting for the annual report</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M12</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Data location</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Hosting as confirmed by counsel (Exhibit 13)</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Tender specification (D7)</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Access control</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Role-based access, segregated by case and participant; regulators see only cases in their remit</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Launch Day</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Audit trail</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Tamper-evident log of documents, decisions, clock events and data access</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Launch Day</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Encryption and segregation</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Encryption in transit and at rest; separate test-environment tenancy per participant</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M6</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Vendor role</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Vendors and outsourced operators are processors only, with no right to use participant data or IP</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Tender specification (D7)</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Portability and exit</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Export in open formats; vendor-exit clause</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Tender specification (D7)</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Security testing</w:t>
            </w:r>
          </w:p>
        </w:tc>
        <w:tc>
          <w:tcPr>
            <w:tcW w:type="dxa" w:w="544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Independent security test before the first live or personal data</w:t>
            </w:r>
          </w:p>
        </w:tc>
        <w:tc>
          <w:tcPr>
            <w:tcW w:type="dxa" w:w="21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Before the first live data</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Retention and deletion</w:t>
            </w:r>
          </w:p>
        </w:tc>
        <w:tc>
          <w:tcPr>
            <w:tcW w:type="dxa" w:w="544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Deletion or return schedule as in Exhibit 14</w:t>
            </w:r>
          </w:p>
        </w:tc>
        <w:tc>
          <w:tcPr>
            <w:tcW w:type="dxa" w:w="21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M6</w:t>
            </w:r>
          </w:p>
        </w:tc>
      </w:tr>
    </w:tbl>
    <w:p>
      <w:pPr>
        <w:spacing w:before="0" w:after="40" w:line="144" w:lineRule="auto"/>
      </w:pPr>
    </w:p>
    <w:p>
      <w:pPr>
        <w:spacing w:before="40" w:after="160" w:line="240" w:lineRule="auto"/>
      </w:pPr>
      <w:r>
        <w:rPr>
          <w:rFonts w:ascii="Calibri" w:hAnsi="Calibri" w:eastAsia="Calibri"/>
          <w:color w:val="6B6E70"/>
          <w:sz w:val="15"/>
        </w:rPr>
        <w:t>Rows 1–6 are functional (journey stages, Exhibit 9); the rest are non-functional and cover both the case layer and the test environment. The Guidance Track needs only the case layer, so it can open on Launch Day before the test environment exists. Action 9 (90-day plan) puts all these requirements into the D7 tender specification. Because that specification is due only at Day 60, the Launch Day rows (intake and case file, decision log and clock, access control, audit trail) run on an interim EUz-controlled system designated by the Executive Director under D7 until the tendered platform replaces it.</w:t>
      </w:r>
    </w:p>
    <w:p>
      <w:pPr>
        <w:pStyle w:val="Heading2"/>
      </w:pPr>
      <w:r>
        <w:rPr>
          <w:rFonts w:ascii="Calibri" w:hAnsi="Calibri" w:eastAsia="Calibri"/>
        </w:rPr>
        <w:t>5.10 Risk assessment: an unconfirmed legal basis and withheld regulator consent are the two high exposures</w:t>
      </w:r>
    </w:p>
    <w:p>
      <w:pPr>
        <w:pStyle w:val="ExhibitTitle"/>
      </w:pPr>
      <w:r>
        <w:rPr>
          <w:rFonts w:ascii="Calibri" w:hAnsi="Calibri" w:eastAsia="Calibri"/>
        </w:rPr>
        <w:t>Exhibit 17. Principal risks (qualitative analyst judgement, not scored)</w:t>
      </w:r>
    </w:p>
    <w:tbl>
      <w:tblPr>
        <w:tblW w:w="9639" w:type="dxa"/>
        <w:jc w:val="center"/>
        <w:tblLayout w:type="fixed"/>
        <w:tblLook w:firstColumn="1" w:firstRow="1" w:lastColumn="0" w:lastRow="0" w:noHBand="0" w:noVBand="1" w:val="04A0"/>
      </w:tblPr>
      <w:tblGrid>
        <w:gridCol w:w="1927"/>
        <w:gridCol w:w="2494"/>
        <w:gridCol w:w="2494"/>
        <w:gridCol w:w="1474"/>
        <w:gridCol w:w="1247"/>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Risk</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Mitigation</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Owner</w:t>
            </w:r>
          </w:p>
        </w:tc>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Exposure</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Legal basis narrower than assumed</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Official texts not yet reviewed; entry into force reported by one outlet [S27]</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Verification sprint; counsel's opinion before rules; fallbacks in Exhibit 13</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General Counsel</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National regulators do not consent</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GFIN pilot: none of 8 shortlisted firms had begun testing (R) [S15]</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 deemed consent; options letter on refusal; three-step escalation (Exhibit 15a); consent turnaround reported by authority (KPI 15)</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Sandbox head</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Low or mismatched demand</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MAS Sandbox Plus: no approvals [S7]; Korea ICT applications fell from 110 to 67 over two years (S) [S23]</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Demand interviews; two tracks first</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Business development</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Harm to users or data in live tests</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Live tests carry real risk (A)</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Caps; stop-loss; expert review; incident rule; participant liability and wind-down plan (Exhibit 14)</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Risk, cyber and integrity lead</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Financial crime or sanctions exposure through a test</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Tests may move money, value or title documents (A)</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Integrity screening; AML/CFT and sanctions duties non-waivable; regulated entity or written consent (Exhibit 14)</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Risk, cyber and integrity lead</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Capacity overload</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ICO: high staff effort per case [S5]</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Triage to the Guidance Track; cap intake; hours recorded per case (Exhibit 7a)</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Sandbox head</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Weak selection weakens the signal</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The UK funding effect is attributed partly to reduced information asymmetry (I) [S2]</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Published criteria and reasons</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Committee</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Conflict between promoting the jurisdiction and selecting participants</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EUz both attracts and admits companies (A); the TradeTech platform vendor had a commercial interest (P) [S32]</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Conflict-of-interest rules (Section 5.1); published criteria and reasons</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Sandbox head</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Dependence on a single partner</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WEF programme outcomes are convener-reported (Chapter 6)</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Define deliverables; keep decisions internal; no EUz milestone depends on WEF (Exhibit 19a)</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International affairs</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r>
    </w:tbl>
    <w:p>
      <w:pPr>
        <w:spacing w:before="0" w:after="40" w:line="144" w:lineRule="auto"/>
      </w:pPr>
    </w:p>
    <w:p>
      <w:pPr>
        <w:pStyle w:val="Heading1"/>
        <w:pageBreakBefore/>
        <w:pBdr>
          <w:bottom w:val="single" w:sz="12" w:space="3" w:color="009162"/>
        </w:pBdr>
      </w:pPr>
      <w:r>
        <w:rPr>
          <w:rFonts w:ascii="Calibri" w:hAnsi="Calibri" w:eastAsia="Calibri"/>
        </w:rPr>
        <w:t>6. WEF partnership assessment: a documented convener, best used to convene peer review and multi-authority pilots, not as design owner</w:t>
      </w:r>
    </w:p>
    <w:p>
      <w:pPr>
        <w:spacing w:before="0" w:after="80" w:line="259" w:lineRule="auto"/>
      </w:pPr>
      <w:r>
        <w:rPr>
          <w:rFonts w:ascii="Calibri" w:hAnsi="Calibri" w:eastAsia="Calibri"/>
          <w:sz w:val="18"/>
        </w:rPr>
        <w:t>Research note: WEF facts come from search summaries of WEF, UAE government and vendor pages, not full texts. Outcomes are convener-reported (P); no independent evaluation of a WEF regulatory programme was found.</w:t>
      </w:r>
    </w:p>
    <w:p>
      <w:pPr>
        <w:pStyle w:val="ExhibitTitle"/>
      </w:pPr>
      <w:r>
        <w:rPr>
          <w:rFonts w:ascii="Calibri" w:hAnsi="Calibri" w:eastAsia="Calibri"/>
        </w:rPr>
        <w:t>Exhibit 18. What WEF has delivered: the documented record</w:t>
      </w:r>
    </w:p>
    <w:tbl>
      <w:tblPr>
        <w:tblW w:w="9639" w:type="dxa"/>
        <w:jc w:val="center"/>
        <w:tblLayout w:type="fixed"/>
        <w:tblLook w:firstColumn="1" w:firstRow="1" w:lastColumn="0" w:lastRow="0" w:noHBand="0" w:noVBand="1" w:val="04A0"/>
      </w:tblPr>
      <w:tblGrid>
        <w:gridCol w:w="1927"/>
        <w:gridCol w:w="1701"/>
        <w:gridCol w:w="1871"/>
        <w:gridCol w:w="2948"/>
        <w:gridCol w:w="1190"/>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Programme</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Dates</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WEF's role</w:t>
            </w:r>
          </w:p>
        </w:tc>
        <w:tc>
          <w:tcPr>
            <w:tcW w:type="dxa" w:w="294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Documented output</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 type</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UAE TradeTech Regulatory Sandbox</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MoU announced at Davos, Jan 2024; WEF report Oct 2025</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Convener and publisher; start-ups tested solutions with UAE regulators (WEF-reported, P); vendor-supplied platform (vendor-reported)</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8 start-ups; 4 UAE regulators cited by WEF (see note); themes: digital trade documents, self-sovereign identity, stablecoin payments, decentralised-finance (DeFi) lending [S10][S11][S32]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 (convener); no per-participant outcomes found</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Global Regulatory Innovation Platform (GRIP)</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Partnership signed 23 Jan 2025; launched Jul 2025</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Platform with the UAE Government (reportedly the Cabinet General Secretariat)</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Three outputs planned over two years: playbook, readiness index, innovation hub (T). No published output, member list or fee model found as at Oct 2026 [S12]</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Rwanda drone regulation; India drone toolkit</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From 2017; Jan 2019</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Partnership and open-source guide</w:t>
            </w:r>
          </w:p>
        </w:tc>
        <w:tc>
          <w:tcPr>
            <w:tcW w:type="dxa" w:w="294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Performance-based drone regulation in Rwanda; toolkit with an Andhra Pradesh pilot (WEF-reported) [S12]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Centre for the Fourth Industrial Revolution network</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Impact report 2023–24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Network</w:t>
            </w:r>
          </w:p>
        </w:tc>
        <w:tc>
          <w:tcPr>
            <w:tcW w:type="dxa" w:w="294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Published; not reviewed for this assessment</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 assessed</w:t>
            </w:r>
          </w:p>
        </w:tc>
      </w:tr>
    </w:tbl>
    <w:p>
      <w:pPr>
        <w:spacing w:before="0" w:after="40" w:line="144" w:lineRule="auto"/>
      </w:pPr>
    </w:p>
    <w:p>
      <w:pPr>
        <w:spacing w:before="40" w:after="160" w:line="240" w:lineRule="auto"/>
      </w:pPr>
      <w:r>
        <w:rPr>
          <w:rFonts w:ascii="Calibri" w:hAnsi="Calibri" w:eastAsia="Calibri"/>
          <w:color w:val="6B6E70"/>
          <w:sz w:val="15"/>
        </w:rPr>
        <w:t>TradeTech MoU partners are reported as WEF, the UAE federal ministry responsible for foreign trade and the Abu Dhabi Department of Economic Development [S10]. No source reached names the four UAE regulators WEF cites, and a 2026 WEF report reportedly links five UAE bodies to the sandbox, so none is named here. GRIP's announced two-year horizon has not ended, so the lack of output so far does not show that none will follow.</w:t>
      </w:r>
    </w:p>
    <w:p>
      <w:pPr>
        <w:pStyle w:val="Heading2"/>
      </w:pPr>
      <w:r>
        <w:rPr>
          <w:rFonts w:ascii="Calibri" w:hAnsi="Calibri" w:eastAsia="Calibri"/>
        </w:rPr>
        <w:t>6.1 Four questions on WEF: its convening record is documented; a record as sandbox designer or governance owner is not</w:t>
      </w:r>
    </w:p>
    <w:p>
      <w:pPr>
        <w:numPr>
          <w:ilvl w:val="0"/>
          <w:numId w:val="102"/>
        </w:numPr>
        <w:spacing w:before="0" w:after="60" w:line="259" w:lineRule="auto"/>
      </w:pPr>
      <w:r>
        <w:rPr>
          <w:rFonts w:ascii="Calibri" w:hAnsi="Calibri" w:eastAsia="Calibri"/>
          <w:b/>
          <w:sz w:val="18"/>
        </w:rPr>
        <w:t>What has WEF delivered elsewhere?</w:t>
      </w:r>
      <w:r>
        <w:rPr>
          <w:rFonts w:ascii="Calibri" w:hAnsi="Calibri" w:eastAsia="Calibri"/>
          <w:sz w:val="18"/>
        </w:rPr>
        <w:t xml:space="preserve"> Convening and publication: the TradeTech sandbox and earlier drone-regulation toolkits (Exhibit 18). WEF is not a regulator or licensing body; no published GRIP output was found as at 20 October 2026 [S11][S12] (to be confirmed with WEF).</w:t>
      </w:r>
    </w:p>
    <w:p>
      <w:pPr>
        <w:numPr>
          <w:ilvl w:val="0"/>
          <w:numId w:val="102"/>
        </w:numPr>
        <w:spacing w:before="0" w:after="60" w:line="259" w:lineRule="auto"/>
      </w:pPr>
      <w:r>
        <w:rPr>
          <w:rFonts w:ascii="Calibri" w:hAnsi="Calibri" w:eastAsia="Calibri"/>
          <w:b/>
          <w:sz w:val="18"/>
        </w:rPr>
        <w:t>Which capabilities are relevant to EUz?</w:t>
      </w:r>
      <w:r>
        <w:rPr>
          <w:rFonts w:ascii="Calibri" w:hAnsi="Calibri" w:eastAsia="Calibri"/>
          <w:sz w:val="18"/>
        </w:rPr>
        <w:t xml:space="preserve"> Cross-jurisdiction convening of regulators and companies; multi-authority pilot coordination; published methodology as an external reference; international visibility.</w:t>
      </w:r>
    </w:p>
    <w:p>
      <w:pPr>
        <w:numPr>
          <w:ilvl w:val="0"/>
          <w:numId w:val="102"/>
        </w:numPr>
        <w:spacing w:before="0" w:after="60" w:line="259" w:lineRule="auto"/>
      </w:pPr>
      <w:r>
        <w:rPr>
          <w:rFonts w:ascii="Calibri" w:hAnsi="Calibri" w:eastAsia="Calibri"/>
          <w:b/>
          <w:sz w:val="18"/>
        </w:rPr>
        <w:t>What work products should EUz request?</w:t>
      </w:r>
      <w:r>
        <w:rPr>
          <w:rFonts w:ascii="Calibri" w:hAnsi="Calibri" w:eastAsia="Calibri"/>
          <w:sz w:val="18"/>
        </w:rPr>
        <w:t xml:space="preserve"> A WEF-convened operator peer review of the draft Sandbox Rules, introductions to a small number of regulators and companies, an optional Pilot 2 design review and GRIP material when published (W1-W5, Exhibit 19a).</w:t>
      </w:r>
    </w:p>
    <w:p>
      <w:pPr>
        <w:numPr>
          <w:ilvl w:val="0"/>
          <w:numId w:val="102"/>
        </w:numPr>
        <w:spacing w:before="0" w:after="60" w:line="259" w:lineRule="auto"/>
      </w:pPr>
      <w:r>
        <w:rPr>
          <w:rFonts w:ascii="Calibri" w:hAnsi="Calibri" w:eastAsia="Calibri"/>
          <w:b/>
          <w:sz w:val="18"/>
        </w:rPr>
        <w:t>What could EUz do without WEF, and what needs a partner?</w:t>
      </w:r>
      <w:r>
        <w:rPr>
          <w:rFonts w:ascii="Calibri" w:hAnsi="Calibri" w:eastAsia="Calibri"/>
          <w:sz w:val="18"/>
        </w:rPr>
        <w:t xml:space="preserve"> EUz alone: benchmarking, rule drafting, case management, platform build, domestic regulator engagement and the first cohort. A partner adds independent review, access to foreign regulators and companies, and convening for multi-jurisdiction pilots.</w:t>
      </w:r>
    </w:p>
    <w:p>
      <w:pPr>
        <w:pStyle w:val="ExhibitTitle"/>
      </w:pPr>
      <w:r>
        <w:rPr>
          <w:rFonts w:ascii="Calibri" w:hAnsi="Calibri" w:eastAsia="Calibri"/>
        </w:rPr>
        <w:t>Exhibit 19. Proposed WEF deliverables assessed against evidence</w:t>
      </w:r>
    </w:p>
    <w:tbl>
      <w:tblPr>
        <w:tblW w:w="9639" w:type="dxa"/>
        <w:jc w:val="center"/>
        <w:tblLayout w:type="fixed"/>
        <w:tblLook w:firstColumn="1" w:firstRow="1" w:lastColumn="0" w:lastRow="0" w:noHBand="0" w:noVBand="1" w:val="04A0"/>
      </w:tblPr>
      <w:tblGrid>
        <w:gridCol w:w="2268"/>
        <w:gridCol w:w="2551"/>
        <w:gridCol w:w="2041"/>
        <w:gridCol w:w="2778"/>
      </w:tblGrid>
      <w:tr>
        <w:trPr>
          <w:cantSplit/>
          <w:tblHeader/>
        </w:trPr>
        <w:tc>
          <w:tcPr>
            <w:tcW w:type="dxa" w:w="226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Proposed deliverable</w:t>
            </w:r>
          </w:p>
        </w:tc>
        <w:tc>
          <w:tcPr>
            <w:tcW w:type="dxa" w:w="255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Evidence of WEF capability</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Assessment</w:t>
            </w:r>
          </w:p>
        </w:tc>
        <w:tc>
          <w:tcPr>
            <w:tcW w:type="dxa" w:w="277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Recommended stance</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International benchmarking and design review</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GRIP playbook planned (T); no published output found as at Oct 2026 [S12]</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Planned only (T)</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Do not commission it; offer this report's benchmarking to the W1 reviewers once released (D11)</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Operating-model peer review</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 published WEF operating-model review found; closest: TradeTech convening and report (P) [S11]</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Convening documented (P); review not documented</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Request</w:t>
            </w:r>
            <w:r>
              <w:rPr>
                <w:rFonts w:ascii="Calibri" w:hAnsi="Calibri" w:eastAsia="Calibri"/>
                <w:color w:val="39393B"/>
                <w:sz w:val="15"/>
              </w:rPr>
              <w:t>: operator review of the draft Rules (W1, Exhibit 19a)</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Governance and risk framework</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None found</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Not documented in sources reached</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EUz and counsel draft; external review through W1</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Initial pilot design support</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TradeTech record, Exhibit 18 (P) [S11]</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Partly documented for multi-party trade pilots (P)</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Optional</w:t>
            </w:r>
            <w:r>
              <w:rPr>
                <w:rFonts w:ascii="Calibri" w:hAnsi="Calibri" w:eastAsia="Calibri"/>
                <w:color w:val="39393B"/>
                <w:sz w:val="15"/>
              </w:rPr>
              <w:t xml:space="preserve"> for Pilot 2, if delivered by M5, with per-participant outcome reporting (W3)</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Regulator and industry engagement</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TradeTech MoU announced at Davos; TradeTech Forum [S10]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Documented convening record (P)</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Request</w:t>
            </w:r>
            <w:r>
              <w:rPr>
                <w:rFonts w:ascii="Calibri" w:hAnsi="Calibri" w:eastAsia="Calibri"/>
                <w:color w:val="39393B"/>
                <w:sz w:val="15"/>
              </w:rPr>
              <w:t>: introductions and a convened roundtable (W2)</w:t>
            </w:r>
          </w:p>
        </w:tc>
      </w:tr>
      <w:tr>
        <w:trPr>
          <w:cantSplit/>
        </w:trPr>
        <w:tc>
          <w:tcPr>
            <w:tcW w:type="dxa" w:w="226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Training and knowledge transfer</w:t>
            </w:r>
          </w:p>
        </w:tc>
        <w:tc>
          <w:tcPr>
            <w:tcW w:type="dxa" w:w="255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 published GRIP output found as at Oct 2026 [S12]</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 yet documented</w:t>
            </w:r>
          </w:p>
        </w:tc>
        <w:tc>
          <w:tcPr>
            <w:tcW w:type="dxa" w:w="277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Request only against defined content</w:t>
            </w:r>
          </w:p>
        </w:tc>
      </w:tr>
      <w:tr>
        <w:trPr>
          <w:cantSplit/>
        </w:trPr>
        <w:tc>
          <w:tcPr>
            <w:tcW w:type="dxa" w:w="226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International regulatory cooperation</w:t>
            </w:r>
          </w:p>
        </w:tc>
        <w:tc>
          <w:tcPr>
            <w:tcW w:type="dxa" w:w="255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Introductions, not agreements</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Limited: regulators sign MoUs themselves</w:t>
            </w:r>
          </w:p>
        </w:tc>
        <w:tc>
          <w:tcPr>
            <w:tcW w:type="dxa" w:w="277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Direct regulator-to-regulator</w:t>
            </w:r>
          </w:p>
        </w:tc>
      </w:tr>
    </w:tbl>
    <w:p>
      <w:pPr>
        <w:spacing w:before="0" w:after="40" w:line="144" w:lineRule="auto"/>
      </w:pPr>
    </w:p>
    <w:p>
      <w:pPr>
        <w:pStyle w:val="ExhibitTitle"/>
      </w:pPr>
      <w:r>
        <w:rPr>
          <w:rFonts w:ascii="Calibri" w:hAnsi="Calibri" w:eastAsia="Calibri"/>
        </w:rPr>
        <w:t>Exhibit 19a. Draft WEF scope (for negotiation)</w:t>
      </w:r>
    </w:p>
    <w:tbl>
      <w:tblPr>
        <w:tblW w:w="9639" w:type="dxa"/>
        <w:jc w:val="center"/>
        <w:tblLayout w:type="fixed"/>
        <w:tblLook w:firstColumn="1" w:firstRow="1" w:lastColumn="0" w:lastRow="0" w:noHBand="0" w:noVBand="1" w:val="04A0"/>
      </w:tblPr>
      <w:tblGrid>
        <w:gridCol w:w="1927"/>
        <w:gridCol w:w="2494"/>
        <w:gridCol w:w="1587"/>
        <w:gridCol w:w="2041"/>
        <w:gridCol w:w="1587"/>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Deliverable</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Output</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Timing</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Acceptance criterion</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EUz counterpart</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W1 Convened peer review of the draft Sandbox Rules</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Written review by named reviewers from at least two established sandbox operators (Exhibit 20), convened by WEF, covering Exhibits 6–13</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During consultation on the draft Rules (Day 75 to M4), before adoption</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Every exhibit addressed; EUz replies in writing</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Sandbox head</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W2 Convened regulator roundtable</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One roundtable with regulators from at least two Exhibit 3 jurisdictions, plus a summary note</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M4-M6</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Named participants; list of bilateral follow-ups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International affairs</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W3 Pilot 2 design review (optional)</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Written review drawing on TradeTech, including its unresolved issues</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M3-M5, within P2 Stage A; off the critical path</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Per-participant outcome-reporting template agreed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P2 EUz pilot lead; Sandbox head</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W4 TradeTech outcome data</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Per-participant outcomes and limitations</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Before W3</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Shared in writing (Annex D, step 5)</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International affairs</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W5 GRIP access</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Playbook, index or hub material when published</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When available</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Written terms, including the fee model</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International affairs</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8"/>
              </w:rPr>
              <w:t>Terms for any WEF engagement (acceptance conditions for the D8 term sheet)</w:t>
            </w:r>
          </w:p>
          <w:p>
            <w:pPr>
              <w:spacing w:before="0" w:after="40" w:line="252" w:lineRule="auto"/>
            </w:pPr>
            <w:r>
              <w:rPr>
                <w:rFonts w:ascii="Calibri" w:hAnsi="Calibri" w:eastAsia="Calibri"/>
                <w:sz w:val="17"/>
              </w:rPr>
              <w:t>1. EUz keeps all decisions on admission, conditions, rules, risk and regulator relations; WEF has no vote or veto.</w:t>
            </w:r>
          </w:p>
          <w:p>
            <w:pPr>
              <w:spacing w:before="0" w:after="40" w:line="252" w:lineRule="auto"/>
            </w:pPr>
            <w:r>
              <w:rPr>
                <w:rFonts w:ascii="Calibri" w:hAnsi="Calibri" w:eastAsia="Calibri"/>
                <w:sz w:val="17"/>
              </w:rPr>
              <w:t>2. No participant data, test data or case file goes to WEF or any vendor it introduces without the participant's written consent and EUz's approval.</w:t>
            </w:r>
          </w:p>
          <w:p>
            <w:pPr>
              <w:spacing w:before="0" w:after="40" w:line="252" w:lineRule="auto"/>
            </w:pPr>
            <w:r>
              <w:rPr>
                <w:rFonts w:ascii="Calibri" w:hAnsi="Calibri" w:eastAsia="Calibri"/>
                <w:sz w:val="17"/>
              </w:rPr>
              <w:t>3. EUz reviews any WEF publication drawing on EUz pilots before release; such publications report per-participant outcomes and unresolved issues.</w:t>
            </w:r>
          </w:p>
          <w:p>
            <w:pPr>
              <w:spacing w:before="0" w:after="40" w:line="252" w:lineRule="auto"/>
            </w:pPr>
            <w:r>
              <w:rPr>
                <w:rFonts w:ascii="Calibri" w:hAnsi="Calibri" w:eastAsia="Calibri"/>
                <w:sz w:val="17"/>
              </w:rPr>
              <w:t>4. Non-exclusive: EUz remains free to work directly with regulators, multilaterals and advisers.</w:t>
            </w:r>
          </w:p>
          <w:p>
            <w:pPr>
              <w:spacing w:before="0" w:after="40" w:line="252" w:lineRule="auto"/>
            </w:pPr>
            <w:r>
              <w:rPr>
                <w:rFonts w:ascii="Calibri" w:hAnsi="Calibri" w:eastAsia="Calibri"/>
                <w:sz w:val="17"/>
              </w:rPr>
              <w:t>5. Vendors introduced by WEF compete in EUz's open tender; no platform is adopted because of an introduction.</w:t>
            </w:r>
          </w:p>
          <w:p>
            <w:pPr>
              <w:spacing w:before="0" w:after="40" w:line="252" w:lineRule="auto"/>
            </w:pPr>
            <w:r>
              <w:rPr>
                <w:rFonts w:ascii="Calibri" w:hAnsi="Calibri" w:eastAsia="Calibri"/>
                <w:sz w:val="17"/>
              </w:rPr>
              <w:t>6. Any fee is tied to accepted deliverables, with the fee model confirmed in writing (Annex D, step 5); no public information on WEF fees or partnership terms was found.</w:t>
            </w:r>
          </w:p>
          <w:p>
            <w:pPr>
              <w:spacing w:before="0" w:after="40" w:line="252" w:lineRule="auto"/>
            </w:pPr>
            <w:r>
              <w:rPr>
                <w:rFonts w:ascii="Calibri" w:hAnsi="Calibri" w:eastAsia="Calibri"/>
                <w:sz w:val="17"/>
              </w:rPr>
              <w:t>No EUz milestone depends on a WEF deliverable. P2 proceeds without the W3 design review if it has not arrived by M5.</w:t>
            </w:r>
          </w:p>
        </w:tc>
      </w:tr>
    </w:tbl>
    <w:p>
      <w:pPr>
        <w:spacing w:before="0" w:after="40" w:line="144" w:lineRule="auto"/>
      </w:pPr>
    </w:p>
    <w:p>
      <w:pPr>
        <w:pStyle w:val="ExhibitTitle"/>
      </w:pPr>
      <w:r>
        <w:rPr>
          <w:rFonts w:ascii="Calibri" w:hAnsi="Calibri" w:eastAsia="Calibri"/>
        </w:rPr>
        <w:t>Exhibit 20. Alternatives to WEF</w:t>
      </w:r>
    </w:p>
    <w:tbl>
      <w:tblPr>
        <w:tblW w:w="9639" w:type="dxa"/>
        <w:jc w:val="center"/>
        <w:tblLayout w:type="fixed"/>
        <w:tblLook w:firstColumn="1" w:firstRow="1" w:lastColumn="0" w:lastRow="0" w:noHBand="0" w:noVBand="1" w:val="04A0"/>
      </w:tblPr>
      <w:tblGrid>
        <w:gridCol w:w="1814"/>
        <w:gridCol w:w="1701"/>
        <w:gridCol w:w="2494"/>
        <w:gridCol w:w="1871"/>
        <w:gridCol w:w="1757"/>
      </w:tblGrid>
      <w:tr>
        <w:trPr>
          <w:cantSplit/>
          <w:tblHeader/>
        </w:trPr>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Option</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What it offers</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Documented basis</w:t>
            </w:r>
          </w:p>
        </w:tc>
        <w:tc>
          <w:tcPr>
            <w:tcW w:type="dxa" w:w="187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Limits</w:t>
            </w:r>
          </w:p>
        </w:tc>
        <w:tc>
          <w:tcPr>
            <w:tcW w:type="dxa" w:w="175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Best use for EUz</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WEF</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Convening, publication, brand</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TradeTech (P); GRIP (planned, T) [S11][S12]</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Outcomes convener-reported (P); no regulatory power</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Convening (W1, W2); optional Pilot 2 review (W3)</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Uzbek national authorities and sandbox operators (Central Bank; NAPP; other bodies in Exhibit 13)</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Domestic operating experience; the consents P1-P3 need; referral of misplaced applicants</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Central Bank (cited as No. 3391) and PP-359 stable-token [S29], NAPP capital-market (No. 3493) [S60], UP-244 cross-sector [S58][S37] and AI (No. 717) [S61] regimes: Section 5.1. Titles and press only; texts and current status not yet reviewed</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Mostly financial; risk of overlapping admissions</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Consent protocol and referral rules (Action 7; Section 5.1)</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Regulator-to-regulator (FCA, MAS, ADGM FSRA, DFSA, HKMA; AIFC FinTech Lab, Kazakhstan, as regional peer)</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Operating knowledge, direct recognition</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Documented programmes [S1][S7][S13][S14][S21][S36]</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Mostly financial; capacity limits</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Reviewers for W1; study visits; recognition MoUs</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GFIN and similar networks</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Cross-border application route</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GFIN pilot: 44 applications, 8 shortlisted, none had begun testing when its report was written (R, Jan 2020) [S15]; later cohorts' outcomes not verified</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Membership terms for EUz not verified</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Lessons on coordination; later option</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Specialist consultants and counsel</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Design, drafting, platform</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Not assessed in this report</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Cost; independence: must not evaluate a design they drafted</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Rules, platform, legal verification</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World Bank, OECD, IMF, UNCITRAL</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Guides, data and standards</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World Bank: 73 fintech sandboxes in 57 jurisdictions (Nov 2020) [S16]; OECD AI-sandbox paper (2023) [S26] and sandbox toolkit (Jul 2025) [S54]; IMF FinTech Note 2023/004 [S55]; MLETR [S34]</w:t>
            </w:r>
          </w:p>
        </w:tc>
        <w:tc>
          <w:tcPr>
            <w:tcW w:type="dxa" w:w="187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Design guidance, not operating support (A); IMF note: sandboxes are resource-intensive and reach relatively few firms [S55]</w:t>
            </w:r>
          </w:p>
        </w:tc>
        <w:tc>
          <w:tcPr>
            <w:tcW w:type="dxa" w:w="175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Reference methods (OECD toolkit); MLETR alignment; realistic throughput expectations</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Technology vendors</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Test platforms</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NayaOne in TradeTech (vendor-reported) [S32]</w:t>
            </w:r>
          </w:p>
        </w:tc>
        <w:tc>
          <w:tcPr>
            <w:tcW w:type="dxa" w:w="187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Commercial interest; conflict-of-interest rules apply (Section 5.1)</w:t>
            </w:r>
          </w:p>
        </w:tc>
        <w:tc>
          <w:tcPr>
            <w:tcW w:type="dxa" w:w="175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Platform MVP through open tender (D7)</w:t>
            </w:r>
          </w:p>
        </w:tc>
      </w:tr>
    </w:tbl>
    <w:p>
      <w:pPr>
        <w:spacing w:before="0" w:after="40" w:line="144" w:lineRule="auto"/>
      </w:pP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9"/>
              </w:rPr>
              <w:t>Conclusion</w:t>
            </w:r>
          </w:p>
          <w:p>
            <w:pPr>
              <w:spacing w:before="0" w:after="40" w:line="252" w:lineRule="auto"/>
            </w:pPr>
            <w:r>
              <w:rPr>
                <w:rFonts w:ascii="Calibri" w:hAnsi="Calibri" w:eastAsia="Calibri"/>
                <w:sz w:val="18"/>
              </w:rPr>
              <w:t>WEF's documented strength is international convening and publication (TradeTech, P); no record was found of WEF reviewing a sandbox design or acting as technical designer or governance owner of a sandbox. EUz should use WEF to convene review by experienced operators and, conditionally, to facilitate multi-authority pilots such as Pilot 2.</w:t>
            </w:r>
          </w:p>
          <w:p>
            <w:pPr>
              <w:spacing w:before="0" w:after="40" w:line="252" w:lineRule="auto"/>
            </w:pPr>
            <w:r>
              <w:rPr>
                <w:rFonts w:ascii="Calibri" w:hAnsi="Calibri" w:eastAsia="Calibri"/>
                <w:sz w:val="18"/>
              </w:rPr>
              <w:t>EUz should retain admission decisions, rules, risk management, regulator relations and data handling; any engagement should fix deliverables, dates, outcome and limitation reporting; its fee model must be confirmed in writing (Exhibit 19a; terms above). WEF's documented convening was among UAE authorities; EUz must itself convene the domestic authorities whose consent its year-1 pilots need. EUz will update this assessment with any WEF outcome data (Annex D, step 5).</w:t>
            </w:r>
          </w:p>
        </w:tc>
      </w:tr>
    </w:tbl>
    <w:p>
      <w:pPr>
        <w:spacing w:before="0" w:after="40" w:line="144" w:lineRule="auto"/>
      </w:pPr>
    </w:p>
    <w:p>
      <w:pPr>
        <w:pStyle w:val="Heading1"/>
        <w:pageBreakBefore/>
        <w:pBdr>
          <w:bottom w:val="single" w:sz="12" w:space="3" w:color="009162"/>
        </w:pBdr>
      </w:pPr>
      <w:r>
        <w:rPr>
          <w:rFonts w:ascii="Calibri" w:hAnsi="Calibri" w:eastAsia="Calibri"/>
        </w:rPr>
        <w:t>7. First pilot portfolio: three sandbox pilots and one internal pilot, each with a fallback if the law is narrower than reported</w:t>
      </w:r>
    </w:p>
    <w:p>
      <w:pPr>
        <w:spacing w:before="0" w:after="80" w:line="259" w:lineRule="auto"/>
      </w:pPr>
      <w:r>
        <w:rPr>
          <w:rFonts w:ascii="Calibri" w:hAnsi="Calibri" w:eastAsia="Calibri"/>
          <w:sz w:val="18"/>
        </w:rPr>
        <w:t>Ratings are analyst judgement against five criteria (Exhibit 21), not scores. No named company or regulator is a committed partner; participant lists give the types needed. Success thresholds are planning assumptions, not EUz baselines, set in each test plan before testing, approved by the Committee (P4: Executive Director) and assessed in the exit decision. Sandbox pilots' EUz pilot leads are case managers named by the Sandbox head; gates: Exhibit 21a.</w:t>
      </w:r>
    </w:p>
    <w:p>
      <w:pPr>
        <w:pStyle w:val="ExhibitTitle"/>
      </w:pPr>
      <w:r>
        <w:rPr>
          <w:rFonts w:ascii="Calibri" w:hAnsi="Calibri" w:eastAsia="Calibri"/>
        </w:rPr>
        <w:t>Exhibit 21. Ten pilot ideas rated on five criteria: six combined into four pilots, three deferred, one watch item</w:t>
      </w:r>
    </w:p>
    <w:tbl>
      <w:tblPr>
        <w:tblW w:w="9639" w:type="dxa"/>
        <w:jc w:val="center"/>
        <w:tblLayout w:type="fixed"/>
        <w:tblLook w:firstColumn="1" w:firstRow="1" w:lastColumn="0" w:lastRow="0" w:noHBand="0" w:noVBand="1" w:val="04A0"/>
      </w:tblPr>
      <w:tblGrid>
        <w:gridCol w:w="1814"/>
        <w:gridCol w:w="1417"/>
        <w:gridCol w:w="1190"/>
        <w:gridCol w:w="1304"/>
        <w:gridCol w:w="1304"/>
        <w:gridCol w:w="1077"/>
        <w:gridCol w:w="1530"/>
      </w:tblGrid>
      <w:tr>
        <w:trPr>
          <w:cantSplit/>
          <w:tblHeader/>
        </w:trPr>
        <w:tc>
          <w:tcPr>
            <w:tcW w:type="dxa" w:w="181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Pilot idea</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Regulatory uncertainty</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Commercial demand</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Technical feasibility</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Realistic regulatory owner</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Resource need</w:t>
            </w:r>
          </w:p>
        </w:tc>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Decision</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1 AI agents and autonomous transactions</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 (untested)</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Selected: P1</w:t>
            </w:r>
            <w:r>
              <w:rPr>
                <w:rFonts w:ascii="Calibri" w:hAnsi="Calibri" w:eastAsia="Calibri"/>
                <w:color w:val="39393B"/>
                <w:sz w:val="15"/>
              </w:rPr>
              <w:t xml:space="preserve"> (merged with idea 8)</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2 AI-driven trade compliance</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Selected: P2</w:t>
            </w:r>
            <w:r>
              <w:rPr>
                <w:rFonts w:ascii="Calibri" w:hAnsi="Calibri" w:eastAsia="Calibri"/>
                <w:color w:val="39393B"/>
                <w:sz w:val="15"/>
              </w:rPr>
              <w:t xml:space="preserve"> (merged with idea 5)</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3 Cross-border digital identity</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 (untested)</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Defer to year 2</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4 Privacy-preserving data exchange</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Medium-high</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Selected: P3</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5 Electronic transferable records</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Low-medium</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Selected: P2</w:t>
            </w:r>
            <w:r>
              <w:rPr>
                <w:rFonts w:ascii="Calibri" w:hAnsi="Calibri" w:eastAsia="Calibri"/>
                <w:color w:val="39393B"/>
                <w:sz w:val="15"/>
              </w:rPr>
              <w:t xml:space="preserve"> (merged with idea 2)</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6 AI-based regulatory compliance</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 (EUz itself)</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Selected: P4</w:t>
            </w:r>
            <w:r>
              <w:rPr>
                <w:rFonts w:ascii="Calibri" w:hAnsi="Calibri" w:eastAsia="Calibri"/>
                <w:color w:val="39393B"/>
                <w:sz w:val="15"/>
              </w:rPr>
              <w:t xml:space="preserve"> (internal pilot)</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7 Digital credentials</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Medium-high</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Defer; combine with idea 3</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8 Trusted AI testing</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Medium</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Selected: P1</w:t>
            </w:r>
            <w:r>
              <w:rPr>
                <w:rFonts w:ascii="Calibri" w:hAnsi="Calibri" w:eastAsia="Calibri"/>
                <w:color w:val="39393B"/>
                <w:sz w:val="15"/>
              </w:rPr>
              <w:t xml:space="preserve"> (merged with idea 1)</w:t>
            </w:r>
          </w:p>
        </w:tc>
      </w:tr>
      <w:tr>
        <w:trPr>
          <w:cantSplit/>
        </w:trPr>
        <w:tc>
          <w:tcPr>
            <w:tcW w:type="dxa" w:w="181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9 Data-economy infrastructure</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Not evidenced</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Defer</w:t>
            </w:r>
          </w:p>
        </w:tc>
      </w:tr>
      <w:tr>
        <w:trPr>
          <w:cantSplit/>
        </w:trPr>
        <w:tc>
          <w:tcPr>
            <w:tcW w:type="dxa" w:w="181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10 Autonomous systems (drones, robotaxis)</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Reported interest (S) [S27]</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Low</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Low (physical safety bodies)</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High</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Watch item</w:t>
            </w:r>
          </w:p>
        </w:tc>
      </w:tr>
    </w:tbl>
    <w:p>
      <w:pPr>
        <w:spacing w:before="0" w:after="40" w:line="144" w:lineRule="auto"/>
      </w:pPr>
    </w:p>
    <w:p>
      <w:pPr>
        <w:pStyle w:val="ExhibitTitle"/>
      </w:pPr>
      <w:r>
        <w:rPr>
          <w:rFonts w:ascii="Calibri" w:hAnsi="Calibri" w:eastAsia="Calibri"/>
        </w:rPr>
        <w:t>Exhibit 21a. Selected pilot portfolio: owners, prerequisites and month-6 gate</w:t>
      </w:r>
    </w:p>
    <w:tbl>
      <w:tblPr>
        <w:tblW w:w="9639" w:type="dxa"/>
        <w:jc w:val="center"/>
        <w:tblLayout w:type="fixed"/>
        <w:tblLook w:firstColumn="1" w:firstRow="1" w:lastColumn="0" w:lastRow="0" w:noHBand="0" w:noVBand="1" w:val="04A0"/>
      </w:tblPr>
      <w:tblGrid>
        <w:gridCol w:w="1530"/>
        <w:gridCol w:w="1530"/>
        <w:gridCol w:w="1190"/>
        <w:gridCol w:w="1587"/>
        <w:gridCol w:w="2438"/>
        <w:gridCol w:w="1360"/>
      </w:tblGrid>
      <w:tr>
        <w:trPr>
          <w:cantSplit/>
          <w:tblHeader/>
        </w:trPr>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Pilot</w:t>
            </w:r>
          </w:p>
        </w:tc>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EUz owner / consenting authority</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Test window</w:t>
            </w:r>
          </w:p>
        </w:tc>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First measurable result</w:t>
            </w:r>
          </w:p>
        </w:tc>
        <w:tc>
          <w:tcPr>
            <w:tcW w:type="dxa" w:w="243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Prerequisites (go/no-go at month 6)</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If not met</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P1 AI-agent assurance</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EUz pilot lead (case manager) / competent authority (Action 7), if counsel finds live-phase consent needed</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Synthetic M6-M8; live M8-M12</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Red-team and attribution-logging results (M8)</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Counsel confirms whether: the Council may make binding rules on contracting between Centre participants; the live phase needs national consent; the 2021 national AI special regime applies [S61]. Also required: an independent assurance provider contracted by EUz; stop-loss and human-approval thresholds approved</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Synthetic phase only; published guidance, not a rule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P2 Trade documents with AI screening</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EUz pilot lead / lead authority whose procedure would accept the document (Action 7)</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Stage A M3-M6; Stage B M6-M12; Stage C M8-M12 if Stage A is positive</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AI-screening error rates against manual checks (Stage B)</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Counsel confirms whether Uzbek law recognises electronic transferable records and whether EUz rules can give them effect between Centre participants (MLETR status not established; Annex B); consent protocol agreed with the lead authority</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AI screening (Stage B) only, plus a legal-gap note recommending amendment (Exhibit 13, category Amend)</w:t>
            </w:r>
          </w:p>
        </w:tc>
      </w:tr>
      <w:tr>
        <w:trPr>
          <w:cantSplit/>
        </w:trPr>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P3 Privacy-preserving data exchange</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Administration (host) with an EUz pilot lead / national personal-data authority</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M6-M12</w:t>
            </w:r>
          </w:p>
        </w:tc>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Re-identification test result; utility against the data holder's real-data baseline</w:t>
            </w:r>
          </w:p>
        </w:tc>
        <w:tc>
          <w:tcPr>
            <w:tcW w:type="dxa" w:w="243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Counsel sets out personal-data law requirements (secondary use, transfer, data location) and whether the authority can agree to a time-limited test; data-holder agreement signed; authority consent before any real personal data is used</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Synthetic data only</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P4 AI-assisted review of filings (internal pilot)</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EUz Administration / none: internal pilot</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M6-M11</w:t>
            </w:r>
          </w:p>
        </w:tc>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Review time per filing; false-positive and false-negative rates</w:t>
            </w:r>
          </w:p>
        </w:tc>
        <w:tc>
          <w:tcPr>
            <w:tcW w:type="dxa" w:w="243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Periodic filing obligation for Centre participants in force by M5 (Operating Regulations known only from EUz working files, W) [S31]; counsel confirms the procurement rules for the vendor tender; Council route for an automated-checks rule agreed; API filing specification and human-review rule approved</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Test on registration and onboarding documents handled by the Registrar</w:t>
            </w:r>
          </w:p>
        </w:tc>
      </w:tr>
    </w:tbl>
    <w:p>
      <w:pPr>
        <w:spacing w:before="0" w:after="40" w:line="144" w:lineRule="auto"/>
      </w:pPr>
    </w:p>
    <w:p>
      <w:pPr>
        <w:spacing w:before="0" w:after="120" w:line="259" w:lineRule="auto"/>
      </w:pPr>
      <w:r>
        <w:rPr>
          <w:rFonts w:ascii="Calibri" w:hAnsi="Calibri" w:eastAsia="Calibri"/>
          <w:sz w:val="17"/>
        </w:rPr>
        <w:t>Earliest visible result: P4 (EUz owns the outcome and depends least on national regulators), if the filing precondition is met (A); P2 depends most on external authorities and has the highest delay risk (A). The Sandbox Committee decides the month-6 gate at admission for P1-P3; the Executive Director decides it for P4.</w:t>
      </w: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P1  Assurance testing for AI agents that execute transactions</w:t>
            </w:r>
          </w:p>
          <w:p>
            <w:pPr>
              <w:keepNext/>
              <w:spacing w:before="0" w:after="0" w:line="259" w:lineRule="auto"/>
            </w:pPr>
            <w:r>
              <w:rPr>
                <w:rFonts w:ascii="Calibri" w:hAnsi="Calibri" w:eastAsia="Calibri"/>
                <w:color w:val="D7EFE7"/>
                <w:sz w:val="16"/>
              </w:rPr>
              <w:t>AI, autonomous systems | Consent: none expected for the synthetic phase; live phase per Exhibit 21a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Problem</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Firms deploying AI agents that order, pay or contract lack clarity on attribution, authentication and evidence standards.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Regulatory barrier</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No confirmed EUz position on attributing agent actions to a principal. The Centre applies English common-law principles where necessary (reported) [S27]; their application to AI agents is untested (A).</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Proposed experiment</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Phase 1 (M6–8): synthetic data and an independent red team; go live only when no critical finding remains open.</w:t>
            </w:r>
          </w:p>
          <w:p>
            <w:pPr>
              <w:spacing w:before="0" w:after="20" w:line="250" w:lineRule="auto"/>
            </w:pPr>
            <w:r>
              <w:rPr>
                <w:rFonts w:ascii="Calibri" w:hAnsi="Calibri" w:eastAsia="Calibri"/>
                <w:sz w:val="17"/>
              </w:rPr>
              <w:t>Phase 2 (M8–12): live, low-value ordering and contracting between Centre participants, with human-approval thresholds, full logging and a stop-loss; a person initiates every payment, via the participants' existing licensed payment channels.</w:t>
            </w:r>
          </w:p>
          <w:p>
            <w:pPr>
              <w:spacing w:before="0" w:after="20" w:line="250" w:lineRule="auto"/>
            </w:pPr>
            <w:r>
              <w:rPr>
                <w:rFonts w:ascii="Calibri" w:hAnsi="Calibri" w:eastAsia="Calibri"/>
                <w:sz w:val="17"/>
              </w:rPr>
              <w:t>Agent-initiated payment: out of scope in year 1; a round-2 candidate only with the competent financial regulator's consent.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Required participants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Two to three AI-agent developers; one or two enterprise buyers; an independent assurance provider; the competent authority (live-phase consent, if needed).</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Timeline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Design M3–6; synthetic M6–8; live M8–12 (planning assumption); the Committee may extend the live phase within the test term if volume is too low for KPIs.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Cost drivers (who pays)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EUz: test environment; independent assurance (EUz appoints and pays); legal drafting; case-manager time. Participants: own integration and staff time.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KPIs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Share of agent-initiated transactions whose log identifies principal, mandate and any human approval (assurance provider checks a random sample); open critical red-team findings at end of synthetic phase (zero to go live); incidents and stop-loss triggers per 1,000 agent actions; median days to resolve a disputed agent action.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Expected regulatory outcome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Published guidance on attribution, authentication and evidence; a candidate Council rule only if counsel confirms the Council's power (Exhibit 21a).</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P2  Electronic trade documents with AI compliance screening</w:t>
            </w:r>
          </w:p>
          <w:p>
            <w:pPr>
              <w:keepNext/>
              <w:spacing w:before="0" w:after="0" w:line="259" w:lineRule="auto"/>
            </w:pPr>
            <w:r>
              <w:rPr>
                <w:rFonts w:ascii="Calibri" w:hAnsi="Calibri" w:eastAsia="Calibri"/>
                <w:color w:val="D7EFE7"/>
                <w:sz w:val="16"/>
              </w:rPr>
              <w:t>TradeTech | Lead and consenting authority: Exhibit 21a | WEF design review (W3) optional, off the critical path</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Problem</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Paper-based trade documents and manual compliance checks slow trade and raise error rates.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Regulatory barrier</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Legal recognition of electronic transferable records and their acceptance by trade authorities. Whether Uzbek law or the EUz framework gives them effect in line with the UNCITRAL Model Law (MLETR) is not established; Bahrain, Singapore and ADGM are reported to have adopted MLETR-based laws (S) [S34], enactments not verified (Annex B).</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Proposed experiment</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Stage A, legal readiness (M3–6): counsel's Action 2 answer to the P2 question (Exhibit 21a) is applied to the chosen document type; the lead authority states in writing whether it would accept the document.</w:t>
            </w:r>
          </w:p>
          <w:p>
            <w:pPr>
              <w:spacing w:before="0" w:after="20" w:line="250" w:lineRule="auto"/>
            </w:pPr>
            <w:r>
              <w:rPr>
                <w:rFonts w:ascii="Calibri" w:hAnsi="Calibri" w:eastAsia="Calibri"/>
                <w:sz w:val="17"/>
              </w:rPr>
              <w:t>Stage B, AI screening (M6–12): check existing trade documents for completeness, data consistency and sanctions-list matches, compared with participants' manual checks. The AI runs alongside, never instead of, required controls (including legally required screening) and cannot clear a sanctions match. Stage B needs no change in law (A) and runs whatever Stage A finds.</w:t>
            </w:r>
          </w:p>
          <w:p>
            <w:pPr>
              <w:spacing w:before="0" w:after="20" w:line="250" w:lineRule="auto"/>
            </w:pPr>
            <w:r>
              <w:rPr>
                <w:rFonts w:ascii="Calibri" w:hAnsi="Calibri" w:eastAsia="Calibri"/>
                <w:sz w:val="17"/>
              </w:rPr>
              <w:t>Stage C, electronic record (M8–12, only if Stage A is positive): issue and transfer one document type chosen at design (for example a warehouse receipt or bill of lading) between Centre participants; paper process as fallback.</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Required participants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 platform provider; one or two trading companies with cross-border flows (real screening cases); a trade-finance provider; the lead authority.</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Timeline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Stage A M3–6; Stage B M6–12; Stage C M8–12 (only if Stage A is positive).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Cost drivers (who pays)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Platform integration and staff time (participants); Stage A legal review and authority engagement (EUz).</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KPIs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Cycle time per document against a participant-recorded paper baseline (same document type); AI-screening false-positive and false-negative rates against a compliance officer's review of a labelled sample; share of documents needing correction; authorities accepting the electronic document in writing (Stage C).</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Expected regulatory outcome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Stage A positive: recognition guidance or a rule for the chosen document within the Centre's regime. Negative: a legal-gap note recommending an MLETR-aligned amendment (Exhibit 13, category Amend), plus Stage B AI-screening guidance. Either way: a candidate bilateral MoU for a year-2 cross-border extension.</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P3  Privacy-preserving data exchange with synthetic data</w:t>
            </w:r>
          </w:p>
          <w:p>
            <w:pPr>
              <w:keepNext/>
              <w:spacing w:before="0" w:after="0" w:line="259" w:lineRule="auto"/>
            </w:pPr>
            <w:r>
              <w:rPr>
                <w:rFonts w:ascii="Calibri" w:hAnsi="Calibri" w:eastAsia="Calibri"/>
                <w:color w:val="D7EFE7"/>
                <w:sz w:val="16"/>
              </w:rPr>
              <w:t>Data economy | EUz owner: Administration (host) | Consent: national personal-data authority</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Problem</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AI and data firms cannot access sensitive datasets to build and test products.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Regulatory barrier</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Limits on secondary use and transfer under personal-data law (requirements not yet reviewed; counsel's question in Exhibit 21a) and no confirmed criteria for acceptable anonymisation.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Proposed experiment</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Data holders and developers run analytics in a secure environment on synthetic data or with privacy-enhancing techniques. No real personal data enters the environment before the authority consents and an independent re-identification test of the synthetic or transformed data is passed. Data holders sign a data-sharing agreement fixing purpose, retention and deletion.</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Required participants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One or two data holders; developers; an independent privacy assessor; the national personal-data authority (consent).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Timeline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Design M3–6; test M6–12.</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Cost drivers (who pays)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Secure environment and independent re-identification testing (EUz appoints and pays); synthetic-data generation (data holders or developers).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KPIs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Utility: the same analysis on synthetic or privacy-enhanced data and on real data, compared by the data holder in its own systems (real data never leave it); re-identification success rate in the independent assessor's tests, against a pass threshold agreed with the authority beforehand; time from data-access request to working access.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Expected regulatory outcome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Published technical and legal criteria for anonymisation and privacy-enhancing methods in EUz.</w:t>
            </w:r>
          </w:p>
        </w:tc>
      </w:tr>
    </w:tbl>
    <w:p>
      <w:pPr>
        <w:spacing w:before="0" w:after="100" w:line="168" w:lineRule="auto"/>
      </w:pPr>
    </w:p>
    <w:tbl>
      <w:tblPr>
        <w:tblW w:type="auto" w:w="0"/>
        <w:jc w:val="center"/>
        <w:tblLayout w:type="fixed"/>
        <w:tblLook w:firstColumn="1" w:firstRow="1" w:lastColumn="0" w:lastRow="0" w:noHBand="0" w:noVBand="1" w:val="04A0"/>
      </w:tblPr>
      <w:tblGrid>
        <w:gridCol w:w="1530"/>
        <w:gridCol w:w="8108"/>
      </w:tblGrid>
      <w:tr>
        <w:trPr>
          <w:cantSplit/>
        </w:trPr>
        <w:tc>
          <w:tcPr>
            <w:tcW w:type="dxa" w:w="9638"/>
            <w:gridSpan w:val="2"/>
            <w:shd w:val="clear" w:color="auto" w:fill="175C58"/>
            <w:tcMar>
              <w:top w:w="70" w:type="dxa"/>
              <w:left w:w="120" w:type="dxa"/>
              <w:bottom w:w="70" w:type="dxa"/>
              <w:right w:w="100" w:type="dxa"/>
            </w:tcMar>
          </w:tcPr>
          <w:p>
            <w:pPr>
              <w:keepNext/>
              <w:spacing w:before="0" w:after="0" w:line="259" w:lineRule="auto"/>
            </w:pPr>
            <w:r>
              <w:rPr>
                <w:rFonts w:ascii="Calibri" w:hAnsi="Calibri" w:eastAsia="Calibri"/>
                <w:b/>
                <w:color w:val="FFFFFF"/>
                <w:sz w:val="21"/>
              </w:rPr>
              <w:t>P4  Internal pilot: AI-assisted review of filings to EUz (run alongside the sandbox)</w:t>
            </w:r>
          </w:p>
          <w:p>
            <w:pPr>
              <w:keepNext/>
              <w:spacing w:before="0" w:after="0" w:line="259" w:lineRule="auto"/>
            </w:pPr>
            <w:r>
              <w:rPr>
                <w:rFonts w:ascii="Calibri" w:hAnsi="Calibri" w:eastAsia="Calibri"/>
                <w:color w:val="D7EFE7"/>
                <w:sz w:val="16"/>
              </w:rPr>
              <w:t>RegTech and GovTech | owner: EUz Administration | not a sandbox admission | EUz pilot lead: named by the Executive Director; not on the vendor tender panel</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Status and route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P4 tests EUz's own review tool. With no participant facing a regulatory barrier, it is not admitted by the Committee under Exhibit 14. Vendors are chosen by open tender under the procurement rules counsel confirms and get no sandbox status; EUz-registered companies take part voluntarily and may withdraw.</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Problem</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Onboarding and ongoing compliance reporting are manual for both companies and EUz.</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Regulatory barrier</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Internal: EUz rules on automated checks, explainability and human review. Precondition: a periodic filing obligation in force by M5 (Exhibit 21a); otherwise the pilot tests registration and onboarding documents.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Proposed experiment</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Volunteer companies file compliance reports by API; an AI tool pre-checks and flags issues; EUz staff review every filing and decide; results are compared with manual handling.</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Required participants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One or two RegTech vendors chosen by tender; three to five volunteer EUz-registered companies; Registrar and supervision staff assigned by the Executive Director (outside the six-person Secretariat).</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Timeline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Design M3–5; test M6–11.</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Cost drivers (who pays)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Integration and the tendered vendor contract (EUz); staff time (EUz); filing effort (volunteer companies).</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KPIs</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Median reviewer minutes per filing, AI-assisted against manual (same filing type and period); false-positive and false-negative rates against final reviewer decisions; reviewer override rate; participant-estimated hours per filing (estimate).</w:t>
            </w:r>
          </w:p>
        </w:tc>
      </w:tr>
      <w:tr>
        <w:trPr>
          <w:cantSplit/>
        </w:trPr>
        <w:tc>
          <w:tcPr>
            <w:tcW w:type="dxa" w:w="1531"/>
            <w:tcBorders>
              <w:top w:val="single" w:sz="4" w:space="0" w:color="D5DBD9"/>
              <w:left w:val="nil" w:sz="0" w:space="0" w:color="D5DBD9"/>
              <w:bottom w:val="single" w:sz="4" w:space="0" w:color="D5DBD9"/>
              <w:right w:val="nil" w:sz="0" w:space="0" w:color="D5DBD9"/>
            </w:tcBorders>
            <w:shd w:val="clear" w:color="auto" w:fill="EEF1F0"/>
            <w:tcMar>
              <w:top w:w="45" w:type="dxa"/>
              <w:left w:w="100" w:type="dxa"/>
              <w:bottom w:w="45" w:type="dxa"/>
              <w:right w:w="90" w:type="dxa"/>
            </w:tcMar>
          </w:tcPr>
          <w:p>
            <w:pPr>
              <w:spacing w:before="0" w:after="0" w:line="240" w:lineRule="auto"/>
            </w:pPr>
            <w:r>
              <w:rPr>
                <w:rFonts w:ascii="Calibri" w:hAnsi="Calibri" w:eastAsia="Calibri"/>
                <w:b/>
                <w:color w:val="175C58"/>
                <w:sz w:val="16"/>
              </w:rPr>
              <w:t>Expected regulatory outcome</w:t>
            </w:r>
          </w:p>
        </w:tc>
        <w:tc>
          <w:tcPr>
            <w:tcW w:type="dxa" w:w="8107"/>
            <w:tcBorders>
              <w:top w:val="single" w:sz="4" w:space="0" w:color="D5DBD9"/>
              <w:left w:val="nil" w:sz="0" w:space="0" w:color="D5DBD9"/>
              <w:bottom w:val="single" w:sz="4" w:space="0" w:color="D5DBD9"/>
              <w:right w:val="nil" w:sz="0" w:space="0" w:color="D5DBD9"/>
            </w:tcBorders>
            <w:tcMar>
              <w:top w:w="45" w:type="dxa"/>
              <w:left w:w="100" w:type="dxa"/>
              <w:bottom w:w="45" w:type="dxa"/>
              <w:right w:w="90" w:type="dxa"/>
            </w:tcMar>
          </w:tcPr>
          <w:p>
            <w:pPr>
              <w:spacing w:before="0" w:after="20" w:line="250" w:lineRule="auto"/>
            </w:pPr>
            <w:r>
              <w:rPr>
                <w:rFonts w:ascii="Calibri" w:hAnsi="Calibri" w:eastAsia="Calibri"/>
                <w:sz w:val="17"/>
              </w:rPr>
              <w:t>Adoption decision and a Council rule on automated compliance checks, with a human-review requirement (earliest likely result: note under Exhibit 21a).</w:t>
            </w:r>
          </w:p>
        </w:tc>
      </w:tr>
    </w:tbl>
    <w:p>
      <w:pPr>
        <w:spacing w:before="0" w:after="100" w:line="168" w:lineRule="auto"/>
      </w:pPr>
    </w:p>
    <w:p>
      <w:pPr>
        <w:pStyle w:val="Heading1"/>
        <w:pageBreakBefore/>
        <w:pBdr>
          <w:bottom w:val="single" w:sz="12" w:space="3" w:color="009162"/>
        </w:pBdr>
      </w:pPr>
      <w:r>
        <w:rPr>
          <w:rFonts w:ascii="Calibri" w:hAnsi="Calibri" w:eastAsia="Calibri"/>
        </w:rPr>
        <w:t>8. Roadmap, KPIs and decisions: legal verification and the Sandbox Rules set the critical path to first admissions at month 6</w:t>
      </w:r>
    </w:p>
    <w:tbl>
      <w:tblPr>
        <w:tblW w:type="auto" w:w="0"/>
        <w:jc w:val="center"/>
        <w:tblLayout w:type="fixed"/>
        <w:tblLook w:firstColumn="1" w:firstRow="1" w:lastColumn="0" w:lastRow="0" w:noHBand="0" w:noVBand="1" w:val="04A0"/>
      </w:tblPr>
      <w:tblGrid>
        <w:gridCol w:w="9639"/>
      </w:tblGrid>
      <w:tr>
        <w:tc>
          <w:tcPr>
            <w:tcW w:type="dxa" w:w="9638"/>
            <w:tcBorders>
              <w:top w:val="nil" w:sz="0" w:space="0" w:color="EEF1F0"/>
              <w:left w:val="single" w:sz="36" w:space="0" w:color="009162"/>
              <w:bottom w:val="nil" w:sz="0" w:space="0" w:color="EEF1F0"/>
              <w:right w:val="nil" w:sz="0" w:space="0" w:color="EEF1F0"/>
            </w:tcBorders>
            <w:shd w:val="clear" w:color="auto" w:fill="EEF1F0"/>
            <w:tcMar>
              <w:top w:w="90" w:type="dxa"/>
              <w:left w:w="150" w:type="dxa"/>
              <w:bottom w:w="90" w:type="dxa"/>
              <w:right w:w="120" w:type="dxa"/>
            </w:tcMar>
          </w:tcPr>
          <w:p>
            <w:pPr>
              <w:keepNext/>
              <w:spacing w:before="0" w:after="40" w:line="259" w:lineRule="auto"/>
            </w:pPr>
            <w:r>
              <w:rPr>
                <w:rFonts w:ascii="Calibri" w:hAnsi="Calibri" w:eastAsia="Calibri"/>
                <w:b/>
                <w:color w:val="175C58"/>
                <w:sz w:val="19"/>
              </w:rPr>
              <w:t>Timing conventions</w:t>
            </w:r>
          </w:p>
          <w:p>
            <w:pPr>
              <w:spacing w:before="0" w:after="40" w:line="252" w:lineRule="auto"/>
            </w:pPr>
            <w:r>
              <w:rPr>
                <w:rFonts w:ascii="Calibri" w:hAnsi="Calibri" w:eastAsia="Calibri"/>
                <w:b/>
                <w:sz w:val="18"/>
              </w:rPr>
              <w:t>Day 0</w:t>
            </w:r>
            <w:r>
              <w:rPr>
                <w:rFonts w:ascii="Calibri" w:hAnsi="Calibri" w:eastAsia="Calibri"/>
                <w:sz w:val="18"/>
              </w:rPr>
              <w:t xml:space="preserve"> = the Governing Council's acceptance of this report (month 0); M4, M6 and so on count months from Day 0.</w:t>
            </w:r>
          </w:p>
          <w:p>
            <w:pPr>
              <w:spacing w:before="0" w:after="40" w:line="252" w:lineRule="auto"/>
            </w:pPr>
            <w:r>
              <w:rPr>
                <w:rFonts w:ascii="Calibri" w:hAnsi="Calibri" w:eastAsia="Calibri"/>
                <w:b/>
                <w:sz w:val="18"/>
              </w:rPr>
              <w:t>Launch Day</w:t>
            </w:r>
            <w:r>
              <w:rPr>
                <w:rFonts w:ascii="Calibri" w:hAnsi="Calibri" w:eastAsia="Calibri"/>
                <w:sz w:val="18"/>
              </w:rPr>
              <w:t xml:space="preserve"> = the day the Guidance Track opens to the public: target Day 90 (about M3). If the Council accepts this report in late October 2026, that is on or about 21 January 2027, the entry into force of the Constitutional Law (LRU-1169) reported by one outlet (Gazeta.uz), to be checked against the law's final provisions (S) [S27]. A later Day 0 moves Launch Day with it.</w:t>
            </w:r>
          </w:p>
          <w:p>
            <w:pPr>
              <w:spacing w:before="0" w:after="40" w:line="252" w:lineRule="auto"/>
            </w:pPr>
            <w:r>
              <w:rPr>
                <w:rFonts w:ascii="Calibri" w:hAnsi="Calibri" w:eastAsia="Calibri"/>
                <w:b/>
                <w:sz w:val="18"/>
              </w:rPr>
              <w:t>Key dates:</w:t>
            </w:r>
            <w:r>
              <w:rPr>
                <w:rFonts w:ascii="Calibri" w:hAnsi="Calibri" w:eastAsia="Calibri"/>
                <w:sz w:val="18"/>
              </w:rPr>
              <w:t xml:space="preserve"> Sandbox Rules adopted and Full Sandbox call M4; first admissions M6; mid-term review M9; annual review M12; Express Track and Prototyping Track piloted after the cohort-1 evaluations (from about M13-M14).</w:t>
            </w:r>
          </w:p>
        </w:tc>
      </w:tr>
    </w:tbl>
    <w:p>
      <w:pPr>
        <w:spacing w:before="0" w:after="40" w:line="144" w:lineRule="auto"/>
      </w:pPr>
    </w:p>
    <w:p>
      <w:pPr>
        <w:pStyle w:val="Heading2"/>
      </w:pPr>
      <w:r>
        <w:rPr>
          <w:rFonts w:ascii="Calibri" w:hAnsi="Calibri" w:eastAsia="Calibri"/>
        </w:rPr>
        <w:t>8.1 First 90 days: fifteen actions and the critical path to launch</w:t>
      </w:r>
    </w:p>
    <w:p>
      <w:pPr>
        <w:spacing w:before="0" w:after="80" w:line="259" w:lineRule="auto"/>
      </w:pPr>
      <w:r>
        <w:rPr>
          <w:rFonts w:ascii="Calibri" w:hAnsi="Calibri" w:eastAsia="Calibri"/>
          <w:sz w:val="18"/>
        </w:rPr>
        <w:t>Due dates count from Day 0. The acting Sandbox head (Action 5) fills the role until the appointment. Priorities: C = critical, H = high, M = medium.</w:t>
      </w:r>
    </w:p>
    <w:p>
      <w:pPr>
        <w:pStyle w:val="ExhibitTitle"/>
      </w:pPr>
      <w:r>
        <w:rPr>
          <w:rFonts w:ascii="Calibri" w:hAnsi="Calibri" w:eastAsia="Calibri"/>
        </w:rPr>
        <w:t>Exhibit 22. 90-day action plan</w:t>
      </w:r>
    </w:p>
    <w:tbl>
      <w:tblPr>
        <w:tblW w:w="9639" w:type="dxa"/>
        <w:jc w:val="center"/>
        <w:tblLayout w:type="fixed"/>
        <w:tblLook w:firstColumn="1" w:firstRow="1" w:lastColumn="0" w:lastRow="0" w:noHBand="0" w:noVBand="1" w:val="04A0"/>
      </w:tblPr>
      <w:tblGrid>
        <w:gridCol w:w="340"/>
        <w:gridCol w:w="1984"/>
        <w:gridCol w:w="1360"/>
        <w:gridCol w:w="1304"/>
        <w:gridCol w:w="1077"/>
        <w:gridCol w:w="793"/>
        <w:gridCol w:w="737"/>
        <w:gridCol w:w="2041"/>
      </w:tblGrid>
      <w:tr>
        <w:trPr>
          <w:cantSplit/>
          <w:tblHeader/>
        </w:trPr>
        <w:tc>
          <w:tcPr>
            <w:tcW w:type="dxa" w:w="34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w:t>
            </w:r>
          </w:p>
        </w:tc>
        <w:tc>
          <w:tcPr>
            <w:tcW w:type="dxa" w:w="198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Action</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Function</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Deliverable</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Depends on</w:t>
            </w:r>
          </w:p>
        </w:tc>
        <w:tc>
          <w:tcPr>
            <w:tcW w:type="dxa" w:w="7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Priority</w:t>
            </w:r>
          </w:p>
        </w:tc>
        <w:tc>
          <w:tcPr>
            <w:tcW w:type="dxa" w:w="73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Due</w:t>
            </w:r>
          </w:p>
        </w:tc>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Completion criterion</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Obtain and review the official texts; verify sandbox provisions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Verified legal baseline memo</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Access to texts</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20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Memo signed; Section 5.6 updated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2</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Confirm powers (delegation, Registrar role, exemption scope), which Council acts are valid before LRU-1169 takes effect, and each pilot's legal question (Exhibit 21a)</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Written opinion</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25</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Opinion issued, answering each question</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3</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approves operating model, track sequencing and admission authority (D1, D2)</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Executive Director; Council secretary</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resolution</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1, 2</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30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Resolution adopted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4</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Draft Sandbox Rules: eligibility, conditions, safeguards, exit, reconsideration and appeal, Guidance positions, publication</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 Sandbox head</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Draft Rules for consultation</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75</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Draft approved for consultation (D4b) and published for comment</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5</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Designate an acting Sandbox head from existing staff; appoint the Sandbox head; recruit a core team of about six (planning assumption)</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Executive Director; HR</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Acting head; named head; job specifications</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3 (named head only)</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45</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Acting head by Day 5; head in post by Day 45; offers for all core roles by Day 90</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6</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Constitute the Sandbox Committee (terms of reference, nominations including two independent seats, quorum); set up the expert roster and conflict-of-interest policy (Section 5.1)</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 General Counsel</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Committee terms of reference and nominations; roster</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2, 3</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C</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60</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approves terms of reference and nominations (effective when the Rules are adopted); roster approved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7</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Identify competent national authorities per pilot; draft consent protocol and referral rules with national sandbox operators (Section 5.1)</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 regulatory counsel or General Counsel (domestic); International affairs (foreign authorities only)</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Consent protocol and MoU template (minimum terms: Section 5.8); referral rules</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60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Template agreed in principle with at least two authorities; referral rules with the Central Bank and NAPP agreed in principle before admitting any pilot with a financial element</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8</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Open the Guidance Track: public call and intake form</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Live intake</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5</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90 (Launch Day)</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First guidance case logged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9</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Scope digital platform MVP and sourcing route</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Platform and data lead</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Requirements; sourcing decision</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60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Decision memo approved; tender specification includes the Exhibit 16a non-functional requirements; interim system for the Launch Day case layer designated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10</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Demand test: structured interviews with prospective participants</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Business development</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Demand report</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None</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45</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Report delivered; proposition refined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11</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Pilot shortlist workshop; select sandbox pilots P1-P3 and internal pilot P4</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Selection memo</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7, 10</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75</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Four pilots named, each with an EUz owner, pilot lead and, where needed, consenting authority; pilots without an identified consenting authority by Day 75 are deferred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12</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Scope WEF and alternative support; request defined deliverables</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International affairs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Scoping note and term sheet</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75</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Term sheet covering W1-W5 (dates, acceptance criteria, fee model) and terms 1–6; Council decision (D8)</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13</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KPI data dictionary and standard test agreement, including outcome-tracking clauses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 General Counsel (clauses)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Data dictionary; standard test agreement (minimum clauses: note under Exhibit 14)</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90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Both approved</w:t>
            </w:r>
          </w:p>
        </w:tc>
      </w:tr>
      <w:tr>
        <w:trPr>
          <w:cantSplit/>
        </w:trPr>
        <w:tc>
          <w:tcPr>
            <w:tcW w:type="dxa" w:w="34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14</w:t>
            </w:r>
          </w:p>
        </w:tc>
        <w:tc>
          <w:tcPr>
            <w:tcW w:type="dxa" w:w="198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Risk, cyber and integrity framework: incident rule, stop-loss, data handling, integrity screening</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Risk, cyber and integrity lead</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Framework</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H</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90</w:t>
            </w:r>
          </w:p>
        </w:tc>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Framework approved</w:t>
            </w:r>
          </w:p>
        </w:tc>
      </w:tr>
      <w:tr>
        <w:trPr>
          <w:cantSplit/>
        </w:trPr>
        <w:tc>
          <w:tcPr>
            <w:tcW w:type="dxa" w:w="34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15</w:t>
            </w:r>
          </w:p>
        </w:tc>
        <w:tc>
          <w:tcPr>
            <w:tcW w:type="dxa" w:w="198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Publish the EUz Sandbox prospectus (offer, service standards, exclusions); announce the cohort-1 call (opens when the Rules are adopted, M4) for the participant types each pilot needs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Communications</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Prospectus v1</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4, 11</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4"/>
              </w:rPr>
              <w:t>M</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90</w:t>
            </w:r>
          </w:p>
        </w:tc>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Prospectus published; call date and participant types announced</w:t>
            </w:r>
          </w:p>
        </w:tc>
      </w:tr>
    </w:tbl>
    <w:p>
      <w:pPr>
        <w:spacing w:before="0" w:after="40" w:line="144" w:lineRule="auto"/>
      </w:pPr>
    </w:p>
    <w:p>
      <w:pPr>
        <w:spacing w:before="0" w:after="120" w:line="259" w:lineRule="auto"/>
      </w:pPr>
      <w:r>
        <w:rPr>
          <w:rFonts w:ascii="Calibri" w:hAnsi="Calibri" w:eastAsia="Calibri"/>
          <w:b/>
          <w:sz w:val="17"/>
        </w:rPr>
        <w:t>Interim owners, critical path and fallback.</w:t>
      </w:r>
      <w:r>
        <w:rPr>
          <w:rFonts w:ascii="Calibri" w:hAnsi="Calibri" w:eastAsia="Calibri"/>
          <w:sz w:val="17"/>
        </w:rPr>
        <w:t xml:space="preserve"> Until hires are in post, the Executive Director names interim owners from existing staff for Actions 9, 13 and 14; Business development and Communications are shared EUz functions. Critical path: Action 1 → 2 → 3 → 4 → Rules adopted (M4) → first admissions (M6); Actions 5–7, 9, 13 and 14 must also be complete before the first admission (Section 5.9). If the official texts are unavailable by Day 20, the Guidance Track (independent of the draft Rules) still opens on Launch Day with non-binding views; the Full Sandbox call waits for Actions 1–2.</w:t>
      </w:r>
    </w:p>
    <w:p>
      <w:pPr>
        <w:pStyle w:val="Heading2"/>
      </w:pPr>
      <w:r>
        <w:rPr>
          <w:rFonts w:ascii="Calibri" w:hAnsi="Calibri" w:eastAsia="Calibri"/>
        </w:rPr>
        <w:t>8.2 First 12 months: four phases, each closed by a named decision gate</w:t>
      </w:r>
    </w:p>
    <w:p>
      <w:pPr>
        <w:pStyle w:val="ExhibitTitle"/>
      </w:pPr>
      <w:r>
        <w:rPr>
          <w:rFonts w:ascii="Calibri" w:hAnsi="Calibri" w:eastAsia="Calibri"/>
        </w:rPr>
        <w:t>Exhibit 23. 12-month implementation roadmap (month 0 = Day 0 of the 90-day plan)</w:t>
      </w:r>
    </w:p>
    <w:p>
      <w:pPr>
        <w:keepNext/>
        <w:spacing w:before="0" w:after="40" w:line="259" w:lineRule="auto"/>
        <w:jc w:val="center"/>
      </w:pPr>
      <w:r>
        <w:drawing>
          <wp:inline xmlns:a="http://schemas.openxmlformats.org/drawingml/2006/main" xmlns:pic="http://schemas.openxmlformats.org/drawingml/2006/picture">
            <wp:extent cx="5832000" cy="3603678"/>
            <wp:docPr id="4" name="Picture 4"/>
            <wp:cNvGraphicFramePr>
              <a:graphicFrameLocks noChangeAspect="1"/>
            </wp:cNvGraphicFramePr>
            <a:graphic>
              <a:graphicData uri="http://schemas.openxmlformats.org/drawingml/2006/picture">
                <pic:pic>
                  <pic:nvPicPr>
                    <pic:cNvPr id="0" name="f4_roadmap.png"/>
                    <pic:cNvPicPr/>
                  </pic:nvPicPr>
                  <pic:blipFill>
                    <a:blip r:embed="rId12"/>
                    <a:stretch>
                      <a:fillRect/>
                    </a:stretch>
                  </pic:blipFill>
                  <pic:spPr>
                    <a:xfrm>
                      <a:off x="0" y="0"/>
                      <a:ext cx="5832000" cy="3603678"/>
                    </a:xfrm>
                    <a:prstGeom prst="rect"/>
                  </pic:spPr>
                </pic:pic>
              </a:graphicData>
            </a:graphic>
          </wp:inline>
        </w:drawing>
      </w:r>
    </w:p>
    <w:tbl>
      <w:tblPr>
        <w:tblW w:w="9639" w:type="dxa"/>
        <w:jc w:val="center"/>
        <w:tblLayout w:type="fixed"/>
        <w:tblLook w:firstColumn="1" w:firstRow="1" w:lastColumn="0" w:lastRow="0" w:noHBand="0" w:noVBand="1" w:val="04A0"/>
      </w:tblPr>
      <w:tblGrid>
        <w:gridCol w:w="1360"/>
        <w:gridCol w:w="737"/>
        <w:gridCol w:w="2381"/>
        <w:gridCol w:w="1701"/>
        <w:gridCol w:w="1927"/>
        <w:gridCol w:w="1530"/>
      </w:tblGrid>
      <w:tr>
        <w:trPr>
          <w:cantSplit/>
          <w:tblHeader/>
        </w:trPr>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Phase</w:t>
            </w:r>
          </w:p>
        </w:tc>
        <w:tc>
          <w:tcPr>
            <w:tcW w:type="dxa" w:w="73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Months</w:t>
            </w:r>
          </w:p>
        </w:tc>
        <w:tc>
          <w:tcPr>
            <w:tcW w:type="dxa" w:w="238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Key deliverables</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Gate (decided by)</w:t>
            </w:r>
          </w:p>
        </w:tc>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Go criteria</w:t>
            </w:r>
          </w:p>
        </w:tc>
        <w:tc>
          <w:tcPr>
            <w:tcW w:type="dxa" w:w="153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If not met</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Foundations</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0–3</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The 90-day plan (Exhibit 22), ending with the Guidance Track live on Launch Day</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Launch Day, about M3 (Executive Director reports to the Council)</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Powers opinion issued; intake platform live; draft Rules published</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Guidance Track opens alone; Full Sandbox call held until the opinion confirms the legal basis</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Soft launch</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3–6</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Rules adopted and Full Sandbox call (M4); Committee constituted; applications through stages 1–5; test plans with exit evidence; test environment for P1 and P3; independent cohort-1 evaluation scoped</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First admissions, M6 (Sandbox Committee, on the Executive Director's readiness certificate, Section 5.9)</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Per pilot: approved test plan, risk report, and consent letters or written confirmation that none is needed</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Pilot admitted later, limited to its synthetic phase, or handled as a Guidance Track case</w:t>
            </w:r>
          </w:p>
        </w:tc>
      </w:tr>
      <w:tr>
        <w:trPr>
          <w:cantSplit/>
        </w:trPr>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Controlled launch</w:t>
            </w:r>
          </w:p>
        </w:tc>
        <w:tc>
          <w:tcPr>
            <w:tcW w:type="dxa" w:w="73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6–9</w:t>
            </w:r>
          </w:p>
        </w:tc>
        <w:tc>
          <w:tcPr>
            <w:tcW w:type="dxa" w:w="238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Testing within caps; monthly monitoring; first quarterly regulator forum; first service-standard attainment report; candidate Express Track categories identified; independent evaluator contracted</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Mid-term review, M9 (Council, on the Committee's report)</w:t>
            </w:r>
          </w:p>
        </w:tc>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 unresolved material incident; KPIs 1–4, 14 and 15 reported; staff hours per case against the planning assumption; decisions on round 2 (card 3.7 E) and budget tranche 2 (D3)</w:t>
            </w:r>
          </w:p>
        </w:tc>
        <w:tc>
          <w:tcPr>
            <w:tcW w:type="dxa" w:w="153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Suspend or vary the affected pilots; postpone round 2; hold tranche 2</w:t>
            </w:r>
          </w:p>
        </w:tc>
      </w:tr>
      <w:tr>
        <w:trPr>
          <w:cantSplit/>
        </w:trPr>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Evaluate and extend</w:t>
            </w:r>
          </w:p>
        </w:tc>
        <w:tc>
          <w:tcPr>
            <w:tcW w:type="dxa" w:w="73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9–12</w:t>
            </w:r>
          </w:p>
        </w:tc>
        <w:tc>
          <w:tcPr>
            <w:tcW w:type="dxa" w:w="238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Express Track standard conditions drafted for the Council; test phases end (P4 at M11, P1-P3 at M12); stage-8 evaluations begin; pilot-to-rule notes drafted; MoU discussions; annual report on delivery and process KPIs</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Annual review, M12 (Council)</w:t>
            </w:r>
          </w:p>
        </w:tc>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Year-2 options assessed against the Section 8.3 triggers; year-2 budget</w:t>
            </w:r>
          </w:p>
        </w:tc>
        <w:tc>
          <w:tcPr>
            <w:tcW w:type="dxa" w:w="153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Year-2 options deferred until the cohort-1 evaluations are complete</w:t>
            </w:r>
          </w:p>
        </w:tc>
      </w:tr>
    </w:tbl>
    <w:p>
      <w:pPr>
        <w:spacing w:before="0" w:after="40" w:line="144" w:lineRule="auto"/>
      </w:pPr>
    </w:p>
    <w:p>
      <w:pPr>
        <w:spacing w:before="0" w:after="80" w:line="259" w:lineRule="auto"/>
      </w:pPr>
      <w:r>
        <w:rPr>
          <w:rFonts w:ascii="Calibri" w:hAnsi="Calibri" w:eastAsia="Calibri"/>
          <w:sz w:val="17"/>
        </w:rPr>
        <w:t>After month 12: stage-8 evaluation reports (30 WD after each test ends, Exhibit 8; about M13-M14); the cohort-1 Regulatory Insights Report (60 calendar days after the cohort closes, card 3.8 E; about M14); the independent cohort-1 evaluation. The month-12 annual report therefore covers delivery and process, not outcomes.</w:t>
      </w:r>
    </w:p>
    <w:p>
      <w:pPr>
        <w:pStyle w:val="Heading2"/>
      </w:pPr>
      <w:r>
        <w:rPr>
          <w:rFonts w:ascii="Calibri" w:hAnsi="Calibri" w:eastAsia="Calibri"/>
        </w:rPr>
        <w:t>8.3 Long-term development: cross-border pilots and richer infrastructure start only when the month-12 review finds their triggers met</w:t>
      </w:r>
    </w:p>
    <w:p>
      <w:pPr>
        <w:spacing w:before="0" w:after="40" w:line="259" w:lineRule="auto"/>
      </w:pPr>
      <w:r>
        <w:rPr>
          <w:rFonts w:ascii="Calibri" w:hAnsi="Calibri" w:eastAsia="Calibri"/>
          <w:sz w:val="18"/>
        </w:rPr>
        <w:t>Triggers, assessed at the M12 annual review:</w:t>
      </w:r>
    </w:p>
    <w:p>
      <w:pPr>
        <w:numPr>
          <w:ilvl w:val="0"/>
          <w:numId w:val="90"/>
        </w:numPr>
        <w:spacing w:before="0" w:after="40" w:line="259" w:lineRule="auto"/>
      </w:pPr>
      <w:r>
        <w:rPr>
          <w:rFonts w:ascii="Calibri" w:hAnsi="Calibri" w:eastAsia="Calibri"/>
          <w:b/>
          <w:sz w:val="18"/>
        </w:rPr>
        <w:t>Cross-border Track pilot:</w:t>
      </w:r>
      <w:r>
        <w:rPr>
          <w:rFonts w:ascii="Calibri" w:hAnsi="Calibri" w:eastAsia="Calibri"/>
          <w:sz w:val="18"/>
        </w:rPr>
        <w:t xml:space="preserve"> a partner regulator has signed an MoU and agreed a common test plan in writing, and KPI 15 shows domestic consents arriving within the MoU period.</w:t>
      </w:r>
    </w:p>
    <w:p>
      <w:pPr>
        <w:numPr>
          <w:ilvl w:val="0"/>
          <w:numId w:val="90"/>
        </w:numPr>
        <w:spacing w:before="0" w:after="40" w:line="259" w:lineRule="auto"/>
      </w:pPr>
      <w:r>
        <w:rPr>
          <w:rFonts w:ascii="Calibri" w:hAnsi="Calibri" w:eastAsia="Calibri"/>
          <w:b/>
          <w:sz w:val="18"/>
        </w:rPr>
        <w:t>Recognition of partner regulators' decisions:</w:t>
      </w:r>
      <w:r>
        <w:rPr>
          <w:rFonts w:ascii="Calibri" w:hAnsi="Calibri" w:eastAsia="Calibri"/>
          <w:sz w:val="18"/>
        </w:rPr>
        <w:t xml:space="preserve"> the same, plus counsel's confirmation that EUz may recognise a foreign test decision (Exhibit 13, category Amend).</w:t>
      </w:r>
    </w:p>
    <w:p>
      <w:pPr>
        <w:numPr>
          <w:ilvl w:val="0"/>
          <w:numId w:val="90"/>
        </w:numPr>
        <w:spacing w:before="0" w:after="40" w:line="259" w:lineRule="auto"/>
      </w:pPr>
      <w:r>
        <w:rPr>
          <w:rFonts w:ascii="Calibri" w:hAnsi="Calibri" w:eastAsia="Calibri"/>
          <w:b/>
          <w:sz w:val="18"/>
        </w:rPr>
        <w:t>Richer testing infrastructure:</w:t>
      </w:r>
      <w:r>
        <w:rPr>
          <w:rFonts w:ascii="Calibri" w:hAnsi="Calibri" w:eastAsia="Calibri"/>
          <w:sz w:val="18"/>
        </w:rPr>
        <w:t xml:space="preserve"> the M6 environment is used by more pilots than it was sized for, or participants' feedback shows a data-quality gap.</w:t>
      </w:r>
    </w:p>
    <w:p>
      <w:pPr>
        <w:numPr>
          <w:ilvl w:val="0"/>
          <w:numId w:val="90"/>
        </w:numPr>
        <w:spacing w:before="0" w:after="40" w:line="259" w:lineRule="auto"/>
      </w:pPr>
      <w:r>
        <w:rPr>
          <w:rFonts w:ascii="Calibri" w:hAnsi="Calibri" w:eastAsia="Calibri"/>
          <w:b/>
          <w:sz w:val="18"/>
        </w:rPr>
        <w:t>Standing advisory panel:</w:t>
      </w:r>
      <w:r>
        <w:rPr>
          <w:rFonts w:ascii="Calibri" w:hAnsi="Calibri" w:eastAsia="Calibri"/>
          <w:sz w:val="18"/>
        </w:rPr>
        <w:t xml:space="preserve"> roster experts are called on in most test designs.</w:t>
      </w:r>
    </w:p>
    <w:p>
      <w:pPr>
        <w:numPr>
          <w:ilvl w:val="0"/>
          <w:numId w:val="90"/>
        </w:numPr>
        <w:spacing w:before="0" w:after="40" w:line="259" w:lineRule="auto"/>
      </w:pPr>
      <w:r>
        <w:rPr>
          <w:rFonts w:ascii="Calibri" w:hAnsi="Calibri" w:eastAsia="Calibri"/>
          <w:b/>
          <w:sz w:val="18"/>
        </w:rPr>
        <w:t>Regular regulatory-innovation programme:</w:t>
      </w:r>
      <w:r>
        <w:rPr>
          <w:rFonts w:ascii="Calibri" w:hAnsi="Calibri" w:eastAsia="Calibri"/>
          <w:sz w:val="18"/>
        </w:rPr>
        <w:t xml:space="preserve"> after the first Regulatory Insights Report is published.</w:t>
      </w:r>
    </w:p>
    <w:p>
      <w:pPr>
        <w:pStyle w:val="Heading2"/>
      </w:pPr>
      <w:r>
        <w:rPr>
          <w:rFonts w:ascii="Calibri" w:hAnsi="Calibri" w:eastAsia="Calibri"/>
        </w:rPr>
        <w:t>8.4 KPIs: fifteen measures; year 1 is judged on delivery, and outcome data arrive from about month 14</w:t>
      </w:r>
    </w:p>
    <w:p>
      <w:pPr>
        <w:spacing w:before="0" w:after="80" w:line="259" w:lineRule="auto"/>
      </w:pPr>
      <w:r>
        <w:rPr>
          <w:rFonts w:ascii="Calibri" w:hAnsi="Calibri" w:eastAsia="Calibri"/>
          <w:sz w:val="18"/>
        </w:rPr>
        <w:t>EUz has no baseline yet: targets are set by approach, and any numerical target is a management planning assumption until the first cohort provides data. Outcome data (funds raised, licence or permanent-route status, trading status) are collected at admission (baseline), at exit, and 12 and 24 months after admission.</w:t>
      </w:r>
    </w:p>
    <w:p>
      <w:pPr>
        <w:pStyle w:val="ExhibitTitle"/>
      </w:pPr>
      <w:r>
        <w:rPr>
          <w:rFonts w:ascii="Calibri" w:hAnsi="Calibri" w:eastAsia="Calibri"/>
        </w:rPr>
        <w:t>Exhibit 24. KPI scorecard</w:t>
      </w:r>
    </w:p>
    <w:tbl>
      <w:tblPr>
        <w:tblW w:w="9639" w:type="dxa"/>
        <w:jc w:val="center"/>
        <w:tblLayout w:type="fixed"/>
        <w:tblLook w:firstColumn="1" w:firstRow="1" w:lastColumn="0" w:lastRow="0" w:noHBand="0" w:noVBand="1" w:val="04A0"/>
      </w:tblPr>
      <w:tblGrid>
        <w:gridCol w:w="1417"/>
        <w:gridCol w:w="2324"/>
        <w:gridCol w:w="1134"/>
        <w:gridCol w:w="1360"/>
        <w:gridCol w:w="1134"/>
        <w:gridCol w:w="1474"/>
        <w:gridCol w:w="793"/>
      </w:tblGrid>
      <w:tr>
        <w:trPr>
          <w:cantSplit/>
          <w:tblHeader/>
        </w:trPr>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KPI</w:t>
            </w:r>
          </w:p>
        </w:tc>
        <w:tc>
          <w:tcPr>
            <w:tcW w:type="dxa" w:w="232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Definition and measurement</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Data source</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Owner</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Frequency</w:t>
            </w:r>
          </w:p>
        </w:tc>
        <w:tc>
          <w:tcPr>
            <w:tcW w:type="dxa" w:w="147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Target-setting approach</w:t>
            </w:r>
          </w:p>
        </w:tc>
        <w:tc>
          <w:tcPr>
            <w:tcW w:type="dxa" w:w="7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First data</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 Time to decision (Full Sandbox)</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Median EUz-controlled WD from complete application to Committee decision (admit or decline), clock stopped while awaiting applicant or regulator; also median elapsed calendar days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Platform timestamps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Against the published 50 WD service standard (planning assumption; Exhibit 8); revisit after the first ten decisions</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M6</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2 Screening turnaround</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Share of applications screened within the service standard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Platform</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Monthly</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10 WD (planning assumption)</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Launch Day (about M3)</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3 Guidance response</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Share of guidance cases closed with a written position within the service standard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Case register</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Regulatory counsel</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Set after first 20 cases</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About M5</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4 Pilots launched</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Approved test plans (pilots) that began testing, with the number of participating organisations</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Case register</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Planning range three to four in year 1</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M6</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5 Tests concluded with evidence</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Share of admitted tests ending with a stage-8 evaluation and Committee exit decision, whether successful, stopped early or failed (stop-loss terminations count)</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Case register</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 (Committee accountable)</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Per cohort</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Aim: all tests (planning assumption)</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About M14</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6 Permanent-route conversion</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Share of exited participants holding a permanent route within 12 months of exit</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Exit survey; register</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 (Committee accountable)</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Annual</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MAS 15 of 19 (cumulative to end-Sep 2025), as context only</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About M26</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7 Regulatory uncertainties closed</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Uncertainties in mapping memos and the share closed by a published position, consent or rule (count and age)</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Position library; mapping memos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Regulatory counsel</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Set after the first 20 uncertainties</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About M5</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8 Pilot-to-rule notes</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Share of exited tests with a Council note (rule change, guidance or no change) within 60 calendar days of exit</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minutes</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Per cohort</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Aim: all exited tests</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About M16</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9 Private investment</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Funds raised by participants in the 24 months after admission (participant-reported, documented)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Participant reports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Business development</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Annual</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 only; no target</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About M30</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10 International firms served</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Firms headquartered outside Uzbekistan admitted to the Full Sandbox or given a Guidance position, and how many of these registered as Centre participants within 12 months; applications as context only</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Case register; Registrar</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Business development</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Quarterly</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Set after demand test</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About M5</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11 Cross-border experiments</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Completed multi-jurisdiction tests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Case register</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International affairs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Annual</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Zero expected in year 1</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Year 2</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12 Participant feedback</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Ratings on a five-point scale, with reasons, after exit: distribution and n; no mean below ten responses</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Survey</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Per cohort</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Trend over cohorts</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About M14</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13 Cost and time savings</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Participant-estimated saving against baseline recorded at admission (label: estimate)</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Participant reports</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Per cohort</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Report only; never extrapolate</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About M14</w:t>
            </w:r>
          </w:p>
        </w:tc>
      </w:tr>
      <w:tr>
        <w:trPr>
          <w:cantSplit/>
        </w:trPr>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14 Harm incidents</w:t>
            </w:r>
          </w:p>
        </w:tc>
        <w:tc>
          <w:tcPr>
            <w:tcW w:type="dxa" w:w="232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Material incidents and stop-loss triggers per active pilot</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Incident log</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Risk, cyber and integrity lead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Monthly</w:t>
            </w:r>
          </w:p>
        </w:tc>
        <w:tc>
          <w:tcPr>
            <w:tcW w:type="dxa" w:w="147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Threshold set in risk framework</w:t>
            </w:r>
          </w:p>
        </w:tc>
        <w:tc>
          <w:tcPr>
            <w:tcW w:type="dxa" w:w="7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M6</w:t>
            </w:r>
          </w:p>
        </w:tc>
      </w:tr>
      <w:tr>
        <w:trPr>
          <w:cantSplit/>
        </w:trPr>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15 Regulator consent turnaround</w:t>
            </w:r>
          </w:p>
        </w:tc>
        <w:tc>
          <w:tcPr>
            <w:tcW w:type="dxa" w:w="232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Median WD from EUz's consent request to the regulator's written reply, by authority; share answered within the MoU period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Consent tracker (platform)</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head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Monthly</w:t>
            </w:r>
          </w:p>
        </w:tc>
        <w:tc>
          <w:tcPr>
            <w:tcW w:type="dxa" w:w="147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Period set in each MoU; reported to the quarterly regulator forum</w:t>
            </w:r>
          </w:p>
        </w:tc>
        <w:tc>
          <w:tcPr>
            <w:tcW w:type="dxa" w:w="7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About M5</w:t>
            </w:r>
          </w:p>
        </w:tc>
      </w:tr>
    </w:tbl>
    <w:p>
      <w:pPr>
        <w:spacing w:before="0" w:after="40" w:line="144" w:lineRule="auto"/>
      </w:pPr>
    </w:p>
    <w:p>
      <w:pPr>
        <w:spacing w:before="0" w:after="80" w:line="259" w:lineRule="auto"/>
      </w:pPr>
      <w:r>
        <w:rPr>
          <w:rFonts w:ascii="Calibri" w:hAnsi="Calibri" w:eastAsia="Calibri"/>
          <w:sz w:val="17"/>
        </w:rPr>
        <w:t>First-data months follow from Exhibit 8 and the timing conventions; the month-12 annual report can show KPIs 1–4, 7, 10, 14 and 15.</w:t>
      </w:r>
    </w:p>
    <w:p>
      <w:pPr>
        <w:pStyle w:val="Heading2"/>
      </w:pPr>
      <w:r>
        <w:rPr>
          <w:rFonts w:ascii="Calibri" w:hAnsi="Calibri" w:eastAsia="Calibri"/>
        </w:rPr>
        <w:t>8.5 Management decision matrix: legal verification by Day 20, then the operating model and admission authority by Day 30</w:t>
      </w:r>
    </w:p>
    <w:p>
      <w:pPr>
        <w:pStyle w:val="ExhibitTitle"/>
      </w:pPr>
      <w:r>
        <w:rPr>
          <w:rFonts w:ascii="Calibri" w:hAnsi="Calibri" w:eastAsia="Calibri"/>
        </w:rPr>
        <w:t>Exhibit 25. Decisions required to launch the EUz Sandbox</w:t>
      </w:r>
    </w:p>
    <w:tbl>
      <w:tblPr>
        <w:tblW w:w="9639" w:type="dxa"/>
        <w:jc w:val="center"/>
        <w:tblLayout w:type="fixed"/>
        <w:tblLook w:firstColumn="1" w:firstRow="1" w:lastColumn="0" w:lastRow="0" w:noHBand="0" w:noVBand="1" w:val="04A0"/>
      </w:tblPr>
      <w:tblGrid>
        <w:gridCol w:w="453"/>
        <w:gridCol w:w="1360"/>
        <w:gridCol w:w="1701"/>
        <w:gridCol w:w="1417"/>
        <w:gridCol w:w="1304"/>
        <w:gridCol w:w="1134"/>
        <w:gridCol w:w="1190"/>
        <w:gridCol w:w="1077"/>
      </w:tblGrid>
      <w:tr>
        <w:trPr>
          <w:cantSplit/>
          <w:tblHeader/>
        </w:trPr>
        <w:tc>
          <w:tcPr>
            <w:tcW w:type="dxa" w:w="45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4"/>
              </w:rPr>
              <w:t>#</w:t>
            </w:r>
          </w:p>
        </w:tc>
        <w:tc>
          <w:tcPr>
            <w:tcW w:type="dxa" w:w="136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Decision</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Recommended option</w:t>
            </w:r>
          </w:p>
        </w:tc>
        <w:tc>
          <w:tcPr>
            <w:tcW w:type="dxa" w:w="141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Alternatives considered</w:t>
            </w:r>
          </w:p>
        </w:tc>
        <w:tc>
          <w:tcPr>
            <w:tcW w:type="dxa" w:w="130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Decided by (prepared by)</w:t>
            </w:r>
          </w:p>
        </w:tc>
        <w:tc>
          <w:tcPr>
            <w:tcW w:type="dxa" w:w="113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By</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Ask at this meeting</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Council resolution</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D1</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Operating model and track sequencing</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Two tracks at launch (Guidance Track on Launch Day; Full Sandbox call at M4); Express Track and Prototyping Track piloted after the cohort-1 evaluations (from about M13-M14); Cross-border Track in year 2</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All five tracks at launch; financial-only scope; Express Track from month 6 without cohort data</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(Executive Director)</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30</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Approve in principle</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Yes</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D2</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Admission authority</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Delegate to the Sandbox Committee if counsel confirms, otherwise the Council decides each case by written procedure; adopt the Committee procedure, including urgent suspension (Section 5.1), and two-step reconsideration and appeal (Section 5.5)</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Council decides every case</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(General Counsel)</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30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Approve in principle, subject to D4a</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Yes</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D3</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Secretariat, headcount and budget</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Named Sandbox head and core team of about six (planning assumption); costed envelope by Day 45; no fees in year one; two funding tranches; EUz appoints independent assessors (note below)</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Outsource the function; part-time unit</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for the envelope; Executive Director for appointments (Executive Director)</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45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Approve headcount; commission the costed envelope</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Yes</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D4a</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Legal verification and powers opinion (Actions 1–2)</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Counsel reviews the official texts before any rule is drafted</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Draft rules first and check later</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General Counsel, on the Chairman's instruction (General Counsel)</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20 (baseline); Day 25 (opinion)</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Instruct now</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D4b</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 Rules</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Approve the draft for consultation (Day 75); adopt the final Rules (M4)</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None</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(General Counsel; Sandbox head)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75 / M4</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Returns for decision</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Yes</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D5</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Safeguards, liability and integrity baseline</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Exhibit 14 baseline: caps, disclosure, stop-loss and incident rule on every test; participant liability (proof of capacity to compensate; wind-down plan); integrity screening; non-waivable AML/CFT and sanctions duties; AI compliance tools never replace required controls; impact assessment before live personal data</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Case-by-case safeguards; EUz-funded compensation pool; reliance on participants' own controls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(General Counsel; Sandbox head)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60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Returns for decision</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Yes</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D6</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Pilot portfolio</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Council endorses the selection criteria now and P1-P3 plus internal pilot P4 at Day 75, each with a pilot lead and, where needed, consenting authority (Exhibit 21a); the Committee admits a sandbox pilot only after the Rules are adopted and its consenting authority is named; the Executive Director approves P4</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Wider portfolio; single flagship pilot</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for the portfolio; Sandbox Committee for admission (Sandbox head)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75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Endorse the selection criteria</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D7</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Digital platform</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Minimum viable platform; open tender, with the non-functional requirements in Exhibit 16a; synthetic data first; an interim EUz-controlled case system for Launch Day</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Build full platform; no platform</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Executive Director (Platform and data lead)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60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For information</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D8</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International partner scope</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WEF for convening, including the W1 operator peer review; direct regulator MoUs; counsel for drafting; term sheet on W1-W5 and terms 1–6 (Exhibit 19a)</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WEF as design lead; no partner</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the Chairman signs any agreement (International affairs)</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75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Mandate scoping of WEF and alternatives</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Yes</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D9</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Publication policy</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Publish service standards, attainment, case register (anonymised), exit and insight reports</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Publish annual summary only</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(Sandbox head)</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Day 60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Returns for decision</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Yes</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D10</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KPI framework</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Adopt the Section 8.4 scorecard; baselines after cohort 1</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Targets fixed now</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Executive Director; reported to the Council annually (Sandbox head)</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75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For information</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w:t>
            </w:r>
          </w:p>
        </w:tc>
      </w:tr>
      <w:tr>
        <w:trPr>
          <w:cantSplit/>
        </w:trPr>
        <w:tc>
          <w:tcPr>
            <w:tcW w:type="dxa" w:w="45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D11</w:t>
            </w:r>
          </w:p>
        </w:tc>
        <w:tc>
          <w:tcPr>
            <w:tcW w:type="dxa" w:w="136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External release of the English version</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Release after Annex D steps 1–3</w:t>
            </w:r>
          </w:p>
        </w:tc>
        <w:tc>
          <w:tcPr>
            <w:tcW w:type="dxa" w:w="141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Release now with caveats</w:t>
            </w:r>
          </w:p>
        </w:tc>
        <w:tc>
          <w:tcPr>
            <w:tcW w:type="dxa" w:w="130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Chairman (General Counsel; Communications)</w:t>
            </w:r>
          </w:p>
        </w:tc>
        <w:tc>
          <w:tcPr>
            <w:tcW w:type="dxa" w:w="113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Target date set at this meeting; release after Annex D steps 1–3</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Approve the release condition and set the target date</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w:t>
            </w:r>
          </w:p>
        </w:tc>
      </w:tr>
      <w:tr>
        <w:trPr>
          <w:cantSplit/>
        </w:trPr>
        <w:tc>
          <w:tcPr>
            <w:tcW w:type="dxa" w:w="45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b/>
                <w:color w:val="39393B"/>
                <w:sz w:val="14"/>
              </w:rPr>
              <w:t>D12</w:t>
            </w:r>
          </w:p>
        </w:tc>
        <w:tc>
          <w:tcPr>
            <w:tcW w:type="dxa" w:w="136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Regulator consent and referral policy</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 deemed consent; refusal leads to re-scoping, Guidance or referral; one sandbox admission per activity; referral rules with the Central Bank and NAPP first (Sections 5.1, 5.8)</w:t>
            </w:r>
          </w:p>
        </w:tc>
        <w:tc>
          <w:tcPr>
            <w:tcW w:type="dxa" w:w="141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Admit subject to later consent; route case by case</w:t>
            </w:r>
          </w:p>
        </w:tc>
        <w:tc>
          <w:tcPr>
            <w:tcW w:type="dxa" w:w="130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Governing Council (Sandbox head with General Counsel)</w:t>
            </w:r>
          </w:p>
        </w:tc>
        <w:tc>
          <w:tcPr>
            <w:tcW w:type="dxa" w:w="113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Day 60</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Returns for decision</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Yes</w:t>
            </w:r>
          </w:p>
        </w:tc>
      </w:tr>
    </w:tbl>
    <w:p>
      <w:pPr>
        <w:spacing w:before="0" w:after="40" w:line="144" w:lineRule="auto"/>
      </w:pPr>
    </w:p>
    <w:p>
      <w:pPr>
        <w:spacing w:before="0" w:after="60" w:line="259" w:lineRule="auto"/>
      </w:pPr>
      <w:r>
        <w:rPr>
          <w:rFonts w:ascii="Calibri" w:hAnsi="Calibri" w:eastAsia="Calibri"/>
          <w:b/>
          <w:sz w:val="17"/>
        </w:rPr>
        <w:t>D3 costed envelope and funding rules.</w:t>
      </w:r>
      <w:r>
        <w:rPr>
          <w:rFonts w:ascii="Calibri" w:hAnsi="Calibri" w:eastAsia="Calibri"/>
          <w:sz w:val="17"/>
        </w:rPr>
        <w:t xml:space="preserve"> By Day 45 the Executive Director returns with a costed envelope on seven lines: Secretariat staff; platform MVP (D7 tender); expert-roster fees per case; independent cohort-1 evaluation; external legal drafting and verification; security testing and data-protection assessment before live data; central contingency. No figure is proposed: EUz has no cost baseline. No application or participation fee is charged in year one; fees are revisited at the annual review (the ICO's 2024 Insights Report describes its sandbox as a free service [S46]; Ofgem's planned AI Technical Sandbox is free during its pilot [S48]). Participants bear their own costs, including insurance; EUz funds the test environment, expert review and independent assurance needed for published findings (Chapter 7) and always appoints assessors and evaluators itself, never the assessed participant. Tranche 1 covers months 0–9; tranche 2 is released at the month-9 review against KPIs 1–4 and pilots admitted with consents in place.</w:t>
      </w:r>
    </w:p>
    <w:p>
      <w:pPr>
        <w:spacing w:before="0" w:after="80" w:line="259" w:lineRule="auto"/>
      </w:pPr>
      <w:r>
        <w:rPr>
          <w:rFonts w:ascii="Calibri" w:hAnsi="Calibri" w:eastAsia="Calibri"/>
          <w:sz w:val="17"/>
        </w:rPr>
        <w:t>Decided-by roles are recommendations, to be confirmed against the Council powers in the EUz working file (Art. 15–17; W) [S31] under Action 2.</w:t>
      </w:r>
    </w:p>
    <w:p>
      <w:pPr>
        <w:pStyle w:val="Heading1"/>
        <w:pageBreakBefore/>
        <w:pBdr>
          <w:bottom w:val="single" w:sz="12" w:space="3" w:color="009162"/>
        </w:pBdr>
      </w:pPr>
      <w:r>
        <w:rPr>
          <w:rFonts w:ascii="Calibri" w:hAnsi="Calibri" w:eastAsia="Calibri"/>
        </w:rPr>
        <w:t>Annex A. Extended benchmarking matrix</w:t>
      </w:r>
    </w:p>
    <w:p>
      <w:pPr>
        <w:spacing w:before="0" w:after="80" w:line="259" w:lineRule="auto"/>
      </w:pPr>
      <w:r>
        <w:rPr>
          <w:rFonts w:ascii="Calibri" w:hAnsi="Calibri" w:eastAsia="Calibri"/>
          <w:sz w:val="18"/>
        </w:rPr>
        <w:t xml:space="preserve">Status: </w:t>
      </w:r>
      <w:r>
        <w:rPr>
          <w:rFonts w:ascii="Calibri" w:hAnsi="Calibri" w:eastAsia="Calibri"/>
          <w:b/>
          <w:sz w:val="18"/>
        </w:rPr>
        <w:t>Statutory</w:t>
      </w:r>
      <w:r>
        <w:rPr>
          <w:rFonts w:ascii="Calibri" w:hAnsi="Calibri" w:eastAsia="Calibri"/>
          <w:sz w:val="18"/>
        </w:rPr>
        <w:t xml:space="preserve"> = established by a legal act; </w:t>
      </w:r>
      <w:r>
        <w:rPr>
          <w:rFonts w:ascii="Calibri" w:hAnsi="Calibri" w:eastAsia="Calibri"/>
          <w:b/>
          <w:sz w:val="18"/>
        </w:rPr>
        <w:t>Operational</w:t>
      </w:r>
      <w:r>
        <w:rPr>
          <w:rFonts w:ascii="Calibri" w:hAnsi="Calibri" w:eastAsia="Calibri"/>
          <w:sz w:val="18"/>
        </w:rPr>
        <w:t xml:space="preserve"> = running; </w:t>
      </w:r>
      <w:r>
        <w:rPr>
          <w:rFonts w:ascii="Calibri" w:hAnsi="Calibri" w:eastAsia="Calibri"/>
          <w:b/>
          <w:sz w:val="18"/>
        </w:rPr>
        <w:t>Announced</w:t>
      </w:r>
      <w:r>
        <w:rPr>
          <w:rFonts w:ascii="Calibri" w:hAnsi="Calibri" w:eastAsia="Calibri"/>
          <w:sz w:val="18"/>
        </w:rPr>
        <w:t xml:space="preserve"> = decided or proposed, not yet running. Figures are as reported by the cited source, regulator-reported (R) unless otherwise tagged, and not yet checked against the full primary text. "Not verified" = no figure found.</w:t>
      </w:r>
    </w:p>
    <w:p>
      <w:pPr>
        <w:pStyle w:val="Heading3"/>
      </w:pPr>
      <w:r>
        <w:rPr>
          <w:rFonts w:ascii="Calibri" w:hAnsi="Calibri" w:eastAsia="Calibri"/>
        </w:rPr>
        <w:t>International programmes</w:t>
      </w:r>
    </w:p>
    <w:tbl>
      <w:tblPr>
        <w:tblW w:w="9639" w:type="dxa"/>
        <w:jc w:val="center"/>
        <w:tblLayout w:type="fixed"/>
        <w:tblLook w:firstColumn="1" w:firstRow="1" w:lastColumn="0" w:lastRow="0" w:noHBand="0" w:noVBand="1" w:val="04A0"/>
      </w:tblPr>
      <w:tblGrid>
        <w:gridCol w:w="1927"/>
        <w:gridCol w:w="1077"/>
        <w:gridCol w:w="1190"/>
        <w:gridCol w:w="4536"/>
        <w:gridCol w:w="907"/>
      </w:tblGrid>
      <w:tr>
        <w:trPr>
          <w:cantSplit/>
          <w:tblHeader/>
        </w:trPr>
        <w:tc>
          <w:tcPr>
            <w:tcW w:type="dxa" w:w="192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Programme</w:t>
            </w:r>
          </w:p>
        </w:tc>
        <w:tc>
          <w:tcPr>
            <w:tcW w:type="dxa" w:w="107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Launch</w:t>
            </w:r>
          </w:p>
        </w:tc>
        <w:tc>
          <w:tcPr>
            <w:tcW w:type="dxa" w:w="119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Status</w:t>
            </w:r>
          </w:p>
        </w:tc>
        <w:tc>
          <w:tcPr>
            <w:tcW w:type="dxa" w:w="45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Documented figures and notes</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Source</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FCA Regulatory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629 applied, 172 accepted, 2016–Dec 2023 (27%, D)</w:t>
            </w:r>
          </w:p>
          <w:p>
            <w:pPr>
              <w:spacing w:before="0" w:after="20" w:line="245" w:lineRule="auto"/>
            </w:pPr>
            <w:r>
              <w:rPr>
                <w:rFonts w:ascii="Calibri" w:hAnsi="Calibri" w:eastAsia="Calibri"/>
                <w:color w:val="39393B"/>
                <w:sz w:val="14"/>
              </w:rPr>
              <w:t>FY2025/26: 142 applied, 14 accepted (provisional, May 2026); 13% accepted in calendar 2025</w:t>
            </w:r>
          </w:p>
          <w:p>
            <w:pPr>
              <w:spacing w:before="0" w:after="20" w:line="245" w:lineRule="auto"/>
            </w:pPr>
            <w:r>
              <w:rPr>
                <w:rFonts w:ascii="Calibri" w:hAnsi="Calibri" w:eastAsia="Calibri"/>
                <w:color w:val="39393B"/>
                <w:sz w:val="14"/>
              </w:rPr>
              <w:t>Indicative decision times: eligibility about 2–3 weeks; full assessment about 8–12 weeks (T)</w:t>
            </w:r>
          </w:p>
          <w:p>
            <w:pPr>
              <w:spacing w:before="0" w:after="20" w:line="245" w:lineRule="auto"/>
            </w:pPr>
            <w:r>
              <w:rPr>
                <w:rFonts w:ascii="Calibri" w:hAnsi="Calibri" w:eastAsia="Calibri"/>
                <w:color w:val="39393B"/>
                <w:sz w:val="14"/>
              </w:rPr>
              <w:t>Stablecoins cohort: 4 selected from 20 applications (Feb 2026)</w:t>
            </w:r>
          </w:p>
          <w:p>
            <w:pPr>
              <w:spacing w:before="0" w:after="20" w:line="245" w:lineRule="auto"/>
            </w:pPr>
            <w:r>
              <w:rPr>
                <w:rFonts w:ascii="Calibri" w:hAnsi="Calibri" w:eastAsia="Calibri"/>
                <w:color w:val="39393B"/>
                <w:sz w:val="14"/>
              </w:rPr>
              <w:t>Tools: FCA rule waivers or modifications only; no-enforcement-action letters do not limit liability to consumers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 S3 S39–S41</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UK FCA Digital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2020 (pilots); permanent 2023</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Pilot 1 (Oct 2020–Feb 2021): 28 organisations from 94 applications; pilot 2 (Nov 2021–Mar 2022): 12 firms from 40</w:t>
            </w:r>
          </w:p>
          <w:p>
            <w:pPr>
              <w:spacing w:before="0" w:after="20" w:line="245" w:lineRule="auto"/>
            </w:pPr>
            <w:r>
              <w:rPr>
                <w:rFonts w:ascii="Calibri" w:hAnsi="Calibri" w:eastAsia="Calibri"/>
                <w:color w:val="39393B"/>
                <w:sz w:val="14"/>
              </w:rPr>
              <w:t>Permanent since 1 Aug 2023; built and operated by vendor NayaOne; 300+ datasets listed (Aug 2026)</w:t>
            </w:r>
          </w:p>
          <w:p>
            <w:pPr>
              <w:spacing w:before="0" w:after="20" w:line="245" w:lineRule="auto"/>
            </w:pPr>
            <w:r>
              <w:rPr>
                <w:rFonts w:ascii="Calibri" w:hAnsi="Calibri" w:eastAsia="Calibri"/>
                <w:color w:val="39393B"/>
                <w:sz w:val="14"/>
              </w:rPr>
              <w:t>Pilot 1 evaluation: 84% of survey respondents said it accelerated product development (P)</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S4 S42</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FCA Supercharged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2025</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AI experimentation infrastructure (compute, data, models) via NayaOne and NVIDIA; Anthropic added for cohort 2</w:t>
            </w:r>
          </w:p>
          <w:p>
            <w:pPr>
              <w:spacing w:before="0" w:after="20" w:line="245" w:lineRule="auto"/>
            </w:pPr>
            <w:r>
              <w:rPr>
                <w:rFonts w:ascii="Calibri" w:hAnsi="Calibri" w:eastAsia="Calibri"/>
                <w:color w:val="39393B"/>
                <w:sz w:val="14"/>
              </w:rPr>
              <w:t>Cohort 1: 23 firms from 132 applications (Oct 2025–Jan 2026); cohort 2: 21 organisations from 199 (13 Jul–31 Dec 2026)</w:t>
            </w:r>
          </w:p>
          <w:p>
            <w:pPr>
              <w:spacing w:before="0" w:after="20" w:line="245" w:lineRule="auto"/>
            </w:pPr>
            <w:r>
              <w:rPr>
                <w:rFonts w:ascii="Calibri" w:hAnsi="Calibri" w:eastAsia="Calibri"/>
                <w:color w:val="39393B"/>
                <w:sz w:val="14"/>
              </w:rPr>
              <w:t>No FCA authorisation conferred; qualitative outcomes only (P)</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S43</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UK FCA AI Live Testing</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2025</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(time-limited pilot)</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Cohort 1: 7 firms (named Dec 2025); cohort 2: 8 firms (Apr 2026); technical partner Advai</w:t>
            </w:r>
          </w:p>
          <w:p>
            <w:pPr>
              <w:spacing w:before="0" w:after="20" w:line="245" w:lineRule="auto"/>
            </w:pPr>
            <w:r>
              <w:rPr>
                <w:rFonts w:ascii="Calibri" w:hAnsi="Calibri" w:eastAsia="Calibri"/>
                <w:color w:val="39393B"/>
                <w:sz w:val="14"/>
              </w:rPr>
              <w:t>Testing to end by end-2026; evaluation report due Q1 2027 (T); no outcomes published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S33 S44</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Digital Securities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2024</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HM Treasury regulations (SI 2023/1398, in force 8 Jan 2024) under the Financial Services and Markets Act 2023; run by the Bank of England and the FCA</w:t>
            </w:r>
          </w:p>
          <w:p>
            <w:pPr>
              <w:spacing w:before="0" w:after="20" w:line="245" w:lineRule="auto"/>
            </w:pPr>
            <w:r>
              <w:rPr>
                <w:rFonts w:ascii="Calibri" w:hAnsi="Calibri" w:eastAsia="Calibri"/>
                <w:color w:val="39393B"/>
                <w:sz w:val="14"/>
              </w:rPr>
              <w:t>Modifies or disapplies specified financial-markets legislation for participants testing distributed-ledger market infrastructure</w:t>
            </w:r>
          </w:p>
          <w:p>
            <w:pPr>
              <w:spacing w:before="0" w:after="20" w:line="245" w:lineRule="auto"/>
            </w:pPr>
            <w:r>
              <w:rPr>
                <w:rFonts w:ascii="Calibri" w:hAnsi="Calibri" w:eastAsia="Calibri"/>
                <w:color w:val="39393B"/>
                <w:sz w:val="14"/>
              </w:rPr>
              <w:t>Participant numbers not verified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S45</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UK ICO Regulatory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2019 (beta)</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(non-statutory)</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Beta: 10 selected from 64 applications (Jul 2019; Nov 2021 review gives 65)</w:t>
            </w:r>
          </w:p>
          <w:p>
            <w:pPr>
              <w:spacing w:before="0" w:after="20" w:line="245" w:lineRule="auto"/>
            </w:pPr>
            <w:r>
              <w:rPr>
                <w:rFonts w:ascii="Calibri" w:hAnsi="Calibri" w:eastAsia="Calibri"/>
                <w:color w:val="39393B"/>
                <w:sz w:val="14"/>
              </w:rPr>
              <w:t>2024 Insights Report: 14 post-beta participants; no legal exemption; exit reports published</w:t>
            </w:r>
          </w:p>
          <w:p>
            <w:pPr>
              <w:spacing w:before="0" w:after="20" w:line="245" w:lineRule="auto"/>
            </w:pPr>
            <w:r>
              <w:rPr>
                <w:rFonts w:ascii="Calibri" w:hAnsi="Calibri" w:eastAsia="Calibri"/>
                <w:color w:val="39393B"/>
                <w:sz w:val="14"/>
              </w:rPr>
              <w:t>Statutory-sandbox research (Jul 2026): feasible, subject to primary legislation and conditions (a recommendation)</w:t>
            </w:r>
          </w:p>
          <w:p>
            <w:pPr>
              <w:spacing w:before="0" w:after="20" w:line="245" w:lineRule="auto"/>
            </w:pPr>
            <w:r>
              <w:rPr>
                <w:rFonts w:ascii="Calibri" w:hAnsi="Calibri" w:eastAsia="Calibri"/>
                <w:color w:val="39393B"/>
                <w:sz w:val="14"/>
              </w:rPr>
              <w:t>ICO replaced by the Information Commission from 30 Sep 2026 (S)</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 S46 S47</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UK Ofgem Energy Regulation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2017 (window 1); rolling from 2020</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Window 1: 30 expressions of interest, 3 sandboxes, 22 feedback only</w:t>
            </w:r>
          </w:p>
          <w:p>
            <w:pPr>
              <w:spacing w:before="0" w:after="20" w:line="245" w:lineRule="auto"/>
            </w:pPr>
            <w:r>
              <w:rPr>
                <w:rFonts w:ascii="Calibri" w:hAnsi="Calibri" w:eastAsia="Calibri"/>
                <w:color w:val="39393B"/>
                <w:sz w:val="14"/>
              </w:rPr>
              <w:t>Grants after 2023 and any resulting rule change not verified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S6</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UK Ofgem AI Technical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2026 (pilot)</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Announced</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Decided Jun 2026: 12-month pilot, target start late autumn 2026 (not confirmed); free during the pilot</w:t>
            </w:r>
          </w:p>
          <w:p>
            <w:pPr>
              <w:spacing w:before="0" w:after="20" w:line="245" w:lineRule="auto"/>
            </w:pPr>
            <w:r>
              <w:rPr>
                <w:rFonts w:ascii="Calibri" w:hAnsi="Calibri" w:eastAsia="Calibri"/>
                <w:color w:val="39393B"/>
                <w:sz w:val="14"/>
              </w:rPr>
              <w:t>Lead applicants: licensees, market participants or operators of essential services; legal agreement required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S48</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Singapore MAS Sandbox, Sandbox Express, Sandbox Plus</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 2019; 2022</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19 firms accepted since 2016; 15 graduated and licensed, 1 later ceased operations (end-Sep 2025)</w:t>
            </w:r>
          </w:p>
          <w:p>
            <w:pPr>
              <w:spacing w:before="0" w:after="20" w:line="245" w:lineRule="auto"/>
            </w:pPr>
            <w:r>
              <w:rPr>
                <w:rFonts w:ascii="Calibri" w:hAnsi="Calibri" w:eastAsia="Calibri"/>
                <w:color w:val="39393B"/>
                <w:sz w:val="14"/>
              </w:rPr>
              <w:t>Median about 3 months from submission to outcome, including applicant response time</w:t>
            </w:r>
          </w:p>
          <w:p>
            <w:pPr>
              <w:spacing w:before="0" w:after="20" w:line="245" w:lineRule="auto"/>
            </w:pPr>
            <w:r>
              <w:rPr>
                <w:rFonts w:ascii="Calibri" w:hAnsi="Calibri" w:eastAsia="Calibri"/>
                <w:color w:val="39393B"/>
                <w:sz w:val="14"/>
              </w:rPr>
              <w:t>Sandbox Express: 21-day target (T); remittance track withdrawn from 7 Jan 2020; no usage data found; unclear whether its admissions are in the 19 (Annex B)</w:t>
            </w:r>
          </w:p>
          <w:p>
            <w:pPr>
              <w:spacing w:before="0" w:after="20" w:line="245" w:lineRule="auto"/>
            </w:pPr>
            <w:r>
              <w:rPr>
                <w:rFonts w:ascii="Calibri" w:hAnsi="Calibri" w:eastAsia="Calibri"/>
                <w:color w:val="39393B"/>
                <w:sz w:val="14"/>
              </w:rPr>
              <w:t>Sandbox Plus: no approvals as at end-Sep 2025</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S7–S9</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UAE ADGM RegLab</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2016</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32 firms admitted from 83 applications from 20 countries, May 2017–Aug 2019 (ADGM total; Annex B)</w:t>
            </w:r>
          </w:p>
          <w:p>
            <w:pPr>
              <w:spacing w:before="0" w:after="20" w:line="245" w:lineRule="auto"/>
            </w:pPr>
            <w:r>
              <w:rPr>
                <w:rFonts w:ascii="Calibri" w:hAnsi="Calibri" w:eastAsia="Calibri"/>
                <w:color w:val="39393B"/>
                <w:sz w:val="14"/>
              </w:rPr>
              <w:t>Graduates named as deploying in the live market: NOW Money, Pyypl; no conversion rate published</w:t>
            </w:r>
          </w:p>
          <w:p>
            <w:pPr>
              <w:spacing w:before="0" w:after="20" w:line="245" w:lineRule="auto"/>
            </w:pPr>
            <w:r>
              <w:rPr>
                <w:rFonts w:ascii="Calibri" w:hAnsi="Calibri" w:eastAsia="Calibri"/>
                <w:color w:val="39393B"/>
                <w:sz w:val="14"/>
              </w:rPr>
              <w:t>Later totals not found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S13 S49</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UAE DFSA Innovation Testing Licence (ITL)</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105 applied, 51 accepted, 3 graduated (Jun 2021); 130 applied, 67 accepted (Jul 2022), then an open application window</w:t>
            </w:r>
          </w:p>
          <w:p>
            <w:pPr>
              <w:spacing w:before="0" w:after="20" w:line="245" w:lineRule="auto"/>
            </w:pPr>
            <w:r>
              <w:rPr>
                <w:rFonts w:ascii="Calibri" w:hAnsi="Calibri" w:eastAsia="Calibri"/>
                <w:color w:val="39393B"/>
                <w:sz w:val="14"/>
              </w:rPr>
              <w:t>First graduate: Sarwa (Nov 2018)</w:t>
            </w:r>
          </w:p>
          <w:p>
            <w:pPr>
              <w:spacing w:before="0" w:after="20" w:line="245" w:lineRule="auto"/>
            </w:pPr>
            <w:r>
              <w:rPr>
                <w:rFonts w:ascii="Calibri" w:hAnsi="Calibri" w:eastAsia="Calibri"/>
                <w:color w:val="39393B"/>
                <w:sz w:val="14"/>
              </w:rPr>
              <w:t>Decisions typically 10–12 weeks after a complete application (indicative, T; May 2025 guide)</w:t>
            </w:r>
          </w:p>
          <w:p>
            <w:pPr>
              <w:spacing w:before="0" w:after="20" w:line="245" w:lineRule="auto"/>
            </w:pPr>
            <w:r>
              <w:rPr>
                <w:rFonts w:ascii="Calibri" w:hAnsi="Calibri" w:eastAsia="Calibri"/>
                <w:color w:val="39393B"/>
                <w:sz w:val="14"/>
              </w:rPr>
              <w:t>Later official totals not found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S14 S50</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UAE DFSA Tokenisation Regulatory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2025</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(2025 call)</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Themed call within the ITL framework: 96 expressions of interest</w:t>
            </w:r>
          </w:p>
          <w:p>
            <w:pPr>
              <w:spacing w:before="0" w:after="20" w:line="245" w:lineRule="auto"/>
            </w:pPr>
            <w:r>
              <w:rPr>
                <w:rFonts w:ascii="Calibri" w:hAnsi="Calibri" w:eastAsia="Calibri"/>
                <w:color w:val="39393B"/>
                <w:sz w:val="14"/>
              </w:rPr>
              <w:t>Selected firms go to live testing under an ITL or straight to full authorisation</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S50</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WEF-UAE TradeTech Regulatory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2024</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(WEF report Oct 2025)</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8 start-ups; four UAE regulators per WEF, unnamed in the sources reached (P; Annex B)</w:t>
            </w:r>
          </w:p>
          <w:p>
            <w:pPr>
              <w:spacing w:before="0" w:after="20" w:line="245" w:lineRule="auto"/>
            </w:pPr>
            <w:r>
              <w:rPr>
                <w:rFonts w:ascii="Calibri" w:hAnsi="Calibri" w:eastAsia="Calibri"/>
                <w:color w:val="39393B"/>
                <w:sz w:val="14"/>
              </w:rPr>
              <w:t>Platform supplied by NayaOne (vendor-reported, P)</w:t>
            </w:r>
          </w:p>
          <w:p>
            <w:pPr>
              <w:spacing w:before="0" w:after="20" w:line="245" w:lineRule="auto"/>
            </w:pPr>
            <w:r>
              <w:rPr>
                <w:rFonts w:ascii="Calibri" w:hAnsi="Calibri" w:eastAsia="Calibri"/>
                <w:color w:val="39393B"/>
                <w:sz w:val="14"/>
              </w:rPr>
              <w:t>Per-participant outcomes not found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S10 S11 S32</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GFIN cross-border testing</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2018–20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 (pilot report Jan 2020)</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Pilot: 44 applications to 17 regulators; 8 shortlisted; none had begun testing by the report date</w:t>
            </w:r>
          </w:p>
          <w:p>
            <w:pPr>
              <w:spacing w:before="0" w:after="20" w:line="245" w:lineRule="auto"/>
            </w:pPr>
            <w:r>
              <w:rPr>
                <w:rFonts w:ascii="Calibri" w:hAnsi="Calibri" w:eastAsia="Calibri"/>
                <w:color w:val="39393B"/>
                <w:sz w:val="14"/>
              </w:rPr>
              <w:t>Later trial cohorts: outcomes not verified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S15</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European Blockchain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2023</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 (2023–2026)</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Cohort 1: 87 applications, 20 use cases, more than 50 regulators and authorities</w:t>
            </w:r>
          </w:p>
          <w:p>
            <w:pPr>
              <w:spacing w:before="0" w:after="20" w:line="245" w:lineRule="auto"/>
            </w:pPr>
            <w:r>
              <w:rPr>
                <w:rFonts w:ascii="Calibri" w:hAnsi="Calibri" w:eastAsia="Calibri"/>
                <w:color w:val="39393B"/>
                <w:sz w:val="14"/>
              </w:rPr>
              <w:t>Final best-practices report (11 Feb 2026): 60 use cases across three cohorts</w:t>
            </w:r>
          </w:p>
          <w:p>
            <w:pPr>
              <w:spacing w:before="0" w:after="20" w:line="245" w:lineRule="auto"/>
            </w:pPr>
            <w:r>
              <w:rPr>
                <w:rFonts w:ascii="Calibri" w:hAnsi="Calibri" w:eastAsia="Calibri"/>
                <w:color w:val="39393B"/>
                <w:sz w:val="14"/>
              </w:rPr>
              <w:t>Non-binding dialogue; no legal exemptions; no outcome indicators found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S17</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EU AI Act sandboxes (Articles 57–59)</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Law 2024</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Each Member State must have at least one national AI regulatory sandbox; deadline moved from 2 Aug 2026 to 2 Aug 2027, per legal commentaries (S; Annex B)</w:t>
            </w:r>
          </w:p>
          <w:p>
            <w:pPr>
              <w:spacing w:before="0" w:after="20" w:line="245" w:lineRule="auto"/>
            </w:pPr>
            <w:r>
              <w:rPr>
                <w:rFonts w:ascii="Calibri" w:hAnsi="Calibri" w:eastAsia="Calibri"/>
                <w:color w:val="39393B"/>
                <w:sz w:val="14"/>
              </w:rPr>
              <w:t>On request: written proof of activities and an exit report, which market-surveillance authorities and notified bodies take into account positively; no presumption of conformity (Art. 57(7))</w:t>
            </w:r>
          </w:p>
          <w:p>
            <w:pPr>
              <w:spacing w:before="0" w:after="20" w:line="245" w:lineRule="auto"/>
            </w:pPr>
            <w:r>
              <w:rPr>
                <w:rFonts w:ascii="Calibri" w:hAnsi="Calibri" w:eastAsia="Calibri"/>
                <w:color w:val="39393B"/>
                <w:sz w:val="14"/>
              </w:rPr>
              <w:t>No adopted Art. 58 implementing act found by Oct 2026</w:t>
            </w:r>
          </w:p>
          <w:p>
            <w:pPr>
              <w:spacing w:before="0" w:after="20" w:line="245" w:lineRule="auto"/>
            </w:pPr>
            <w:r>
              <w:rPr>
                <w:rFonts w:ascii="Calibri" w:hAnsi="Calibri" w:eastAsia="Calibri"/>
                <w:color w:val="39393B"/>
                <w:sz w:val="14"/>
              </w:rPr>
              <w:t>Aug 2025 tracker: only Spain had an operational AI sandbox (S)</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S18</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Spain AI regulatory sandbox pilot</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2023 (Royal Decree 817/2023)</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 (pilot closed 12 Jun 2026)</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11 AI systems completed (official release); 12 selected in 2025 per secondary reports (S; Annex B)</w:t>
            </w:r>
          </w:p>
          <w:p>
            <w:pPr>
              <w:spacing w:before="0" w:after="20" w:line="245" w:lineRule="auto"/>
            </w:pPr>
            <w:r>
              <w:rPr>
                <w:rFonts w:ascii="Calibri" w:hAnsi="Calibri" w:eastAsia="Calibri"/>
                <w:color w:val="39393B"/>
                <w:sz w:val="14"/>
              </w:rPr>
              <w:t>Outputs: AI Act compliance guides and a results report (Sep 2026); no measured effect on compliance cost or time to market</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S19</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Japan cross-sector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2018</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Statutory (permanent from 2021)</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More than 30 projects certified by 2024 (IMF); 33 certified plans involving 152 entities by Mar 2025 (Cabinet Office, reported)</w:t>
            </w:r>
          </w:p>
          <w:p>
            <w:pPr>
              <w:spacing w:before="0" w:after="20" w:line="245" w:lineRule="auto"/>
            </w:pPr>
            <w:r>
              <w:rPr>
                <w:rFonts w:ascii="Calibri" w:hAnsi="Calibri" w:eastAsia="Calibri"/>
                <w:color w:val="39393B"/>
                <w:sz w:val="14"/>
              </w:rPr>
              <w:t>Grey Zone Elimination system (since Jan 2014): competent ministry replies, in principle, within about one month; replies published</w:t>
            </w:r>
          </w:p>
          <w:p>
            <w:pPr>
              <w:spacing w:before="0" w:after="20" w:line="245" w:lineRule="auto"/>
            </w:pPr>
            <w:r>
              <w:rPr>
                <w:rFonts w:ascii="Calibri" w:hAnsi="Calibri" w:eastAsia="Calibri"/>
                <w:color w:val="39393B"/>
                <w:sz w:val="14"/>
              </w:rPr>
              <w:t>No published total of resulting reforms found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S20</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Hong Kong HKMA Fintech Supervisory Sandbox (FSS) and GenAI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2016; 2024</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FSS: about 234 technology initiatives tested to end-2021 (trials, not firms)</w:t>
            </w:r>
          </w:p>
          <w:p>
            <w:pPr>
              <w:spacing w:before="0" w:after="20" w:line="245" w:lineRule="auto"/>
            </w:pPr>
            <w:r>
              <w:rPr>
                <w:rFonts w:ascii="Calibri" w:hAnsi="Calibri" w:eastAsia="Calibri"/>
                <w:color w:val="39393B"/>
                <w:sz w:val="14"/>
              </w:rPr>
              <w:t>GenAI Sandbox: 15 use cases (Dec 2024), 27 (Oct 2025); Sandbox++ cohort 1: 36 use cases from 30 institutions (Aug 2026; wider scope)</w:t>
            </w:r>
          </w:p>
          <w:p>
            <w:pPr>
              <w:spacing w:before="0" w:after="20" w:line="245" w:lineRule="auto"/>
            </w:pPr>
            <w:r>
              <w:rPr>
                <w:rFonts w:ascii="Calibri" w:hAnsi="Calibri" w:eastAsia="Calibri"/>
                <w:color w:val="39393B"/>
                <w:sz w:val="14"/>
              </w:rPr>
              <w:t>Intake figures; no outcomes published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S21</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Saudi SAMA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2018</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42 permitted, 15 graduated (Sep 2022); 45 permitted, 18 graduated (May 2023)</w:t>
            </w:r>
          </w:p>
          <w:p>
            <w:pPr>
              <w:spacing w:before="0" w:after="20" w:line="245" w:lineRule="auto"/>
            </w:pPr>
            <w:r>
              <w:rPr>
                <w:rFonts w:ascii="Calibri" w:hAnsi="Calibri" w:eastAsia="Calibri"/>
                <w:color w:val="39393B"/>
                <w:sz w:val="14"/>
              </w:rPr>
              <w:t>Cumulative counts including firms still testing, not a completion rate; no later graduate count found (Annex B)</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S22</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South Korea financial regulatory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More than 300 innovative financial services designated by Mar 2024 (unreconciled press figure not used: Annex B)</w:t>
            </w:r>
          </w:p>
          <w:p>
            <w:pPr>
              <w:spacing w:before="0" w:after="20" w:line="245" w:lineRule="auto"/>
            </w:pPr>
            <w:r>
              <w:rPr>
                <w:rFonts w:ascii="Calibri" w:hAnsi="Calibri" w:eastAsia="Calibri"/>
                <w:color w:val="39393B"/>
                <w:sz w:val="14"/>
              </w:rPr>
              <w:t>FSC claims 2,220 jobs and KRW 6.03 trillion of investment (Mar 2024; period and attribution method not examined; no counterfactual)</w:t>
            </w:r>
          </w:p>
          <w:p>
            <w:pPr>
              <w:spacing w:before="0" w:after="20" w:line="245" w:lineRule="auto"/>
            </w:pPr>
            <w:r>
              <w:rPr>
                <w:rFonts w:ascii="Calibri" w:hAnsi="Calibri" w:eastAsia="Calibri"/>
                <w:color w:val="39393B"/>
                <w:sz w:val="14"/>
              </w:rPr>
              <w:t>Applications decided within up to 120 days (S)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S23</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South Korea ICT convergence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Applications fell from 110 to 67 over two years (S; press, c. Aug 2026)</w:t>
            </w:r>
          </w:p>
          <w:p>
            <w:pPr>
              <w:spacing w:before="0" w:after="20" w:line="245" w:lineRule="auto"/>
            </w:pPr>
            <w:r>
              <w:rPr>
                <w:rFonts w:ascii="Calibri" w:hAnsi="Calibri" w:eastAsia="Calibri"/>
                <w:color w:val="39393B"/>
                <w:sz w:val="14"/>
              </w:rPr>
              <w:t>Korean regime overall reportedly spread across six ministries and eight sectors; 30-day deadline often exceeded (S)</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S23</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South Korea, all sandbox tracks</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2019</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Prime Minister: 860 approved cases and more than KRW 10.5 trillion of investment (Feb 2023; S, per The Korea Times)</w:t>
            </w:r>
          </w:p>
          <w:p>
            <w:pPr>
              <w:spacing w:before="0" w:after="20" w:line="245" w:lineRule="auto"/>
            </w:pPr>
            <w:r>
              <w:rPr>
                <w:rFonts w:ascii="Calibri" w:hAnsi="Calibri" w:eastAsia="Calibri"/>
                <w:color w:val="39393B"/>
                <w:sz w:val="14"/>
              </w:rPr>
              <w:t>ICO-commissioned research: 1,752 approved projects, with regulatory improvements in 373, by 2025 (S; Korean source not checked)</w:t>
            </w:r>
          </w:p>
          <w:p>
            <w:pPr>
              <w:spacing w:before="0" w:after="20" w:line="245" w:lineRule="auto"/>
            </w:pPr>
            <w:r>
              <w:rPr>
                <w:rFonts w:ascii="Calibri" w:hAnsi="Calibri" w:eastAsia="Calibri"/>
                <w:color w:val="39393B"/>
                <w:sz w:val="14"/>
              </w:rPr>
              <w:t>Official claims without a counterfactual; scopes differ, so not added to the FSC figures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S56 S46</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Australia ASIC enhanced regulatory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2020</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103 applications, 19 accepted (about 18%) since 2020; of 16 exited firms, 12 shut down and 1 later obtained a licence (S; press account of a review; data cut-off unknown)</w:t>
            </w:r>
          </w:p>
          <w:p>
            <w:pPr>
              <w:spacing w:before="0" w:after="20" w:line="245" w:lineRule="auto"/>
            </w:pPr>
            <w:r>
              <w:rPr>
                <w:rFonts w:ascii="Calibri" w:hAnsi="Calibri" w:eastAsia="Calibri"/>
                <w:color w:val="39393B"/>
                <w:sz w:val="14"/>
              </w:rPr>
              <w:t>Testing for up to 24 months</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S24</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Canada CSA Regulatory Sandbox and OSC LaunchPad</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Feb 2017 launch not checked against a source; OSC LaunchPad is Ontario's entry point</w:t>
            </w:r>
          </w:p>
          <w:p>
            <w:pPr>
              <w:spacing w:before="0" w:after="20" w:line="245" w:lineRule="auto"/>
            </w:pPr>
            <w:r>
              <w:rPr>
                <w:rFonts w:ascii="Calibri" w:hAnsi="Calibri" w:eastAsia="Calibri"/>
                <w:color w:val="39393B"/>
                <w:sz w:val="14"/>
              </w:rPr>
              <w:t>Participant, exemption and graduation counts not verified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Bahrain CBB sandbox</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2017</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First to complete the sandbox stage: Tarabut Gateway (c. Dec 2018)</w:t>
            </w:r>
          </w:p>
          <w:p>
            <w:pPr>
              <w:spacing w:before="0" w:after="20" w:line="245" w:lineRule="auto"/>
            </w:pPr>
            <w:r>
              <w:rPr>
                <w:rFonts w:ascii="Calibri" w:hAnsi="Calibri" w:eastAsia="Calibri"/>
                <w:color w:val="39393B"/>
                <w:sz w:val="14"/>
              </w:rPr>
              <w:t>Admission and graduation totals not verified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S25</w:t>
            </w:r>
          </w:p>
        </w:tc>
      </w:tr>
      <w:tr>
        <w:trPr>
          <w:cantSplit/>
        </w:trPr>
        <w:tc>
          <w:tcPr>
            <w:tcW w:type="dxa" w:w="192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Qatar QCB sandbox</w:t>
            </w:r>
          </w:p>
        </w:tc>
        <w:tc>
          <w:tcPr>
            <w:tcW w:type="dxa" w:w="107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19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First buy-now-pay-later cohort: 5 companies approved (Apr 2024; state news agency)</w:t>
            </w:r>
          </w:p>
          <w:p>
            <w:pPr>
              <w:spacing w:before="0" w:after="20" w:line="245" w:lineRule="auto"/>
            </w:pPr>
            <w:r>
              <w:rPr>
                <w:rFonts w:ascii="Calibri" w:hAnsi="Calibri" w:eastAsia="Calibri"/>
                <w:color w:val="39393B"/>
                <w:sz w:val="14"/>
              </w:rPr>
              <w:t>Company names, outcomes and QFC counts not verified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S35</w:t>
            </w:r>
          </w:p>
        </w:tc>
      </w:tr>
      <w:tr>
        <w:trPr>
          <w:cantSplit/>
        </w:trPr>
        <w:tc>
          <w:tcPr>
            <w:tcW w:type="dxa" w:w="192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Kazakhstan AIFC FinTech Lab</w:t>
            </w:r>
          </w:p>
        </w:tc>
        <w:tc>
          <w:tcPr>
            <w:tcW w:type="dxa" w:w="107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Not verified</w:t>
            </w:r>
          </w:p>
        </w:tc>
        <w:tc>
          <w:tcPr>
            <w:tcW w:type="dxa" w:w="119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Operational</w:t>
            </w:r>
          </w:p>
        </w:tc>
        <w:tc>
          <w:tcPr>
            <w:tcW w:type="dxa" w:w="45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Regulator's review (2022): what it calls the first FinTech Lab participant to move to a full licence</w:t>
            </w:r>
          </w:p>
          <w:p>
            <w:pPr>
              <w:spacing w:before="0" w:after="20" w:line="245" w:lineRule="auto"/>
            </w:pPr>
            <w:r>
              <w:rPr>
                <w:rFonts w:ascii="Calibri" w:hAnsi="Calibri" w:eastAsia="Calibri"/>
                <w:color w:val="39393B"/>
                <w:sz w:val="14"/>
              </w:rPr>
              <w:t>Cumulative totals not found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S36</w:t>
            </w:r>
          </w:p>
        </w:tc>
      </w:tr>
    </w:tbl>
    <w:p>
      <w:pPr>
        <w:spacing w:before="0" w:after="40" w:line="144" w:lineRule="auto"/>
      </w:pPr>
    </w:p>
    <w:p>
      <w:pPr>
        <w:pStyle w:val="Heading3"/>
      </w:pPr>
      <w:r>
        <w:rPr>
          <w:rFonts w:ascii="Calibri" w:hAnsi="Calibri" w:eastAsia="Calibri"/>
        </w:rPr>
        <w:t>EU-level and international reference documents</w:t>
      </w:r>
    </w:p>
    <w:tbl>
      <w:tblPr>
        <w:tblW w:w="9639" w:type="dxa"/>
        <w:jc w:val="center"/>
        <w:tblLayout w:type="fixed"/>
        <w:tblLook w:firstColumn="1" w:firstRow="1" w:lastColumn="0" w:lastRow="0" w:noHBand="0" w:noVBand="1" w:val="04A0"/>
      </w:tblPr>
      <w:tblGrid>
        <w:gridCol w:w="2608"/>
        <w:gridCol w:w="907"/>
        <w:gridCol w:w="5216"/>
        <w:gridCol w:w="907"/>
      </w:tblGrid>
      <w:tr>
        <w:trPr>
          <w:cantSplit/>
          <w:tblHeader/>
        </w:trPr>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Document</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Date</w:t>
            </w:r>
          </w:p>
        </w:tc>
        <w:tc>
          <w:tcPr>
            <w:tcW w:type="dxa" w:w="5216"/>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What it reports</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Source</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European Commission, proposal for a Council Recommendation on common principles for regulatory sandboxes, COM(2026) 568</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9 Sep 2026</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Proposal, not adopted; sent to Council delegations on 10 Sep 2026</w:t>
            </w:r>
          </w:p>
          <w:p>
            <w:pPr>
              <w:spacing w:before="0" w:after="20" w:line="245" w:lineRule="auto"/>
            </w:pPr>
            <w:r>
              <w:rPr>
                <w:rFonts w:ascii="Calibri" w:hAnsi="Calibri" w:eastAsia="Calibri"/>
                <w:color w:val="39393B"/>
                <w:sz w:val="14"/>
              </w:rPr>
              <w:t>Per summaries (text to be checked before quoting): sandboxes are tools for regulatory learning, not deregulation; Member State success factors: political backing, open communication, adequate resources, flexible but well-defined frameworks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S51</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European Commission (DG Research and Innovation), Use of regulatory sandboxes in EU Member States: 2025 survey report</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2026</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57 responses from 25 Member States: 132 ongoing and closed sandboxes of all kinds in 15 Member States, about 76% in Germany and France; transport and mobility the leading sector</w:t>
            </w:r>
          </w:p>
          <w:p>
            <w:pPr>
              <w:spacing w:before="0" w:after="20" w:line="245" w:lineRule="auto"/>
            </w:pPr>
            <w:r>
              <w:rPr>
                <w:rFonts w:ascii="Calibri" w:hAnsi="Calibri" w:eastAsia="Calibri"/>
                <w:color w:val="39393B"/>
                <w:sz w:val="14"/>
              </w:rPr>
              <w:t>Only four Member States report a central authority overseeing all sandbox activity</w:t>
            </w:r>
          </w:p>
          <w:p>
            <w:pPr>
              <w:spacing w:before="0" w:after="20" w:line="245" w:lineRule="auto"/>
            </w:pPr>
            <w:r>
              <w:rPr>
                <w:rFonts w:ascii="Calibri" w:hAnsi="Calibri" w:eastAsia="Calibri"/>
                <w:color w:val="39393B"/>
                <w:sz w:val="14"/>
              </w:rPr>
              <w:t>Activity counts, not outcomes</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S52</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European Supervisory Authorities (EBA, EIOPA and ESMA), joint report on innovation facilitators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Dec 2023</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41 innovation hubs and 14 regulatory sandboxes run by financial supervisors across the European Economic Area; sandboxes in 11 EU Member States and one other country, most launched 2020–2021</w:t>
            </w:r>
          </w:p>
          <w:p>
            <w:pPr>
              <w:spacing w:before="0" w:after="20" w:line="245" w:lineRule="auto"/>
            </w:pPr>
            <w:r>
              <w:rPr>
                <w:rFonts w:ascii="Calibri" w:hAnsi="Calibri" w:eastAsia="Calibri"/>
                <w:color w:val="39393B"/>
                <w:sz w:val="14"/>
              </w:rPr>
              <w:t>Hubs, which need no change in law, are far more common than sandboxes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S53</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OECD, Regulatory sandbox toolkit</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Jul 2025</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Design guidance for Croatia under the EU Technical Support Instrument: set-up steps, risk identification and mitigation, exit options, legal bases for experimentation</w:t>
            </w:r>
          </w:p>
          <w:p>
            <w:pPr>
              <w:spacing w:before="0" w:after="20" w:line="245" w:lineRule="auto"/>
            </w:pPr>
            <w:r>
              <w:rPr>
                <w:rFonts w:ascii="Calibri" w:hAnsi="Calibri" w:eastAsia="Calibri"/>
                <w:color w:val="39393B"/>
                <w:sz w:val="14"/>
              </w:rPr>
              <w:t>Not evidence of impact</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S54</w:t>
            </w:r>
          </w:p>
        </w:tc>
      </w:tr>
      <w:tr>
        <w:trPr>
          <w:cantSplit/>
        </w:trPr>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IMF, FinTech Note 2023/004</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Jun 2023</w:t>
            </w:r>
          </w:p>
        </w:tc>
        <w:tc>
          <w:tcPr>
            <w:tcW w:type="dxa" w:w="5216"/>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Sandboxes are resource-intensive and reach relatively few firms</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S55</w:t>
            </w:r>
          </w:p>
        </w:tc>
      </w:tr>
      <w:tr>
        <w:trPr>
          <w:cantSplit/>
        </w:trPr>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World Bank, Global experiences from regulatory sandboxes (Fintech Note No. 8)</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Nov 2020</w:t>
            </w:r>
          </w:p>
        </w:tc>
        <w:tc>
          <w:tcPr>
            <w:tcW w:type="dxa" w:w="5216"/>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73 fintech sandboxes in 57 jurisdictions; about 56% created 2018–2019</w:t>
            </w:r>
          </w:p>
          <w:p>
            <w:pPr>
              <w:spacing w:before="0" w:after="20" w:line="245" w:lineRule="auto"/>
            </w:pPr>
            <w:r>
              <w:rPr>
                <w:rFonts w:ascii="Calibri" w:hAnsi="Calibri" w:eastAsia="Calibri"/>
                <w:color w:val="39393B"/>
                <w:sz w:val="14"/>
              </w:rPr>
              <w:t>Single dataset, now about six years old; no newer official global count found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S16</w:t>
            </w:r>
          </w:p>
        </w:tc>
      </w:tr>
    </w:tbl>
    <w:p>
      <w:pPr>
        <w:spacing w:before="0" w:after="40" w:line="144" w:lineRule="auto"/>
      </w:pPr>
    </w:p>
    <w:p>
      <w:pPr>
        <w:pStyle w:val="Heading3"/>
      </w:pPr>
      <w:r>
        <w:rPr>
          <w:rFonts w:ascii="Calibri" w:hAnsi="Calibri" w:eastAsia="Calibri"/>
        </w:rPr>
        <w:t>Uzbekistan: the law on the Centre and national regimes</w:t>
      </w:r>
    </w:p>
    <w:tbl>
      <w:tblPr>
        <w:tblW w:w="9639" w:type="dxa"/>
        <w:jc w:val="center"/>
        <w:tblLayout w:type="fixed"/>
        <w:tblLook w:firstColumn="1" w:firstRow="1" w:lastColumn="0" w:lastRow="0" w:noHBand="0" w:noVBand="1" w:val="04A0"/>
      </w:tblPr>
      <w:tblGrid>
        <w:gridCol w:w="1587"/>
        <w:gridCol w:w="1701"/>
        <w:gridCol w:w="1247"/>
        <w:gridCol w:w="4195"/>
        <w:gridCol w:w="907"/>
      </w:tblGrid>
      <w:tr>
        <w:trPr>
          <w:cantSplit/>
          <w:tblHeader/>
        </w:trPr>
        <w:tc>
          <w:tcPr>
            <w:tcW w:type="dxa" w:w="158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Regime</w:t>
            </w:r>
          </w:p>
        </w:tc>
        <w:tc>
          <w:tcPr>
            <w:tcW w:type="dxa" w:w="170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Legal act and date</w:t>
            </w:r>
          </w:p>
        </w:tc>
        <w:tc>
          <w:tcPr>
            <w:tcW w:type="dxa" w:w="124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Status</w:t>
            </w:r>
          </w:p>
        </w:tc>
        <w:tc>
          <w:tcPr>
            <w:tcW w:type="dxa" w:w="419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Reported content (titles, excerpts or press; texts not yet reviewed)</w:t>
            </w:r>
          </w:p>
        </w:tc>
        <w:tc>
          <w:tcPr>
            <w:tcW w:type="dxa" w:w="907"/>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4"/>
              </w:rPr>
              <w:t>Source</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Sandbox of the Centre (EUz)</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LRU-1169 of 19 Aug 2026 (lex.uz listing); press calls it a constitutional law</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 entry into force reported for 21 Jan 2027 (one outlet)</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May be introduced (by the Centre's Administration, per one excerpt) for up to 12 months unless the Governing Council sets another term; temporary exemptions from certain statutory requirements</w:t>
            </w:r>
          </w:p>
          <w:p>
            <w:pPr>
              <w:spacing w:before="0" w:after="20" w:line="245" w:lineRule="auto"/>
            </w:pPr>
            <w:r>
              <w:rPr>
                <w:rFonts w:ascii="Calibri" w:hAnsi="Calibri" w:eastAsia="Calibri"/>
                <w:color w:val="39393B"/>
                <w:sz w:val="14"/>
              </w:rPr>
              <w:t>Single-outlet reports: simplified access to licensing; access to the Centre's infrastructure</w:t>
            </w:r>
          </w:p>
          <w:p>
            <w:pPr>
              <w:spacing w:before="0" w:after="20" w:line="245" w:lineRule="auto"/>
            </w:pPr>
            <w:r>
              <w:rPr>
                <w:rFonts w:ascii="Calibri" w:hAnsi="Calibri" w:eastAsia="Calibri"/>
                <w:color w:val="39393B"/>
                <w:sz w:val="14"/>
              </w:rPr>
              <w:t>No Council decision or secondary act on the sandbox published as at 20 Oct 2026</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S27 S57</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Central Bank special legal regime ("regulatory sandbox") for financial services</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Law on the Central Bank, Art. 67-1; Regulation of 2022 (cited by legal press as No. 3391 of 4 Oct 2022)</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Statutory; update reported in draft</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Tests of up to 3 years (law-firm summary)</w:t>
            </w:r>
          </w:p>
          <w:p>
            <w:pPr>
              <w:spacing w:before="0" w:after="20" w:line="245" w:lineRule="auto"/>
            </w:pPr>
            <w:r>
              <w:rPr>
                <w:rFonts w:ascii="Calibri" w:hAnsi="Calibri" w:eastAsia="Calibri"/>
                <w:color w:val="39393B"/>
                <w:sz w:val="14"/>
              </w:rPr>
              <w:t>Draft three-track update (innovation; acceleration; technology partnership): date and current status not checked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S29</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NAPP capital-market "Regulatory sandbox"</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Regulation No. 3493 of 29 Jan 2024 (amended 3 Apr 2026)</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NAPP reportedly the capital-market regulator since 2023 (PP-291 of 2 Sep 2023)</w:t>
            </w:r>
          </w:p>
          <w:p>
            <w:pPr>
              <w:spacing w:before="0" w:after="20" w:line="245" w:lineRule="auto"/>
            </w:pPr>
            <w:r>
              <w:rPr>
                <w:rFonts w:ascii="Calibri" w:hAnsi="Calibri" w:eastAsia="Calibri"/>
                <w:color w:val="39393B"/>
                <w:sz w:val="14"/>
              </w:rPr>
              <w:t>Five firms added for a foreign-currency bond framework (press headline, Jun 2026)</w:t>
            </w:r>
          </w:p>
          <w:p>
            <w:pPr>
              <w:spacing w:before="0" w:after="20" w:line="245" w:lineRule="auto"/>
            </w:pPr>
            <w:r>
              <w:rPr>
                <w:rFonts w:ascii="Calibri" w:hAnsi="Calibri" w:eastAsia="Calibri"/>
                <w:color w:val="39393B"/>
                <w:sz w:val="14"/>
              </w:rPr>
              <w:t>Also a 2022 crypto-asset special-regime regulation (No. 3409; status not checked)</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S60 S30</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Investment platforms under the sandbox regime</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Presidential Resolution PQ-255 of 21 Aug 2025</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Statutory; reported term ended 1 Oct 2026</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Permitted from 1 Oct 2025 to 1 Oct 2026; position after that date not verified</w:t>
            </w:r>
          </w:p>
          <w:p>
            <w:pPr>
              <w:spacing w:before="0" w:after="20" w:line="245" w:lineRule="auto"/>
            </w:pPr>
            <w:r>
              <w:rPr>
                <w:rFonts w:ascii="Calibri" w:hAnsi="Calibri" w:eastAsia="Calibri"/>
                <w:color w:val="39393B"/>
                <w:sz w:val="14"/>
              </w:rPr>
              <w:t>PQ-255 did not create the capital-market sandbox</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S30</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Stable tokens as a means of payment</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Presidential Resolution PP-359 of 27 Nov 2025</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Special legal regime (per title)</w:t>
            </w:r>
          </w:p>
          <w:p>
            <w:pPr>
              <w:spacing w:before="0" w:after="20" w:line="245" w:lineRule="auto"/>
            </w:pPr>
            <w:r>
              <w:rPr>
                <w:rFonts w:ascii="Calibri" w:hAnsi="Calibri" w:eastAsia="Calibri"/>
                <w:color w:val="39393B"/>
                <w:sz w:val="14"/>
              </w:rPr>
              <w:t>Press: from 1 Jan 2026, run by NAPP with the Central Bank (not confirmed from the text)</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S29</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Cross-sector "Regulatory sandbox" regime</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Presidential Decree UP-244 of 9 Nov 2022</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Statutory; current status not checked</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Tests run under agreements between the competent authorised body and the initiator, up to 3 years per project</w:t>
            </w:r>
          </w:p>
          <w:p>
            <w:pPr>
              <w:spacing w:before="0" w:after="20" w:line="245" w:lineRule="auto"/>
            </w:pPr>
            <w:r>
              <w:rPr>
                <w:rFonts w:ascii="Calibri" w:hAnsi="Calibri" w:eastAsia="Calibri"/>
                <w:color w:val="39393B"/>
                <w:sz w:val="14"/>
              </w:rPr>
              <w:t>Kun.uz (29 Nov 2023): procedure for introducing the regime set (act number and content not verified)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S58 S37</w:t>
            </w:r>
          </w:p>
        </w:tc>
      </w:tr>
      <w:tr>
        <w:trPr>
          <w:cantSplit/>
        </w:trPr>
        <w:tc>
          <w:tcPr>
            <w:tcW w:type="dxa" w:w="158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4"/>
              </w:rPr>
              <w:t>Special regime to support AI technologies</w:t>
            </w:r>
          </w:p>
        </w:tc>
        <w:tc>
          <w:tcPr>
            <w:tcW w:type="dxa" w:w="170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Resolution No. 717 of 29 Nov 2021 (issuer likely the Cabinet of Ministers)</w:t>
            </w:r>
          </w:p>
        </w:tc>
        <w:tc>
          <w:tcPr>
            <w:tcW w:type="dxa" w:w="124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Statutory; current status not checked</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Regulation on establishing and operating the regime (title only)</w:t>
            </w:r>
          </w:p>
        </w:tc>
        <w:tc>
          <w:tcPr>
            <w:tcW w:type="dxa" w:w="907"/>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4"/>
              </w:rPr>
              <w:t>S61</w:t>
            </w:r>
          </w:p>
        </w:tc>
      </w:tr>
      <w:tr>
        <w:trPr>
          <w:cantSplit/>
        </w:trPr>
        <w:tc>
          <w:tcPr>
            <w:tcW w:type="dxa" w:w="158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4"/>
              </w:rPr>
              <w:t>Legal experiments</w:t>
            </w:r>
          </w:p>
        </w:tc>
        <w:tc>
          <w:tcPr>
            <w:tcW w:type="dxa" w:w="170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Law LRU-1127 of 27 Mar 2026, "On Legal Experiment" (reported in force 29 Jun 2026)</w:t>
            </w:r>
          </w:p>
        </w:tc>
        <w:tc>
          <w:tcPr>
            <w:tcW w:type="dxa" w:w="124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Statutory</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Press summaries: a state "authorised body" trials a normative act for a limited territory or group, for 6 months to 3 years; Ministry of Justice register; results report within 30 working days</w:t>
            </w:r>
          </w:p>
          <w:p>
            <w:pPr>
              <w:spacing w:before="0" w:after="20" w:line="245" w:lineRule="auto"/>
            </w:pPr>
            <w:r>
              <w:rPr>
                <w:rFonts w:ascii="Calibri" w:hAnsi="Calibri" w:eastAsia="Calibri"/>
                <w:color w:val="39393B"/>
                <w:sz w:val="14"/>
              </w:rPr>
              <w:t>Our inference (A): a state tool to trial rules, not a firm-level admission regime; relation to EUz not established</w:t>
            </w:r>
          </w:p>
        </w:tc>
        <w:tc>
          <w:tcPr>
            <w:tcW w:type="dxa" w:w="907"/>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4"/>
              </w:rPr>
              <w:t>S59 S38</w:t>
            </w:r>
          </w:p>
        </w:tc>
      </w:tr>
    </w:tbl>
    <w:p>
      <w:pPr>
        <w:spacing w:before="0" w:after="40" w:line="144" w:lineRule="auto"/>
      </w:pPr>
    </w:p>
    <w:p>
      <w:pPr>
        <w:spacing w:before="40" w:after="160" w:line="240" w:lineRule="auto"/>
      </w:pPr>
      <w:r>
        <w:rPr>
          <w:rFonts w:ascii="Calibri" w:hAnsi="Calibri" w:eastAsia="Calibri"/>
          <w:color w:val="6B6E70"/>
          <w:sz w:val="15"/>
        </w:rPr>
        <w:t>Referral rules: Section 5.1 (Central Bank and NAPP first). Questions for counsel on these regimes: Annex D, step 1.</w:t>
      </w:r>
    </w:p>
    <w:p>
      <w:pPr>
        <w:pStyle w:val="Heading1"/>
        <w:pBdr>
          <w:bottom w:val="single" w:sz="12" w:space="3" w:color="009162"/>
        </w:pBdr>
      </w:pPr>
      <w:r>
        <w:rPr>
          <w:rFonts w:ascii="Calibri" w:hAnsi="Calibri" w:eastAsia="Calibri"/>
        </w:rPr>
        <w:t>Annex B. Unreconciled and unverified data points</w:t>
      </w:r>
    </w:p>
    <w:p>
      <w:pPr>
        <w:spacing w:before="0" w:after="80" w:line="259" w:lineRule="auto"/>
      </w:pPr>
      <w:r>
        <w:rPr>
          <w:rFonts w:ascii="Calibri" w:hAnsi="Calibri" w:eastAsia="Calibri"/>
          <w:sz w:val="18"/>
        </w:rPr>
        <w:t>Items where sources conflict (unreconciled) or no reliable figure was found (not verified), and how this report treats each.</w:t>
      </w:r>
    </w:p>
    <w:tbl>
      <w:tblPr>
        <w:tblW w:w="9639" w:type="dxa"/>
        <w:jc w:val="center"/>
        <w:tblLayout w:type="fixed"/>
        <w:tblLook w:firstColumn="1" w:firstRow="1" w:lastColumn="0" w:lastRow="0" w:noHBand="0" w:noVBand="1" w:val="04A0"/>
      </w:tblPr>
      <w:tblGrid>
        <w:gridCol w:w="2041"/>
        <w:gridCol w:w="5103"/>
        <w:gridCol w:w="2494"/>
      </w:tblGrid>
      <w:tr>
        <w:trPr>
          <w:cantSplit/>
          <w:tblHeader/>
        </w:trPr>
        <w:tc>
          <w:tcPr>
            <w:tcW w:type="dxa" w:w="2041"/>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Item</w:t>
            </w:r>
          </w:p>
        </w:tc>
        <w:tc>
          <w:tcPr>
            <w:tcW w:type="dxa" w:w="5102"/>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Conflict or gap</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Treatment</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FCA acceptances, cohorts 1–2</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2017 report: 146 applications, 50 accepted, 41 tested. FCA cohort announcements and an FOI table (May 2026): 24 + 31 = 55 accepted. The FCA has not reconciled the two</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Unreconciled; both shown; 41 firms tested is the most robust figure [S1][S3]</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MAS: 19 accepted</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Oct 2025 reply: unclear whether Sandbox Express admissions are in the 19. A 2025 academic paper gives higher counts (70+ applications, 40+ projects, 2016–2022) on an unclear basis</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19 quoted with that caveat; academic counts not used [S7]</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ADGM RegLab total</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Announced cohorts sum to 30 firms; ADGM's own total for Aug 2019 is 32</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32 cited as ADGM's own figure [S13][S49]</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DFSA ITL counts</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Jun 2021 live-testing, exit and in-principle counts: trade press. Applicant counts of 41 and 82 (earlier summaries): undated or inconsistent with the DFSA's 2020 Annual Report. A 2026 law-firm note: over 200 applicants, over 80 accepted, no date or DFSA source</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DFSA's own counts used; Jun 2021 trade-press counts cited as press-reported (S); the 41, 82 and law-firm figures not used [S14]</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SAMA metrics</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SAMA's cumulative counts (45 permitted, 18 graduated, May 2023) differ in kind from press figures for Sep 2025 (Finance Middle East: 25 firms testing; 68 licensed fintech providers)</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18 of 45 kept, dated May 2023; press figures not used as an update [S22]</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TradeTech regulators</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WEF (Oct 2025) cites four UAE regulators, unnamed in the sources reached; a 2026 WEF report reportedly links five UAE bodies</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Count shown as WEF-reported (P); regulators not named until WEF confirms them [S11]</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Spain AI sandbox</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The Annex A figures (11 completed, official release; 12 selected in 2025, secondary reports) cover different stages; the difference is unexplained</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Both shown and labelled [S19]</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Korea designations</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More than 300 services designated (FSC, Mar 2024) against 1,072 designations (press, Jun 2026; source not recorded; scope undefined)</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FSC figure used; 1,072 not used [S23]</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Korea investment and jobs</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FSC (Mar 2024) and Prime Minister (Feb 2023) figures in Annex A: official claims with different scopes; period and attribution method not examined; no counterfactual</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Not used as a headline; not added together [S23][S56]</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EU AI Act dates</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Legal commentaries report that Regulation (EU) 2026/1744 (published 24 Jul 2026, in force 27 Jul 2026) moves the national sandbox deadline to 2 Aug 2027; not checked against the Official Journal</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Reported by legal commentary (S); EUR-Lex check: Annex D, step 4 [S18]</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MLETR enactments</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Trade press: Bahrain, Singapore and ADGM have adopted MLETR-based laws; not checked against UNCITRAL's status page. Uzbekistan's position not established</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Reported (S) only; enactments not verified [S34]; Uzbekistan question: Exhibit 21a</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LRU-1169: dates and status</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lex.uz: LRU-1169 of 19 Aug 2026; UzDaily: signed 16 Aug. Senate approval: 8 Aug (Gazeta.uz) or 7 Aug (Kursiv). Entry into force on 21 Jan 2027: one outlet, whose "six months" explanation does not fit a 19 Aug signing; a mix-up with LRU-1158 (13 Jul 2026) in search excerpts cannot be ruled out. "Constitutional" status: press only</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lex.uz number and date used; entry into force press-reported, to be checked (Annex D, step 1) [S27][S57]</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Governing Council composition</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Only a search summary of UP-233 Annex 1 names the Central Bank Chairman and the NAPP Director; captured Uzbek excerpts show only the chair, the Prime Minister, the Deputy Prime Minister and Minister of Economy and Finance, and the secretary</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Reported; to be confirmed against the annex and any composition approved under LRU-1169 [S28]</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Central Bank regime identifier</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Legal press cites Regulation No. 3391 of 4 Oct 2022; 3391 is probably the Ministry of Justice registration number; a lex.uz excerpt cites Central Bank Board decision No. 19/14 of 30 Aug 2022</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Cited as a 2022 Regulation "cited by legal press as No. 3391" [S29]</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Tax and court details</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Personal income tax reported as both 7% and 7.5%. Courts: a separate opt-in court reported at the decree stage (Dec 2025); press on LRU-1169 (three outlets) names the Tashkent International Commercial Court</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Not used in marketing until verified [S27]</w:t>
            </w:r>
          </w:p>
        </w:tc>
      </w:tr>
      <w:tr>
        <w:trPr>
          <w:cantSplit/>
        </w:trPr>
        <w:tc>
          <w:tcPr>
            <w:tcW w:type="dxa" w:w="2041"/>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Items not used (no traceable source)</w:t>
            </w:r>
          </w:p>
        </w:tc>
        <w:tc>
          <w:tcPr>
            <w:tcW w:type="dxa" w:w="5102"/>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Korea ICT convergence 2019: 278 applications, 195 approvals (probably a government-wide total). Bahrain: about 35 admitted, 2 graduates (2019 reports). Japan: a reform example attributed to a Panasonic project (statute unverified). Law on Legal Experiment: a bar on restricting constitutional rights (no recorded excerpt)</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Not used in this report</w:t>
            </w:r>
          </w:p>
        </w:tc>
      </w:tr>
      <w:tr>
        <w:trPr>
          <w:cantSplit/>
        </w:trPr>
        <w:tc>
          <w:tcPr>
            <w:tcW w:type="dxa" w:w="2041"/>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Not verified (no reliable figure found)</w:t>
            </w:r>
          </w:p>
        </w:tc>
        <w:tc>
          <w:tcPr>
            <w:tcW w:type="dxa" w:w="5102"/>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Programme-level gaps marked "not verified" or "not found" in Annex A; also the ICO cumulative total, HKMA FSS after 2021 and GRIP outputs (none found as at 20 Oct 2026; announced two-year horizon not yet ended)</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Marked "Not verified"</w:t>
            </w:r>
          </w:p>
        </w:tc>
      </w:tr>
    </w:tbl>
    <w:p>
      <w:pPr>
        <w:spacing w:before="0" w:after="40" w:line="144" w:lineRule="auto"/>
      </w:pPr>
    </w:p>
    <w:p>
      <w:pPr>
        <w:pStyle w:val="Heading1"/>
        <w:pBdr>
          <w:bottom w:val="single" w:sz="12" w:space="3" w:color="009162"/>
        </w:pBdr>
      </w:pPr>
      <w:r>
        <w:rPr>
          <w:rFonts w:ascii="Calibri" w:hAnsi="Calibri" w:eastAsia="Calibri"/>
        </w:rPr>
        <w:t>Annex C. Legal references and verification status</w:t>
      </w:r>
    </w:p>
    <w:tbl>
      <w:tblPr>
        <w:tblW w:w="9639" w:type="dxa"/>
        <w:jc w:val="center"/>
        <w:tblLayout w:type="fixed"/>
        <w:tblLook w:firstColumn="1" w:firstRow="1" w:lastColumn="0" w:lastRow="0" w:noHBand="0" w:noVBand="1" w:val="04A0"/>
      </w:tblPr>
      <w:tblGrid>
        <w:gridCol w:w="2835"/>
        <w:gridCol w:w="4195"/>
        <w:gridCol w:w="2608"/>
      </w:tblGrid>
      <w:tr>
        <w:trPr>
          <w:cantSplit/>
          <w:tblHeader/>
        </w:trPr>
        <w:tc>
          <w:tcPr>
            <w:tcW w:type="dxa" w:w="283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Instrument</w:t>
            </w:r>
          </w:p>
        </w:tc>
        <w:tc>
          <w:tcPr>
            <w:tcW w:type="dxa" w:w="4195"/>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What is reported</w:t>
            </w:r>
          </w:p>
        </w:tc>
        <w:tc>
          <w:tcPr>
            <w:tcW w:type="dxa" w:w="2608"/>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Status in this research</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Presidential Decree UP-233 of 26 Nov 2025, "On organising the activity of the International Centre for Digital Technologies" (with Annex 1)</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Organised the activity of the Centre, established by Decree UP-25 of 1 Feb 2024 [S28]</w:t>
            </w:r>
          </w:p>
          <w:p>
            <w:pPr>
              <w:spacing w:before="0" w:after="20" w:line="245" w:lineRule="auto"/>
            </w:pPr>
            <w:r>
              <w:rPr>
                <w:rFonts w:ascii="Calibri" w:hAnsi="Calibri" w:eastAsia="Calibri"/>
                <w:color w:val="39393B"/>
                <w:sz w:val="15"/>
              </w:rPr>
              <w:t>Press: a separate jurisdiction with a special legal regime based on English and Welsh common law or the standards of leading international financial centres [S27]</w:t>
            </w:r>
          </w:p>
          <w:p>
            <w:pPr>
              <w:spacing w:before="0" w:after="20" w:line="245" w:lineRule="auto"/>
            </w:pPr>
            <w:r>
              <w:rPr>
                <w:rFonts w:ascii="Calibri" w:hAnsi="Calibri" w:eastAsia="Calibri"/>
                <w:color w:val="39393B"/>
                <w:sz w:val="15"/>
              </w:rPr>
              <w:t>Annex 1 (Governing Council composition): search summary only (Annex B) [S28]</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lex.uz listing (title, number, date); </w:t>
            </w:r>
            <w:r>
              <w:rPr>
                <w:rFonts w:ascii="Calibri" w:hAnsi="Calibri" w:eastAsia="Calibri"/>
                <w:b/>
                <w:color w:val="39393B"/>
                <w:sz w:val="15"/>
              </w:rPr>
              <w:t>text not yet reviewed</w:t>
            </w:r>
          </w:p>
          <w:p>
            <w:pPr>
              <w:spacing w:before="0" w:after="20" w:line="245" w:lineRule="auto"/>
            </w:pPr>
            <w:r>
              <w:rPr>
                <w:rFonts w:ascii="Calibri" w:hAnsi="Calibri" w:eastAsia="Calibri"/>
                <w:color w:val="39393B"/>
                <w:sz w:val="15"/>
              </w:rPr>
              <w:t>Presumably the operative basis until LRU-1169 takes effect (counsel to confirm)</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Law LRU-1169 of 19 Aug 2026, "On the International Centre for Digital Technologies" (Uzbek: ЎРҚ-1169); press calls it a constitutional law</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Passed in early Aug 2026 after the Senate returned an earlier version in July; signed 19 Aug 2026 [S27][S57]</w:t>
            </w:r>
          </w:p>
          <w:p>
            <w:pPr>
              <w:spacing w:before="0" w:after="20" w:line="245" w:lineRule="auto"/>
            </w:pPr>
            <w:r>
              <w:rPr>
                <w:rFonts w:ascii="Calibri" w:hAnsi="Calibri" w:eastAsia="Calibri"/>
                <w:color w:val="39393B"/>
                <w:sz w:val="15"/>
              </w:rPr>
              <w:t>Entry into force on 21 Jan 2027 (one outlet); special legal regime to 2100 (several outlets) [S27]</w:t>
            </w:r>
          </w:p>
          <w:p>
            <w:pPr>
              <w:spacing w:before="0" w:after="20" w:line="245" w:lineRule="auto"/>
            </w:pPr>
            <w:r>
              <w:rPr>
                <w:rFonts w:ascii="Calibri" w:hAnsi="Calibri" w:eastAsia="Calibri"/>
                <w:color w:val="39393B"/>
                <w:sz w:val="15"/>
              </w:rPr>
              <w:t>Sandbox: may be introduced for up to 12 months unless the Council sets another term (details: Annex A) [S27]</w:t>
            </w:r>
          </w:p>
          <w:p>
            <w:pPr>
              <w:spacing w:before="0" w:after="20" w:line="245" w:lineRule="auto"/>
            </w:pPr>
            <w:r>
              <w:rPr>
                <w:rFonts w:ascii="Calibri" w:hAnsi="Calibri" w:eastAsia="Calibri"/>
                <w:color w:val="39393B"/>
                <w:sz w:val="15"/>
              </w:rPr>
              <w:t>The President chairs the Governing Council and approves its composition; the Administration has executive functions; participants' disputes go to the Tashkent International Commercial Court [S27][S57]</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lex.uz listing (number, date); </w:t>
            </w:r>
            <w:r>
              <w:rPr>
                <w:rFonts w:ascii="Calibri" w:hAnsi="Calibri" w:eastAsia="Calibri"/>
                <w:b/>
                <w:color w:val="39393B"/>
                <w:sz w:val="15"/>
              </w:rPr>
              <w:t>text not yet reviewed</w:t>
            </w:r>
          </w:p>
          <w:p>
            <w:pPr>
              <w:spacing w:before="0" w:after="20" w:line="245" w:lineRule="auto"/>
            </w:pPr>
            <w:r>
              <w:rPr>
                <w:rFonts w:ascii="Calibri" w:hAnsi="Calibri" w:eastAsia="Calibri"/>
                <w:color w:val="39393B"/>
                <w:sz w:val="15"/>
              </w:rPr>
              <w:t>Not settled: whether the sandbox regime is mandatory or discretionary; the Administration's role in it</w:t>
            </w:r>
          </w:p>
          <w:p>
            <w:pPr>
              <w:spacing w:before="0" w:after="20" w:line="245" w:lineRule="auto"/>
            </w:pPr>
            <w:r>
              <w:rPr>
                <w:rFonts w:ascii="Calibri" w:hAnsi="Calibri" w:eastAsia="Calibri"/>
                <w:color w:val="39393B"/>
                <w:sz w:val="15"/>
              </w:rPr>
              <w:t>Conflicting dates: Annex B</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Secondary acts under LRU-1169 (Council decisions and regulations)</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Registration, licensing, tax-administration and sandbox procedures still being drafted (press, Aug–Sep 2026) [S27]</w:t>
            </w:r>
          </w:p>
          <w:p>
            <w:pPr>
              <w:spacing w:before="0" w:after="20" w:line="245" w:lineRule="auto"/>
            </w:pPr>
            <w:r>
              <w:rPr>
                <w:rFonts w:ascii="Calibri" w:hAnsi="Calibri" w:eastAsia="Calibri"/>
                <w:color w:val="39393B"/>
                <w:sz w:val="15"/>
              </w:rPr>
              <w:t>EUz working files list Operating Regulations and Companies Regulations dated 31 Aug 2026 and several draft rules (W) [S31]</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No adopted act found in public sources as at 20 Oct 2026; no sandbox decision on file; General Counsel to confirm the adopting body and status of the 31 Aug 2026 acts</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EUz working files (Registrar article map)</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Article map: Art. 15–17 Council; 22–23 residents; 39–43 sandbox; 66–70 services; 74–75 AI; 78–79 enforcement (W) [S31]</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Internal draft (W); article numbers not verified against the statutory text</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Tashkent International Financial Centre law LRU-1158 (13 Jul 2026)</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Separate law for a different centre</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Outside the scope of this report</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Law on the Central Bank, Art. 67-1; Central Bank Regulation of 2022</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Financial-services "regulatory sandbox" (details: Annex A) [S29]</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Search excerpts and law-firm summary; identifier unconfirmed (Annex B); </w:t>
            </w:r>
            <w:r>
              <w:rPr>
                <w:rFonts w:ascii="Calibri" w:hAnsi="Calibri" w:eastAsia="Calibri"/>
                <w:b/>
                <w:color w:val="39393B"/>
                <w:sz w:val="15"/>
              </w:rPr>
              <w:t>text not yet reviewed</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NAPP Regulations No. 3493 (29 Jan 2024; amended 3 Apr 2026) and No. 3409 (30 Dec 2022); Presidential Resolution PP-291 (2 Sep 2023)</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Capital-market "Regulatory sandbox"; crypto-asset special regime; NAPP reportedly the capital-market regulator since 2023 [S60]</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Titles only; </w:t>
            </w:r>
            <w:r>
              <w:rPr>
                <w:rFonts w:ascii="Calibri" w:hAnsi="Calibri" w:eastAsia="Calibri"/>
                <w:b/>
                <w:color w:val="39393B"/>
                <w:sz w:val="15"/>
              </w:rPr>
              <w:t>texts not yet reviewed</w:t>
            </w:r>
            <w:r>
              <w:rPr>
                <w:rFonts w:ascii="Calibri" w:hAnsi="Calibri" w:eastAsia="Calibri"/>
                <w:color w:val="39393B"/>
                <w:sz w:val="15"/>
              </w:rPr>
              <w:t>; status of No. 3409 not checked</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Presidential Resolutions PQ-255 (21 Aug 2025) and PP-359 (27 Nov 2025)</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PQ-255: investment platforms under the sandbox regime, 1 Oct 2025 to 1 Oct 2026 [S30]</w:t>
            </w:r>
          </w:p>
          <w:p>
            <w:pPr>
              <w:spacing w:before="0" w:after="20" w:line="245" w:lineRule="auto"/>
            </w:pPr>
            <w:r>
              <w:rPr>
                <w:rFonts w:ascii="Calibri" w:hAnsi="Calibri" w:eastAsia="Calibri"/>
                <w:color w:val="39393B"/>
                <w:sz w:val="15"/>
              </w:rPr>
              <w:t>PP-359: special legal regime for stable tokens as a means of payment [S29]</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Titles and excerpts; </w:t>
            </w:r>
            <w:r>
              <w:rPr>
                <w:rFonts w:ascii="Calibri" w:hAnsi="Calibri" w:eastAsia="Calibri"/>
                <w:b/>
                <w:color w:val="39393B"/>
                <w:sz w:val="15"/>
              </w:rPr>
              <w:t>texts not yet reviewed</w:t>
            </w:r>
            <w:r>
              <w:rPr>
                <w:rFonts w:ascii="Calibri" w:hAnsi="Calibri" w:eastAsia="Calibri"/>
                <w:color w:val="39393B"/>
                <w:sz w:val="15"/>
              </w:rPr>
              <w:t>; position after 1 Oct 2026 not verified; PP-359 start date and administration press-reported</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Presidential Decree UP-244 (9 Nov 2022) and the Nov 2023 procedure</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Cross-sector "Regulatory sandbox" regime (details: Annex A) [S58][S37]</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UP-244: lex.uz title and summary; current status not checked</w:t>
            </w:r>
          </w:p>
          <w:p>
            <w:pPr>
              <w:spacing w:before="0" w:after="20" w:line="245" w:lineRule="auto"/>
            </w:pPr>
            <w:r>
              <w:rPr>
                <w:rFonts w:ascii="Calibri" w:hAnsi="Calibri" w:eastAsia="Calibri"/>
                <w:color w:val="39393B"/>
                <w:sz w:val="15"/>
              </w:rPr>
              <w:t>Nov 2023 act: number, issuer and content not verified</w:t>
            </w:r>
          </w:p>
        </w:tc>
      </w:tr>
      <w:tr>
        <w:trPr>
          <w:cantSplit/>
        </w:trPr>
        <w:tc>
          <w:tcPr>
            <w:tcW w:type="dxa" w:w="283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Resolution No. 717 (29 Nov 2021)</w:t>
            </w:r>
          </w:p>
        </w:tc>
        <w:tc>
          <w:tcPr>
            <w:tcW w:type="dxa" w:w="4195"/>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Special regime to support AI technologies (details: Annex A) [S61]</w:t>
            </w:r>
          </w:p>
        </w:tc>
        <w:tc>
          <w:tcPr>
            <w:tcW w:type="dxa" w:w="2608"/>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Title only; issuer likely the Cabinet of Ministers; current status not checked</w:t>
            </w:r>
          </w:p>
        </w:tc>
      </w:tr>
      <w:tr>
        <w:trPr>
          <w:cantSplit/>
        </w:trPr>
        <w:tc>
          <w:tcPr>
            <w:tcW w:type="dxa" w:w="283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Law LRU-1127 of 27 Mar 2026, "On Legal Experiment"</w:t>
            </w:r>
          </w:p>
        </w:tc>
        <w:tc>
          <w:tcPr>
            <w:tcW w:type="dxa" w:w="4195"/>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State trials of normative acts, 6 months to 3 years (details: Annex A) [S59][S38]</w:t>
            </w:r>
          </w:p>
        </w:tc>
        <w:tc>
          <w:tcPr>
            <w:tcW w:type="dxa" w:w="2608"/>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 xml:space="preserve">lex.uz passport (number, date); in force from 29 Jun 2026 per one official listing; provisions from press; </w:t>
            </w:r>
            <w:r>
              <w:rPr>
                <w:rFonts w:ascii="Calibri" w:hAnsi="Calibri" w:eastAsia="Calibri"/>
                <w:b/>
                <w:color w:val="39393B"/>
                <w:sz w:val="15"/>
              </w:rPr>
              <w:t>text not yet reviewed</w:t>
            </w:r>
            <w:r>
              <w:rPr>
                <w:rFonts w:ascii="Calibri" w:hAnsi="Calibri" w:eastAsia="Calibri"/>
                <w:color w:val="39393B"/>
                <w:sz w:val="15"/>
              </w:rPr>
              <w:t>; relation to EUz not established</w:t>
            </w:r>
          </w:p>
        </w:tc>
      </w:tr>
    </w:tbl>
    <w:p>
      <w:pPr>
        <w:spacing w:before="0" w:after="40" w:line="144" w:lineRule="auto"/>
      </w:pPr>
    </w:p>
    <w:p>
      <w:pPr>
        <w:spacing w:before="0" w:after="80" w:line="259" w:lineRule="auto"/>
      </w:pPr>
      <w:r>
        <w:rPr>
          <w:rFonts w:ascii="Calibri" w:hAnsi="Calibri" w:eastAsia="Calibri"/>
          <w:sz w:val="18"/>
        </w:rPr>
        <w:t xml:space="preserve">Legally confirmed EUz powers: </w:t>
      </w:r>
      <w:r>
        <w:rPr>
          <w:rFonts w:ascii="Calibri" w:hAnsi="Calibri" w:eastAsia="Calibri"/>
          <w:b/>
          <w:sz w:val="18"/>
        </w:rPr>
        <w:t>none confirmed in this research.</w:t>
      </w:r>
      <w:r>
        <w:rPr>
          <w:rFonts w:ascii="Calibri" w:hAnsi="Calibri" w:eastAsia="Calibri"/>
          <w:sz w:val="18"/>
        </w:rPr>
        <w:t xml:space="preserve"> Powers requiring secondary regulation (reported): registration, licensing, sandbox procedures. Activities needing national-regulator approval (EUz working files, W): financial-product testing. Mechanisms that may need amendment: Cross-border Track tests; the Regulation Prototyping Track beyond EUz's own rules.</w:t>
      </w:r>
    </w:p>
    <w:p>
      <w:pPr>
        <w:spacing w:before="40" w:after="160" w:line="240" w:lineRule="auto"/>
      </w:pPr>
      <w:r>
        <w:rPr>
          <w:rFonts w:ascii="Calibri" w:hAnsi="Calibri" w:eastAsia="Calibri"/>
          <w:color w:val="6B6E70"/>
          <w:sz w:val="15"/>
        </w:rPr>
        <w:t>Titles are English renderings; official English titles may differ. "Governing Council" is a working rendering of «Бошқарув кенгаши» (Uzbek) and «Управляющий совет» (Russian), not an official translation.</w:t>
      </w:r>
    </w:p>
    <w:p>
      <w:pPr>
        <w:pStyle w:val="Heading1"/>
        <w:pBdr>
          <w:bottom w:val="single" w:sz="12" w:space="3" w:color="009162"/>
        </w:pBdr>
      </w:pPr>
      <w:r>
        <w:rPr>
          <w:rFonts w:ascii="Calibri" w:hAnsi="Calibri" w:eastAsia="Calibri"/>
        </w:rPr>
        <w:t>Annex D. Verification plan before external release</w:t>
      </w:r>
    </w:p>
    <w:p>
      <w:pPr>
        <w:spacing w:before="0" w:after="80" w:line="259" w:lineRule="auto"/>
      </w:pPr>
      <w:r>
        <w:rPr>
          <w:rFonts w:ascii="Calibri" w:hAnsi="Calibri" w:eastAsia="Calibri"/>
          <w:sz w:val="18"/>
        </w:rPr>
        <w:t>Steps 1–3 must be complete before the Chairman approves release of this English edition (Decision D11). Until checked against its full primary text (step 2), a figure is described as "reported", not "verified".</w:t>
      </w:r>
    </w:p>
    <w:tbl>
      <w:tblPr>
        <w:tblW w:w="9639" w:type="dxa"/>
        <w:jc w:val="center"/>
        <w:tblLayout w:type="fixed"/>
        <w:tblLook w:firstColumn="1" w:firstRow="1" w:lastColumn="0" w:lastRow="0" w:noHBand="0" w:noVBand="1" w:val="04A0"/>
      </w:tblPr>
      <w:tblGrid>
        <w:gridCol w:w="680"/>
        <w:gridCol w:w="6463"/>
        <w:gridCol w:w="2494"/>
      </w:tblGrid>
      <w:tr>
        <w:trPr>
          <w:cantSplit/>
          <w:tblHeader/>
        </w:trPr>
        <w:tc>
          <w:tcPr>
            <w:tcW w:type="dxa" w:w="680"/>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jc w:val="center"/>
            </w:pPr>
            <w:r/>
            <w:r>
              <w:rPr>
                <w:rFonts w:ascii="Calibri" w:hAnsi="Calibri" w:eastAsia="Calibri"/>
                <w:b/>
                <w:color w:val="FFFFFF"/>
                <w:sz w:val="15"/>
              </w:rPr>
              <w:t>Step</w:t>
            </w:r>
          </w:p>
        </w:tc>
        <w:tc>
          <w:tcPr>
            <w:tcW w:type="dxa" w:w="6463"/>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What to check</w:t>
            </w:r>
          </w:p>
        </w:tc>
        <w:tc>
          <w:tcPr>
            <w:tcW w:type="dxa" w:w="2494"/>
            <w:tcBorders>
              <w:top w:val="single" w:sz="4" w:space="0" w:color="D5DBD9"/>
              <w:left w:val="nil" w:sz="0" w:space="0" w:color="D5DBD9"/>
              <w:bottom w:val="single" w:sz="4" w:space="0" w:color="D5DBD9"/>
              <w:right w:val="nil" w:sz="0" w:space="0" w:color="D5DBD9"/>
            </w:tcBorders>
            <w:shd w:val="clear" w:color="auto" w:fill="175C58"/>
            <w:tcMar>
              <w:top w:w="40" w:type="dxa"/>
              <w:left w:w="70" w:type="dxa"/>
              <w:bottom w:w="40" w:type="dxa"/>
              <w:right w:w="70" w:type="dxa"/>
            </w:tcMar>
          </w:tcPr>
          <w:p>
            <w:pPr>
              <w:spacing w:before="0" w:after="20" w:line="245" w:lineRule="auto"/>
            </w:pPr>
            <w:r/>
            <w:r>
              <w:rPr>
                <w:rFonts w:ascii="Calibri" w:hAnsi="Calibri" w:eastAsia="Calibri"/>
                <w:b/>
                <w:color w:val="FFFFFF"/>
                <w:sz w:val="15"/>
              </w:rPr>
              <w:t>Required before</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1</w:t>
            </w:r>
          </w:p>
        </w:tc>
        <w:tc>
          <w:tcPr>
            <w:tcW w:type="dxa" w:w="646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Official texts.</w:t>
            </w:r>
            <w:r>
              <w:rPr>
                <w:rFonts w:ascii="Calibri" w:hAnsi="Calibri" w:eastAsia="Calibri"/>
                <w:color w:val="39393B"/>
                <w:sz w:val="15"/>
              </w:rPr>
              <w:t xml:space="preserve"> Review Decree UP-233 (with Annex 1), LRU-1169 and the national regimes in Annex C; update Section 5.6 (Exhibit 13) and Annex C.</w:t>
            </w:r>
          </w:p>
          <w:p>
            <w:pPr>
              <w:spacing w:before="0" w:after="20" w:line="245" w:lineRule="auto"/>
            </w:pPr>
            <w:r>
              <w:rPr>
                <w:rFonts w:ascii="Calibri" w:hAnsi="Calibri" w:eastAsia="Calibri"/>
                <w:b/>
                <w:color w:val="39393B"/>
                <w:sz w:val="15"/>
              </w:rPr>
              <w:t>LRU-1169.</w:t>
            </w:r>
            <w:r>
              <w:rPr>
                <w:rFonts w:ascii="Calibri" w:hAnsi="Calibri" w:eastAsia="Calibri"/>
                <w:color w:val="39393B"/>
                <w:sz w:val="15"/>
              </w:rPr>
              <w:t xml:space="preserve"> Confirm the entry-into-force date (21 Jan 2027, one outlet); the sandbox clause (Art. 39–43 per the working files), 12-month term and whether the regime is mandatory or discretionary; which body the law calls the Board; the Council's delegation powers; the roles of the Administration and the Registrar; any route to court.</w:t>
            </w:r>
          </w:p>
          <w:p>
            <w:pPr>
              <w:spacing w:before="0" w:after="20" w:line="245" w:lineRule="auto"/>
            </w:pPr>
            <w:r>
              <w:rPr>
                <w:rFonts w:ascii="Calibri" w:hAnsi="Calibri" w:eastAsia="Calibri"/>
                <w:b/>
                <w:color w:val="39393B"/>
                <w:sz w:val="15"/>
              </w:rPr>
              <w:t>Council.</w:t>
            </w:r>
            <w:r>
              <w:rPr>
                <w:rFonts w:ascii="Calibri" w:hAnsi="Calibri" w:eastAsia="Calibri"/>
                <w:color w:val="39393B"/>
                <w:sz w:val="15"/>
              </w:rPr>
              <w:t xml:space="preserve"> Confirm the Governing Council composition (UP-233 Annex 1; any approval under LRU-1169) and which Council acts (operating model, delegation, Committee appointments, Sandbox Rules) are valid before entry into force, and on what basis.</w:t>
            </w:r>
          </w:p>
          <w:p>
            <w:pPr>
              <w:spacing w:before="0" w:after="20" w:line="245" w:lineRule="auto"/>
            </w:pPr>
            <w:r>
              <w:rPr>
                <w:rFonts w:ascii="Calibri" w:hAnsi="Calibri" w:eastAsia="Calibri"/>
                <w:b/>
                <w:color w:val="39393B"/>
                <w:sz w:val="15"/>
              </w:rPr>
              <w:t>National regimes.</w:t>
            </w:r>
            <w:r>
              <w:rPr>
                <w:rFonts w:ascii="Calibri" w:hAnsi="Calibri" w:eastAsia="Calibri"/>
                <w:color w:val="39393B"/>
                <w:sz w:val="15"/>
              </w:rPr>
              <w:t xml:space="preserve"> Establish how EUz tests relate to LRU-1127 (Law on Legal Experiment), including whether they must be entered in the unified register of legal experiments; whether the UP-244 regime and the AI special regime (No. 717) apply to EUz residents; how authority over financial-product tests is divided between the Centre, the Central Bank and NAPP; and what applies to investment platforms after PQ-255's term ended on 1 Oct 2026.</w:t>
            </w:r>
          </w:p>
          <w:p>
            <w:pPr>
              <w:spacing w:before="0" w:after="20" w:line="245" w:lineRule="auto"/>
            </w:pPr>
            <w:r>
              <w:rPr>
                <w:rFonts w:ascii="Calibri" w:hAnsi="Calibri" w:eastAsia="Calibri"/>
                <w:b/>
                <w:color w:val="39393B"/>
                <w:sz w:val="15"/>
              </w:rPr>
              <w:t>Pilots.</w:t>
            </w:r>
            <w:r>
              <w:rPr>
                <w:rFonts w:ascii="Calibri" w:hAnsi="Calibri" w:eastAsia="Calibri"/>
                <w:color w:val="39393B"/>
                <w:sz w:val="15"/>
              </w:rPr>
              <w:t xml:space="preserve"> Answer the pilot questions in Exhibit 21a.</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Drafting of any Sandbox Rule (Actions 1–2, Day 20 and Day 25; Decision D4a); external release (Decision D11)</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2</w:t>
            </w:r>
          </w:p>
        </w:tc>
        <w:tc>
          <w:tcPr>
            <w:tcW w:type="dxa" w:w="646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Primary sources for figures.</w:t>
            </w:r>
            <w:r>
              <w:rPr>
                <w:rFonts w:ascii="Calibri" w:hAnsi="Calibri" w:eastAsia="Calibri"/>
                <w:color w:val="39393B"/>
                <w:sz w:val="15"/>
              </w:rPr>
              <w:t xml:space="preserve"> Check each figure in Exhibits 1–3 and the case cards against the full primary text, starting with the MAS reply [S7], then the FCA report, FOI response and Innovation Insights [S1][S3][S40]; BIS Working Paper 901 [S2]; GFIN report [S15]; Ofgem window 1 [S6]; ADGM and DFSA releases [S49][S14][S50]; HKMA releases [S21]; WEF report [S11].</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External release (Decision D11); any external quotation of a figure</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3</w:t>
            </w:r>
          </w:p>
        </w:tc>
        <w:tc>
          <w:tcPr>
            <w:tcW w:type="dxa" w:w="646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Unreconciled items.</w:t>
            </w:r>
            <w:r>
              <w:rPr>
                <w:rFonts w:ascii="Calibri" w:hAnsi="Calibri" w:eastAsia="Calibri"/>
                <w:color w:val="39393B"/>
                <w:sz w:val="15"/>
              </w:rPr>
              <w:t xml:space="preserve"> Reconcile the Annex B items, including MLETR enactments against UNCITRAL's status page; where a conflict persists, drop the figure from external materials.</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External release (Decision D11)</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4</w:t>
            </w:r>
          </w:p>
        </w:tc>
        <w:tc>
          <w:tcPr>
            <w:tcW w:type="dxa" w:w="646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EU law.</w:t>
            </w:r>
            <w:r>
              <w:rPr>
                <w:rFonts w:ascii="Calibri" w:hAnsi="Calibri" w:eastAsia="Calibri"/>
                <w:color w:val="39393B"/>
                <w:sz w:val="15"/>
              </w:rPr>
              <w:t xml:space="preserve"> Check EUR-Lex and the Official Journal for the number and dates of the AI Omnibus (Regulation (EU) 2026/1744), the AI Act Art. 58 implementing act on sandboxes and the Art. 57 paragraph numbers as amended; read COM(2026) 568 before quoting it.</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Use of EU legal dates or provisions in the Sandbox Rules or external materials</w:t>
            </w:r>
          </w:p>
        </w:tc>
      </w:tr>
      <w:tr>
        <w:trPr>
          <w:cantSplit/>
        </w:trPr>
        <w:tc>
          <w:tcPr>
            <w:tcW w:type="dxa" w:w="680"/>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5</w:t>
            </w:r>
          </w:p>
        </w:tc>
        <w:tc>
          <w:tcPr>
            <w:tcW w:type="dxa" w:w="6463"/>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b/>
                <w:color w:val="39393B"/>
                <w:sz w:val="15"/>
              </w:rPr>
              <w:t>WEF.</w:t>
            </w:r>
            <w:r>
              <w:rPr>
                <w:rFonts w:ascii="Calibri" w:hAnsi="Calibri" w:eastAsia="Calibri"/>
                <w:color w:val="39393B"/>
                <w:sz w:val="15"/>
              </w:rPr>
              <w:t xml:space="preserve"> Obtain in writing the GRIP terms, any fee model and the status of GRIP outputs; request per-participant TradeTech outcomes and the names of participating regulators (Exhibit 19a, W4 and W5).</w:t>
            </w:r>
          </w:p>
        </w:tc>
        <w:tc>
          <w:tcPr>
            <w:tcW w:type="dxa" w:w="2494"/>
            <w:tcBorders>
              <w:top w:val="single" w:sz="4" w:space="0" w:color="D5DBD9"/>
              <w:left w:val="nil" w:sz="0" w:space="0" w:color="D5DBD9"/>
              <w:bottom w:val="single" w:sz="4" w:space="0" w:color="D5DBD9"/>
              <w:right w:val="nil" w:sz="0" w:space="0" w:color="D5DBD9"/>
            </w:tcBorders>
            <w:tcMar>
              <w:top w:w="40" w:type="dxa"/>
              <w:left w:w="70" w:type="dxa"/>
              <w:bottom w:w="40" w:type="dxa"/>
              <w:right w:w="70" w:type="dxa"/>
            </w:tcMar>
          </w:tcPr>
          <w:p>
            <w:pPr>
              <w:spacing w:before="0" w:after="20" w:line="245" w:lineRule="auto"/>
            </w:pPr>
            <w:r/>
            <w:r>
              <w:rPr>
                <w:rFonts w:ascii="Calibri" w:hAnsi="Calibri" w:eastAsia="Calibri"/>
                <w:color w:val="39393B"/>
                <w:sz w:val="15"/>
              </w:rPr>
              <w:t>The D8 term sheet (Day 75)</w:t>
            </w:r>
          </w:p>
        </w:tc>
      </w:tr>
      <w:tr>
        <w:trPr>
          <w:cantSplit/>
        </w:trPr>
        <w:tc>
          <w:tcPr>
            <w:tcW w:type="dxa" w:w="680"/>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jc w:val="center"/>
            </w:pPr>
            <w:r/>
            <w:r>
              <w:rPr>
                <w:rFonts w:ascii="Calibri" w:hAnsi="Calibri" w:eastAsia="Calibri"/>
                <w:color w:val="39393B"/>
                <w:sz w:val="15"/>
              </w:rPr>
              <w:t>6</w:t>
            </w:r>
          </w:p>
        </w:tc>
        <w:tc>
          <w:tcPr>
            <w:tcW w:type="dxa" w:w="6463"/>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b/>
                <w:color w:val="39393B"/>
                <w:sz w:val="15"/>
              </w:rPr>
              <w:t>Demand.</w:t>
            </w:r>
            <w:r>
              <w:rPr>
                <w:rFonts w:ascii="Calibri" w:hAnsi="Calibri" w:eastAsia="Calibri"/>
                <w:color w:val="39393B"/>
                <w:sz w:val="15"/>
              </w:rPr>
              <w:t xml:space="preserve"> Complete the demand test (Action 10).</w:t>
            </w:r>
          </w:p>
        </w:tc>
        <w:tc>
          <w:tcPr>
            <w:tcW w:type="dxa" w:w="2494"/>
            <w:tcBorders>
              <w:top w:val="single" w:sz="4" w:space="0" w:color="D5DBD9"/>
              <w:left w:val="nil" w:sz="0" w:space="0" w:color="D5DBD9"/>
              <w:bottom w:val="single" w:sz="4" w:space="0" w:color="D5DBD9"/>
              <w:right w:val="nil" w:sz="0" w:space="0" w:color="D5DBD9"/>
            </w:tcBorders>
            <w:shd w:val="clear" w:color="auto" w:fill="F6F8F7"/>
            <w:tcMar>
              <w:top w:w="40" w:type="dxa"/>
              <w:left w:w="70" w:type="dxa"/>
              <w:bottom w:w="40" w:type="dxa"/>
              <w:right w:w="70" w:type="dxa"/>
            </w:tcMar>
          </w:tcPr>
          <w:p>
            <w:pPr>
              <w:spacing w:before="0" w:after="20" w:line="245" w:lineRule="auto"/>
            </w:pPr>
            <w:r/>
            <w:r>
              <w:rPr>
                <w:rFonts w:ascii="Calibri" w:hAnsi="Calibri" w:eastAsia="Calibri"/>
                <w:color w:val="39393B"/>
                <w:sz w:val="15"/>
              </w:rPr>
              <w:t>Pilot selection (Decision D6, Day 75); any marketing use of the proposition in Section 5.4</w:t>
            </w:r>
          </w:p>
        </w:tc>
      </w:tr>
    </w:tbl>
    <w:p>
      <w:pPr>
        <w:spacing w:before="0" w:after="40" w:line="144" w:lineRule="auto"/>
      </w:pPr>
    </w:p>
    <w:p>
      <w:pPr>
        <w:pStyle w:val="Heading1"/>
        <w:pageBreakBefore/>
        <w:pBdr>
          <w:bottom w:val="single" w:sz="12" w:space="3" w:color="009162"/>
        </w:pBdr>
      </w:pPr>
      <w:r>
        <w:rPr>
          <w:rFonts w:ascii="Calibri" w:hAnsi="Calibri" w:eastAsia="Calibri"/>
        </w:rPr>
        <w:t>Annex E. Bibliography</w:t>
      </w:r>
    </w:p>
    <w:p>
      <w:pPr>
        <w:spacing w:before="0" w:after="80" w:line="259" w:lineRule="auto"/>
      </w:pPr>
      <w:r>
        <w:rPr>
          <w:rFonts w:ascii="Calibri" w:hAnsi="Calibri" w:eastAsia="Calibri"/>
          <w:sz w:val="17"/>
        </w:rPr>
        <w:t>Codes match citations in the text. URLs are the primary or cited pages. Figures were taken from summaries of these pages; full-text checks are pending (Annex D, step 2).</w:t>
      </w:r>
    </w:p>
    <w:p>
      <w:pPr>
        <w:spacing w:before="0" w:after="50" w:line="240" w:lineRule="auto"/>
        <w:ind w:left="567" w:hanging="567"/>
      </w:pPr>
      <w:r>
        <w:rPr>
          <w:rFonts w:ascii="Calibri" w:hAnsi="Calibri" w:eastAsia="Calibri"/>
          <w:b/>
          <w:color w:val="009162"/>
          <w:sz w:val="16"/>
        </w:rPr>
        <w:t xml:space="preserve">[S1]  </w:t>
      </w:r>
      <w:r>
        <w:rPr>
          <w:rFonts w:ascii="Calibri" w:hAnsi="Calibri" w:eastAsia="Calibri"/>
          <w:sz w:val="16"/>
        </w:rPr>
        <w:t xml:space="preserve">FCA, Regulatory sandbox lessons learned report (Oct 2017). </w:t>
      </w:r>
      <w:hyperlink r:id="rId13">
        <w:r>
          <w:rPr>
            <w:rFonts w:ascii="Calibri" w:hAnsi="Calibri"/>
            <w:color w:val="175C58"/>
            <w:u w:val="single"/>
            <w:sz w:val="15"/>
          </w:rPr>
          <w:t xml:space="preserve">https://www.fca.org.uk/publication/research-and-data/regulatory-sandbox-lessons-learned-report.pdf</w:t>
        </w:r>
      </w:hyperlink>
    </w:p>
    <w:p>
      <w:pPr>
        <w:spacing w:before="0" w:after="50" w:line="240" w:lineRule="auto"/>
        <w:ind w:left="567" w:hanging="567"/>
      </w:pPr>
      <w:r>
        <w:rPr>
          <w:rFonts w:ascii="Calibri" w:hAnsi="Calibri" w:eastAsia="Calibri"/>
          <w:b/>
          <w:color w:val="009162"/>
          <w:sz w:val="16"/>
        </w:rPr>
        <w:t xml:space="preserve">[S2]  </w:t>
      </w:r>
      <w:r>
        <w:rPr>
          <w:rFonts w:ascii="Calibri" w:hAnsi="Calibri" w:eastAsia="Calibri"/>
          <w:sz w:val="16"/>
        </w:rPr>
        <w:t xml:space="preserve">Cornelli, Doerr, Gambacorta, Merrouche, Regulatory sandboxes and fintech funding: evidence from the UK, BIS Working Paper 901; Review of Finance 28(1), 2024. </w:t>
      </w:r>
      <w:hyperlink r:id="rId14">
        <w:r>
          <w:rPr>
            <w:rFonts w:ascii="Calibri" w:hAnsi="Calibri"/>
            <w:color w:val="175C58"/>
            <w:u w:val="single"/>
            <w:sz w:val="15"/>
          </w:rPr>
          <w:t xml:space="preserve">https://www.bis.org/publ/work901.pdf</w:t>
        </w:r>
      </w:hyperlink>
    </w:p>
    <w:p>
      <w:pPr>
        <w:spacing w:before="0" w:after="50" w:line="240" w:lineRule="auto"/>
        <w:ind w:left="567" w:hanging="567"/>
      </w:pPr>
      <w:r>
        <w:rPr>
          <w:rFonts w:ascii="Calibri" w:hAnsi="Calibri" w:eastAsia="Calibri"/>
          <w:b/>
          <w:color w:val="009162"/>
          <w:sz w:val="16"/>
        </w:rPr>
        <w:t xml:space="preserve">[S3]  </w:t>
      </w:r>
      <w:r>
        <w:rPr>
          <w:rFonts w:ascii="Calibri" w:hAnsi="Calibri" w:eastAsia="Calibri"/>
          <w:sz w:val="16"/>
        </w:rPr>
        <w:t xml:space="preserve">FCA, Freedom of Information response: sandbox applications received 2021–2025 (May 2026). </w:t>
      </w:r>
      <w:hyperlink r:id="rId15">
        <w:r>
          <w:rPr>
            <w:rFonts w:ascii="Calibri" w:hAnsi="Calibri"/>
            <w:color w:val="175C58"/>
            <w:u w:val="single"/>
            <w:sz w:val="15"/>
          </w:rPr>
          <w:t xml:space="preserve">https://www.fca.org.uk/freedom-information/information-number-sandbox-applications-received-2021-2025-may-2026</w:t>
        </w:r>
      </w:hyperlink>
    </w:p>
    <w:p>
      <w:pPr>
        <w:spacing w:before="0" w:after="50" w:line="240" w:lineRule="auto"/>
        <w:ind w:left="567" w:hanging="567"/>
      </w:pPr>
      <w:r>
        <w:rPr>
          <w:rFonts w:ascii="Calibri" w:hAnsi="Calibri" w:eastAsia="Calibri"/>
          <w:b/>
          <w:color w:val="009162"/>
          <w:sz w:val="16"/>
        </w:rPr>
        <w:t xml:space="preserve">[S4]  </w:t>
      </w:r>
      <w:r>
        <w:rPr>
          <w:rFonts w:ascii="Calibri" w:hAnsi="Calibri" w:eastAsia="Calibri"/>
          <w:sz w:val="16"/>
        </w:rPr>
        <w:t xml:space="preserve">FCA, Digital Sandbox pilots page, DataSprint page and FCA/City of London joint evaluation of pilot 1 (Apr 2021). </w:t>
      </w:r>
      <w:hyperlink r:id="rId16">
        <w:r>
          <w:rPr>
            <w:rFonts w:ascii="Calibri" w:hAnsi="Calibri"/>
            <w:color w:val="175C58"/>
            <w:u w:val="single"/>
            <w:sz w:val="15"/>
          </w:rPr>
          <w:t xml:space="preserve">https://www.fca.org.uk/firms/digital-sandbox-pilot-fca-datasprint</w:t>
        </w:r>
      </w:hyperlink>
    </w:p>
    <w:p>
      <w:pPr>
        <w:spacing w:before="0" w:after="50" w:line="240" w:lineRule="auto"/>
        <w:ind w:left="567" w:hanging="567"/>
      </w:pPr>
      <w:r>
        <w:rPr>
          <w:rFonts w:ascii="Calibri" w:hAnsi="Calibri" w:eastAsia="Calibri"/>
          <w:b/>
          <w:color w:val="009162"/>
          <w:sz w:val="16"/>
        </w:rPr>
        <w:t xml:space="preserve">[S5]  </w:t>
      </w:r>
      <w:r>
        <w:rPr>
          <w:rFonts w:ascii="Calibri" w:hAnsi="Calibri" w:eastAsia="Calibri"/>
          <w:sz w:val="16"/>
        </w:rPr>
        <w:t xml:space="preserve">ICO, Regulatory Sandbox beta review (Nov 2021), Guide to the Sandbox and previous-participant pages. </w:t>
      </w:r>
      <w:hyperlink r:id="rId17">
        <w:r>
          <w:rPr>
            <w:rFonts w:ascii="Calibri" w:hAnsi="Calibri"/>
            <w:color w:val="175C58"/>
            <w:u w:val="single"/>
            <w:sz w:val="15"/>
          </w:rPr>
          <w:t xml:space="preserve">https://ico.org.uk/for-organisations/advice-and-services/regulatory-sandbox/previous-participants</w:t>
        </w:r>
      </w:hyperlink>
    </w:p>
    <w:p>
      <w:pPr>
        <w:spacing w:before="0" w:after="50" w:line="240" w:lineRule="auto"/>
        <w:ind w:left="567" w:hanging="567"/>
      </w:pPr>
      <w:r>
        <w:rPr>
          <w:rFonts w:ascii="Calibri" w:hAnsi="Calibri" w:eastAsia="Calibri"/>
          <w:b/>
          <w:color w:val="009162"/>
          <w:sz w:val="16"/>
        </w:rPr>
        <w:t xml:space="preserve">[S6]  </w:t>
      </w:r>
      <w:r>
        <w:rPr>
          <w:rFonts w:ascii="Calibri" w:hAnsi="Calibri" w:eastAsia="Calibri"/>
          <w:sz w:val="16"/>
        </w:rPr>
        <w:t xml:space="preserve">Ofgem, Innovation Link: outcome of sandbox window 1 (Sep 2018). </w:t>
      </w:r>
      <w:hyperlink r:id="rId18">
        <w:r>
          <w:rPr>
            <w:rFonts w:ascii="Calibri" w:hAnsi="Calibri"/>
            <w:color w:val="175C58"/>
            <w:u w:val="single"/>
            <w:sz w:val="15"/>
          </w:rPr>
          <w:t xml:space="preserve">https://www.ofgem.gov.uk/guidance/innovation-link-outcome-sandbox-window-1</w:t>
        </w:r>
      </w:hyperlink>
    </w:p>
    <w:p>
      <w:pPr>
        <w:spacing w:before="0" w:after="50" w:line="240" w:lineRule="auto"/>
        <w:ind w:left="567" w:hanging="567"/>
      </w:pPr>
      <w:r>
        <w:rPr>
          <w:rFonts w:ascii="Calibri" w:hAnsi="Calibri" w:eastAsia="Calibri"/>
          <w:b/>
          <w:color w:val="009162"/>
          <w:sz w:val="16"/>
        </w:rPr>
        <w:t xml:space="preserve">[S7]  </w:t>
      </w:r>
      <w:r>
        <w:rPr>
          <w:rFonts w:ascii="Calibri" w:hAnsi="Calibri" w:eastAsia="Calibri"/>
          <w:sz w:val="16"/>
        </w:rPr>
        <w:t xml:space="preserve">MAS, Written reply on MAS regulatory sandboxes, Parliament of Singapore (14 Oct 2025). </w:t>
      </w:r>
      <w:hyperlink r:id="rId19">
        <w:r>
          <w:rPr>
            <w:rFonts w:ascii="Calibri" w:hAnsi="Calibri"/>
            <w:color w:val="175C58"/>
            <w:u w:val="single"/>
            <w:sz w:val="15"/>
          </w:rPr>
          <w:t xml:space="preserve">https://www.mas.gov.sg/news/parliamentary-replies/2025/written-reply-on-mas-regulatory-sandboxes</w:t>
        </w:r>
      </w:hyperlink>
    </w:p>
    <w:p>
      <w:pPr>
        <w:spacing w:before="0" w:after="50" w:line="240" w:lineRule="auto"/>
        <w:ind w:left="567" w:hanging="567"/>
      </w:pPr>
      <w:r>
        <w:rPr>
          <w:rFonts w:ascii="Calibri" w:hAnsi="Calibri" w:eastAsia="Calibri"/>
          <w:b/>
          <w:color w:val="009162"/>
          <w:sz w:val="16"/>
        </w:rPr>
        <w:t xml:space="preserve">[S8]  </w:t>
      </w:r>
      <w:r>
        <w:rPr>
          <w:rFonts w:ascii="Calibri" w:hAnsi="Calibri" w:eastAsia="Calibri"/>
          <w:sz w:val="16"/>
        </w:rPr>
        <w:t xml:space="preserve">MAS, Sandbox Express: consultation paper (2018), launch media release (7 Aug 2019) and guidelines (updated Jan 2020); Allen &amp; Gledhill summary. </w:t>
      </w:r>
      <w:hyperlink r:id="rId20">
        <w:r>
          <w:rPr>
            <w:rFonts w:ascii="Calibri" w:hAnsi="Calibri"/>
            <w:color w:val="175C58"/>
            <w:u w:val="single"/>
            <w:sz w:val="15"/>
          </w:rPr>
          <w:t xml:space="preserve">https://www.mas.gov.sg/publications/consultations/2018/consultation-paper-on-sandbox-express</w:t>
        </w:r>
      </w:hyperlink>
    </w:p>
    <w:p>
      <w:pPr>
        <w:spacing w:before="0" w:after="50" w:line="240" w:lineRule="auto"/>
        <w:ind w:left="567" w:hanging="567"/>
      </w:pPr>
      <w:r>
        <w:rPr>
          <w:rFonts w:ascii="Calibri" w:hAnsi="Calibri" w:eastAsia="Calibri"/>
          <w:b/>
          <w:color w:val="009162"/>
          <w:sz w:val="16"/>
        </w:rPr>
        <w:t xml:space="preserve">[S9]  </w:t>
      </w:r>
      <w:r>
        <w:rPr>
          <w:rFonts w:ascii="Calibri" w:hAnsi="Calibri" w:eastAsia="Calibri"/>
          <w:sz w:val="16"/>
        </w:rPr>
        <w:t xml:space="preserve">MAS, Media release and FAQs: Sandbox Plus (9 Nov 2021). </w:t>
      </w:r>
      <w:hyperlink r:id="rId21">
        <w:r>
          <w:rPr>
            <w:rFonts w:ascii="Calibri" w:hAnsi="Calibri"/>
            <w:color w:val="175C58"/>
            <w:u w:val="single"/>
            <w:sz w:val="15"/>
          </w:rPr>
          <w:t xml:space="preserve">https://www.mas.gov.sg/news/media-releases/2021/mas-enhances-fintech-regulatory-sandbox-with-sandbox-plus</w:t>
        </w:r>
      </w:hyperlink>
    </w:p>
    <w:p>
      <w:pPr>
        <w:spacing w:before="0" w:after="50" w:line="240" w:lineRule="auto"/>
        <w:ind w:left="567" w:hanging="567"/>
      </w:pPr>
      <w:r>
        <w:rPr>
          <w:rFonts w:ascii="Calibri" w:hAnsi="Calibri" w:eastAsia="Calibri"/>
          <w:b/>
          <w:color w:val="009162"/>
          <w:sz w:val="16"/>
        </w:rPr>
        <w:t xml:space="preserve">[S10]  </w:t>
      </w:r>
      <w:r>
        <w:rPr>
          <w:rFonts w:ascii="Calibri" w:hAnsi="Calibri" w:eastAsia="Calibri"/>
          <w:sz w:val="16"/>
        </w:rPr>
        <w:t xml:space="preserve">WAM, UAE launches global TradeTech sandbox during World Economic Forum (Jan 2024). </w:t>
      </w:r>
      <w:hyperlink r:id="rId22">
        <w:r>
          <w:rPr>
            <w:rFonts w:ascii="Calibri" w:hAnsi="Calibri"/>
            <w:color w:val="175C58"/>
            <w:u w:val="single"/>
            <w:sz w:val="15"/>
          </w:rPr>
          <w:t xml:space="preserve">https://wam.ae/en/article/b18wfrc-uae-launches-global-tradetech-sandbox-during-world</w:t>
        </w:r>
      </w:hyperlink>
    </w:p>
    <w:p>
      <w:pPr>
        <w:spacing w:before="0" w:after="50" w:line="240" w:lineRule="auto"/>
        <w:ind w:left="567" w:hanging="567"/>
      </w:pPr>
      <w:r>
        <w:rPr>
          <w:rFonts w:ascii="Calibri" w:hAnsi="Calibri" w:eastAsia="Calibri"/>
          <w:b/>
          <w:color w:val="009162"/>
          <w:sz w:val="16"/>
        </w:rPr>
        <w:t xml:space="preserve">[S11]  </w:t>
      </w:r>
      <w:r>
        <w:rPr>
          <w:rFonts w:ascii="Calibri" w:hAnsi="Calibri" w:eastAsia="Calibri"/>
          <w:sz w:val="16"/>
        </w:rPr>
        <w:t xml:space="preserve">World Economic Forum, Advancing Digital Trade: insights from the UAE TradeTech Regulatory Sandbox (1 Oct 2025). </w:t>
      </w:r>
      <w:hyperlink r:id="rId23">
        <w:r>
          <w:rPr>
            <w:rFonts w:ascii="Calibri" w:hAnsi="Calibri"/>
            <w:color w:val="175C58"/>
            <w:u w:val="single"/>
            <w:sz w:val="15"/>
          </w:rPr>
          <w:t xml:space="preserve">https://www.weforum.org/publications/advancing-digital-trade-insights-from-the-uae-tradetech-regulatory-sandbox</w:t>
        </w:r>
      </w:hyperlink>
    </w:p>
    <w:p>
      <w:pPr>
        <w:spacing w:before="0" w:after="50" w:line="240" w:lineRule="auto"/>
        <w:ind w:left="567" w:hanging="567"/>
      </w:pPr>
      <w:r>
        <w:rPr>
          <w:rFonts w:ascii="Calibri" w:hAnsi="Calibri" w:eastAsia="Calibri"/>
          <w:b/>
          <w:color w:val="009162"/>
          <w:sz w:val="16"/>
        </w:rPr>
        <w:t xml:space="preserve">[S12]  </w:t>
      </w:r>
      <w:r>
        <w:rPr>
          <w:rFonts w:ascii="Calibri" w:hAnsi="Calibri" w:eastAsia="Calibri"/>
          <w:sz w:val="16"/>
        </w:rPr>
        <w:t xml:space="preserve">WEF and UAE Government, Global Regulatory Innovation Platform (Jan and Jul 2025); WEF drone-regulation material (2019). </w:t>
      </w:r>
      <w:hyperlink r:id="rId24">
        <w:r>
          <w:rPr>
            <w:rFonts w:ascii="Calibri" w:hAnsi="Calibri"/>
            <w:color w:val="175C58"/>
            <w:u w:val="single"/>
            <w:sz w:val="15"/>
          </w:rPr>
          <w:t xml:space="preserve">https://www.weforum.org/press/2025/07/new-global-platform-launched-to-reimagine-regulation-in-age-of-disruptive-tech</w:t>
        </w:r>
      </w:hyperlink>
    </w:p>
    <w:p>
      <w:pPr>
        <w:spacing w:before="0" w:after="50" w:line="240" w:lineRule="auto"/>
        <w:ind w:left="567" w:hanging="567"/>
      </w:pPr>
      <w:r>
        <w:rPr>
          <w:rFonts w:ascii="Calibri" w:hAnsi="Calibri" w:eastAsia="Calibri"/>
          <w:b/>
          <w:color w:val="009162"/>
          <w:sz w:val="16"/>
        </w:rPr>
        <w:t xml:space="preserve">[S13]  </w:t>
      </w:r>
      <w:r>
        <w:rPr>
          <w:rFonts w:ascii="Calibri" w:hAnsi="Calibri" w:eastAsia="Calibri"/>
          <w:sz w:val="16"/>
        </w:rPr>
        <w:t xml:space="preserve">ADGM, RegLab cohort announcements (2016–2018). </w:t>
      </w:r>
      <w:hyperlink r:id="rId25">
        <w:r>
          <w:rPr>
            <w:rFonts w:ascii="Calibri" w:hAnsi="Calibri"/>
            <w:color w:val="175C58"/>
            <w:u w:val="single"/>
            <w:sz w:val="15"/>
          </w:rPr>
          <w:t xml:space="preserve">https://www.adgm.com/media/announcements/adgm-reglab-attracts-record-number-of-applications-for-its-3rd-cohort</w:t>
        </w:r>
      </w:hyperlink>
    </w:p>
    <w:p>
      <w:pPr>
        <w:spacing w:before="0" w:after="50" w:line="240" w:lineRule="auto"/>
        <w:ind w:left="567" w:hanging="567"/>
      </w:pPr>
      <w:r>
        <w:rPr>
          <w:rFonts w:ascii="Calibri" w:hAnsi="Calibri" w:eastAsia="Calibri"/>
          <w:b/>
          <w:color w:val="009162"/>
          <w:sz w:val="16"/>
        </w:rPr>
        <w:t xml:space="preserve">[S14]  </w:t>
      </w:r>
      <w:r>
        <w:rPr>
          <w:rFonts w:ascii="Calibri" w:hAnsi="Calibri" w:eastAsia="Calibri"/>
          <w:sz w:val="16"/>
        </w:rPr>
        <w:t xml:space="preserve">DFSA, first graduate Sarwa (Nov 2018) and ITL cohort announcement (Jun 2021), as covered by The Fintech Times (Jun 2021); Finance Magnates, DFSA ITL open window (Jul 2022). </w:t>
      </w:r>
      <w:hyperlink r:id="rId26">
        <w:r>
          <w:rPr>
            <w:rFonts w:ascii="Calibri" w:hAnsi="Calibri"/>
            <w:color w:val="175C58"/>
            <w:u w:val="single"/>
            <w:sz w:val="15"/>
          </w:rPr>
          <w:t xml:space="preserve">https://www.dfsa.ae/news/robo-advisory-firm-sarwa-first-graduate-dfsas-regulatory-sandbox</w:t>
        </w:r>
      </w:hyperlink>
    </w:p>
    <w:p>
      <w:pPr>
        <w:spacing w:before="0" w:after="50" w:line="240" w:lineRule="auto"/>
        <w:ind w:left="567" w:hanging="567"/>
      </w:pPr>
      <w:r>
        <w:rPr>
          <w:rFonts w:ascii="Calibri" w:hAnsi="Calibri" w:eastAsia="Calibri"/>
          <w:b/>
          <w:color w:val="009162"/>
          <w:sz w:val="16"/>
        </w:rPr>
        <w:t xml:space="preserve">[S15]  </w:t>
      </w:r>
      <w:r>
        <w:rPr>
          <w:rFonts w:ascii="Calibri" w:hAnsi="Calibri" w:eastAsia="Calibri"/>
          <w:sz w:val="16"/>
        </w:rPr>
        <w:t xml:space="preserve">Global Financial Innovation Network, Cross-border testing pilot: lessons learned (Jan 2020). </w:t>
      </w:r>
      <w:hyperlink r:id="rId27">
        <w:r>
          <w:rPr>
            <w:rFonts w:ascii="Calibri" w:hAnsi="Calibri"/>
            <w:color w:val="175C58"/>
            <w:u w:val="single"/>
            <w:sz w:val="15"/>
          </w:rPr>
          <w:t xml:space="preserve">https://www.mnb.hu/letoltes/gfin-cbt-pilot-lessons-learned.pdf</w:t>
        </w:r>
      </w:hyperlink>
    </w:p>
    <w:p>
      <w:pPr>
        <w:spacing w:before="0" w:after="50" w:line="240" w:lineRule="auto"/>
        <w:ind w:left="567" w:hanging="567"/>
      </w:pPr>
      <w:r>
        <w:rPr>
          <w:rFonts w:ascii="Calibri" w:hAnsi="Calibri" w:eastAsia="Calibri"/>
          <w:b/>
          <w:color w:val="009162"/>
          <w:sz w:val="16"/>
        </w:rPr>
        <w:t xml:space="preserve">[S16]  </w:t>
      </w:r>
      <w:r>
        <w:rPr>
          <w:rFonts w:ascii="Calibri" w:hAnsi="Calibri" w:eastAsia="Calibri"/>
          <w:sz w:val="16"/>
        </w:rPr>
        <w:t xml:space="preserve">World Bank, Key data from regulatory sandboxes across the globe; Fintech Note No. 8, Global experiences from regulatory sandboxes (Nov 2020). </w:t>
      </w:r>
      <w:hyperlink r:id="rId28">
        <w:r>
          <w:rPr>
            <w:rFonts w:ascii="Calibri" w:hAnsi="Calibri"/>
            <w:color w:val="175C58"/>
            <w:u w:val="single"/>
            <w:sz w:val="15"/>
          </w:rPr>
          <w:t xml:space="preserve">https://www.worldbank.org/en/topic/fintech/brief/key-data-from-regulatory-sandboxes-across-the-globe</w:t>
        </w:r>
      </w:hyperlink>
    </w:p>
    <w:p>
      <w:pPr>
        <w:spacing w:before="0" w:after="50" w:line="240" w:lineRule="auto"/>
        <w:ind w:left="567" w:hanging="567"/>
      </w:pPr>
      <w:r>
        <w:rPr>
          <w:rFonts w:ascii="Calibri" w:hAnsi="Calibri" w:eastAsia="Calibri"/>
          <w:b/>
          <w:color w:val="009162"/>
          <w:sz w:val="16"/>
        </w:rPr>
        <w:t xml:space="preserve">[S17]  </w:t>
      </w:r>
      <w:r>
        <w:rPr>
          <w:rFonts w:ascii="Calibri" w:hAnsi="Calibri" w:eastAsia="Calibri"/>
          <w:sz w:val="16"/>
        </w:rPr>
        <w:t xml:space="preserve">European Commission, European Blockchain Sandbox pages; Bird &amp; Bird / OXYGY final best-practices report (11 Feb 2026). </w:t>
      </w:r>
      <w:hyperlink r:id="rId29">
        <w:r>
          <w:rPr>
            <w:rFonts w:ascii="Calibri" w:hAnsi="Calibri"/>
            <w:color w:val="175C58"/>
            <w:u w:val="single"/>
            <w:sz w:val="15"/>
          </w:rPr>
          <w:t xml:space="preserve">https://blockchain-observatory.ec.europa.eu/european-blockchain-sandbox-announces-selected-projects-first-cohort_en</w:t>
        </w:r>
      </w:hyperlink>
    </w:p>
    <w:p>
      <w:pPr>
        <w:spacing w:before="0" w:after="50" w:line="240" w:lineRule="auto"/>
        <w:ind w:left="567" w:hanging="567"/>
      </w:pPr>
      <w:r>
        <w:rPr>
          <w:rFonts w:ascii="Calibri" w:hAnsi="Calibri" w:eastAsia="Calibri"/>
          <w:b/>
          <w:color w:val="009162"/>
          <w:sz w:val="16"/>
        </w:rPr>
        <w:t xml:space="preserve">[S18]  </w:t>
      </w:r>
      <w:r>
        <w:rPr>
          <w:rFonts w:ascii="Calibri" w:hAnsi="Calibri" w:eastAsia="Calibri"/>
          <w:sz w:val="16"/>
        </w:rPr>
        <w:t xml:space="preserve">White &amp; Case, Orrick and Lewis Silkin commentaries on the EU AI Omnibus (Jul 2026); artificialintelligenceact.eu sandbox overview. </w:t>
      </w:r>
      <w:hyperlink r:id="rId30">
        <w:r>
          <w:rPr>
            <w:rFonts w:ascii="Calibri" w:hAnsi="Calibri"/>
            <w:color w:val="175C58"/>
            <w:u w:val="single"/>
            <w:sz w:val="15"/>
          </w:rPr>
          <w:t xml:space="preserve">https://www.whitecase.com/insight-alert/eu-ai-omnibus-enters-force-amending-ai-act</w:t>
        </w:r>
      </w:hyperlink>
    </w:p>
    <w:p>
      <w:pPr>
        <w:spacing w:before="0" w:after="50" w:line="240" w:lineRule="auto"/>
        <w:ind w:left="567" w:hanging="567"/>
      </w:pPr>
      <w:r>
        <w:rPr>
          <w:rFonts w:ascii="Calibri" w:hAnsi="Calibri" w:eastAsia="Calibri"/>
          <w:b/>
          <w:color w:val="009162"/>
          <w:sz w:val="16"/>
        </w:rPr>
        <w:t xml:space="preserve">[S19]  </w:t>
      </w:r>
      <w:r>
        <w:rPr>
          <w:rFonts w:ascii="Calibri" w:hAnsi="Calibri" w:eastAsia="Calibri"/>
          <w:sz w:val="16"/>
        </w:rPr>
        <w:t xml:space="preserve">Spanish Government, conclusion of first AI sandbox (Jun 2026) and results report. </w:t>
      </w:r>
      <w:hyperlink r:id="rId31">
        <w:r>
          <w:rPr>
            <w:rFonts w:ascii="Calibri" w:hAnsi="Calibri"/>
            <w:color w:val="175C58"/>
            <w:u w:val="single"/>
            <w:sz w:val="15"/>
          </w:rPr>
          <w:t xml:space="preserve">https://digital.gob.es/en/comunicacion/notas-prensa/secretaria-digitalizacion-e-inteligencia-artificial/2026/06/el-gobierno-concluye-con-exito-el-primer-sandbox-de-inteligencia</w:t>
        </w:r>
      </w:hyperlink>
    </w:p>
    <w:p>
      <w:pPr>
        <w:spacing w:before="0" w:after="50" w:line="240" w:lineRule="auto"/>
        <w:ind w:left="567" w:hanging="567"/>
      </w:pPr>
      <w:r>
        <w:rPr>
          <w:rFonts w:ascii="Calibri" w:hAnsi="Calibri" w:eastAsia="Calibri"/>
          <w:b/>
          <w:color w:val="009162"/>
          <w:sz w:val="16"/>
        </w:rPr>
        <w:t xml:space="preserve">[S20]  </w:t>
      </w:r>
      <w:r>
        <w:rPr>
          <w:rFonts w:ascii="Calibri" w:hAnsi="Calibri" w:eastAsia="Calibri"/>
          <w:sz w:val="16"/>
        </w:rPr>
        <w:t xml:space="preserve">Japan Cabinet Secretariat, Japan's Regulatory Sandbox presentation; IMF country report 2024/116 on Japan; METI, Grey Zone Elimination system page. </w:t>
      </w:r>
      <w:hyperlink r:id="rId32">
        <w:r>
          <w:rPr>
            <w:rFonts w:ascii="Calibri" w:hAnsi="Calibri"/>
            <w:color w:val="175C58"/>
            <w:u w:val="single"/>
            <w:sz w:val="15"/>
          </w:rPr>
          <w:t xml:space="preserve">https://www.cas.go.jp/jp/seisaku/s-portal/pdf/underlyinglaw/Japans_Regulatory_Sandbox_presentation.pdf</w:t>
        </w:r>
      </w:hyperlink>
    </w:p>
    <w:p>
      <w:pPr>
        <w:spacing w:before="0" w:after="50" w:line="240" w:lineRule="auto"/>
        <w:ind w:left="567" w:hanging="567"/>
      </w:pPr>
      <w:r>
        <w:rPr>
          <w:rFonts w:ascii="Calibri" w:hAnsi="Calibri" w:eastAsia="Calibri"/>
          <w:b/>
          <w:color w:val="009162"/>
          <w:sz w:val="16"/>
        </w:rPr>
        <w:t xml:space="preserve">[S21]  </w:t>
      </w:r>
      <w:r>
        <w:rPr>
          <w:rFonts w:ascii="Calibri" w:hAnsi="Calibri" w:eastAsia="Calibri"/>
          <w:sz w:val="16"/>
        </w:rPr>
        <w:t xml:space="preserve">HKMA press releases on GenAI Sandbox (19 Dec 2024, 15 Oct 2025, 27 Aug 2026); Hong Kong LegCo research paper (Feb 2022). </w:t>
      </w:r>
      <w:hyperlink r:id="rId33">
        <w:r>
          <w:rPr>
            <w:rFonts w:ascii="Calibri" w:hAnsi="Calibri"/>
            <w:color w:val="175C58"/>
            <w:u w:val="single"/>
            <w:sz w:val="15"/>
          </w:rPr>
          <w:t xml:space="preserve">https://www.hkma.gov.hk/eng/news-and-media/press-releases/2026/08/20260827-3/</w:t>
        </w:r>
      </w:hyperlink>
    </w:p>
    <w:p>
      <w:pPr>
        <w:spacing w:before="0" w:after="50" w:line="240" w:lineRule="auto"/>
        <w:ind w:left="567" w:hanging="567"/>
      </w:pPr>
      <w:r>
        <w:rPr>
          <w:rFonts w:ascii="Calibri" w:hAnsi="Calibri" w:eastAsia="Calibri"/>
          <w:b/>
          <w:color w:val="009162"/>
          <w:sz w:val="16"/>
        </w:rPr>
        <w:t xml:space="preserve">[S22]  </w:t>
      </w:r>
      <w:r>
        <w:rPr>
          <w:rFonts w:ascii="Calibri" w:hAnsi="Calibri" w:eastAsia="Calibri"/>
          <w:sz w:val="16"/>
        </w:rPr>
        <w:t xml:space="preserve">Saudi Central Bank (SAMA), news releases on the regulatory sandbox (2022–2023). </w:t>
      </w:r>
      <w:hyperlink r:id="rId34">
        <w:r>
          <w:rPr>
            <w:rFonts w:ascii="Calibri" w:hAnsi="Calibri"/>
            <w:color w:val="175C58"/>
            <w:u w:val="single"/>
            <w:sz w:val="15"/>
          </w:rPr>
          <w:t xml:space="preserve">https://www.sama.gov.sa/en-US/MediaCenter/News/Pages/news-849.aspx</w:t>
        </w:r>
      </w:hyperlink>
    </w:p>
    <w:p>
      <w:pPr>
        <w:spacing w:before="0" w:after="50" w:line="240" w:lineRule="auto"/>
        <w:ind w:left="567" w:hanging="567"/>
      </w:pPr>
      <w:r>
        <w:rPr>
          <w:rFonts w:ascii="Calibri" w:hAnsi="Calibri" w:eastAsia="Calibri"/>
          <w:b/>
          <w:color w:val="009162"/>
          <w:sz w:val="16"/>
        </w:rPr>
        <w:t xml:space="preserve">[S23]  </w:t>
      </w:r>
      <w:r>
        <w:rPr>
          <w:rFonts w:ascii="Calibri" w:hAnsi="Calibri" w:eastAsia="Calibri"/>
          <w:sz w:val="16"/>
        </w:rPr>
        <w:t xml:space="preserve">Korea FSC, five-year financial regulatory sandbox event (29 Mar 2024); IFLR, South Korea: unpacking the sandbox; E-Daily on the ICT convergence sandbox (c. Aug 2026). </w:t>
      </w:r>
      <w:hyperlink r:id="rId35">
        <w:r>
          <w:rPr>
            <w:rFonts w:ascii="Calibri" w:hAnsi="Calibri"/>
            <w:color w:val="175C58"/>
            <w:u w:val="single"/>
            <w:sz w:val="15"/>
          </w:rPr>
          <w:t xml:space="preserve">https://fsc.go.kr/eng/pr020101/82001</w:t>
        </w:r>
      </w:hyperlink>
    </w:p>
    <w:p>
      <w:pPr>
        <w:spacing w:before="0" w:after="50" w:line="240" w:lineRule="auto"/>
        <w:ind w:left="567" w:hanging="567"/>
      </w:pPr>
      <w:r>
        <w:rPr>
          <w:rFonts w:ascii="Calibri" w:hAnsi="Calibri" w:eastAsia="Calibri"/>
          <w:b/>
          <w:color w:val="009162"/>
          <w:sz w:val="16"/>
        </w:rPr>
        <w:t xml:space="preserve">[S24]  </w:t>
      </w:r>
      <w:r>
        <w:rPr>
          <w:rFonts w:ascii="Calibri" w:hAnsi="Calibri" w:eastAsia="Calibri"/>
          <w:sz w:val="16"/>
        </w:rPr>
        <w:t xml:space="preserve">Canberra Times, Enhanced regulatory sandbox a bridge to nowhere for fintech (press account of independent review). </w:t>
      </w:r>
      <w:hyperlink r:id="rId36">
        <w:r>
          <w:rPr>
            <w:rFonts w:ascii="Calibri" w:hAnsi="Calibri"/>
            <w:color w:val="175C58"/>
            <w:u w:val="single"/>
            <w:sz w:val="15"/>
          </w:rPr>
          <w:t xml:space="preserve">https://www.canberratimes.com.au/story/9306576/enhanced-regulatory-sandbox-a-bridge-to-nowhere-for-fintech/</w:t>
        </w:r>
      </w:hyperlink>
    </w:p>
    <w:p>
      <w:pPr>
        <w:spacing w:before="0" w:after="50" w:line="240" w:lineRule="auto"/>
        <w:ind w:left="567" w:hanging="567"/>
      </w:pPr>
      <w:r>
        <w:rPr>
          <w:rFonts w:ascii="Calibri" w:hAnsi="Calibri" w:eastAsia="Calibri"/>
          <w:b/>
          <w:color w:val="009162"/>
          <w:sz w:val="16"/>
        </w:rPr>
        <w:t xml:space="preserve">[S25]  </w:t>
      </w:r>
      <w:r>
        <w:rPr>
          <w:rFonts w:ascii="Calibri" w:hAnsi="Calibri" w:eastAsia="Calibri"/>
          <w:sz w:val="16"/>
        </w:rPr>
        <w:t xml:space="preserve">Central Bank of Bahrain, first company to complete regulatory sandbox (2018–2019). </w:t>
      </w:r>
      <w:hyperlink r:id="rId37">
        <w:r>
          <w:rPr>
            <w:rFonts w:ascii="Calibri" w:hAnsi="Calibri"/>
            <w:color w:val="175C58"/>
            <w:u w:val="single"/>
            <w:sz w:val="15"/>
          </w:rPr>
          <w:t xml:space="preserve">https://www.cbb.gov.bh/media-center/central-bank-of-bahrain-announces-first-company-to-successfully-complete-the-regulatory-sandbox-stage/</w:t>
        </w:r>
      </w:hyperlink>
    </w:p>
    <w:p>
      <w:pPr>
        <w:spacing w:before="0" w:after="50" w:line="240" w:lineRule="auto"/>
        <w:ind w:left="567" w:hanging="567"/>
      </w:pPr>
      <w:r>
        <w:rPr>
          <w:rFonts w:ascii="Calibri" w:hAnsi="Calibri" w:eastAsia="Calibri"/>
          <w:b/>
          <w:color w:val="009162"/>
          <w:sz w:val="16"/>
        </w:rPr>
        <w:t xml:space="preserve">[S26]  </w:t>
      </w:r>
      <w:r>
        <w:rPr>
          <w:rFonts w:ascii="Calibri" w:hAnsi="Calibri" w:eastAsia="Calibri"/>
          <w:sz w:val="16"/>
        </w:rPr>
        <w:t xml:space="preserve">OECD, Regulatory sandboxes in artificial intelligence, Digital Economy Papers No. 356 (Jul 2023). </w:t>
      </w:r>
      <w:hyperlink r:id="rId38">
        <w:r>
          <w:rPr>
            <w:rFonts w:ascii="Calibri" w:hAnsi="Calibri"/>
            <w:color w:val="175C58"/>
            <w:u w:val="single"/>
            <w:sz w:val="15"/>
          </w:rPr>
          <w:t xml:space="preserve">https://oecd.org/sti/regulatory-sandboxes-in-artificial-intelligence-8f80a0e6-en.htm</w:t>
        </w:r>
      </w:hyperlink>
    </w:p>
    <w:p>
      <w:pPr>
        <w:spacing w:before="0" w:after="50" w:line="240" w:lineRule="auto"/>
        <w:ind w:left="567" w:hanging="567"/>
      </w:pPr>
      <w:r>
        <w:rPr>
          <w:rFonts w:ascii="Calibri" w:hAnsi="Calibri" w:eastAsia="Calibri"/>
          <w:b/>
          <w:color w:val="009162"/>
          <w:sz w:val="16"/>
        </w:rPr>
        <w:t xml:space="preserve">[S27]  </w:t>
      </w:r>
      <w:r>
        <w:rPr>
          <w:rFonts w:ascii="Calibri" w:hAnsi="Calibri" w:eastAsia="Calibri"/>
          <w:sz w:val="16"/>
        </w:rPr>
        <w:t xml:space="preserve">Gazeta.uz, Enterprise Uzbekistan (EN, RU and UZ editions, 21 Aug 2026; 9 Jul 2026); UzDaily; Kursiv (20 Aug 2026); Spot.uz and norma.uz (press reports on UP-233 and LRU-1169). </w:t>
      </w:r>
      <w:hyperlink r:id="rId39">
        <w:r>
          <w:rPr>
            <w:rFonts w:ascii="Calibri" w:hAnsi="Calibri"/>
            <w:color w:val="175C58"/>
            <w:u w:val="single"/>
            <w:sz w:val="15"/>
          </w:rPr>
          <w:t xml:space="preserve">https://www.gazeta.uz/en/2026/08/21/enterprise-uzbekistan/</w:t>
        </w:r>
      </w:hyperlink>
    </w:p>
    <w:p>
      <w:pPr>
        <w:spacing w:before="0" w:after="50" w:line="240" w:lineRule="auto"/>
        <w:ind w:left="567" w:hanging="567"/>
      </w:pPr>
      <w:r>
        <w:rPr>
          <w:rFonts w:ascii="Calibri" w:hAnsi="Calibri" w:eastAsia="Calibri"/>
          <w:b/>
          <w:color w:val="009162"/>
          <w:sz w:val="16"/>
        </w:rPr>
        <w:t xml:space="preserve">[S28]  </w:t>
      </w:r>
      <w:r>
        <w:rPr>
          <w:rFonts w:ascii="Calibri" w:hAnsi="Calibri" w:eastAsia="Calibri"/>
          <w:sz w:val="16"/>
        </w:rPr>
        <w:t xml:space="preserve">lex.uz listings: Presidential Decree UP-233 of 26 Nov 2025, On organising the activity of the International Centre for Digital Technologies, with Annex 1 (title, number and date; text not yet reviewed); Decree UP-25 of 1 Feb 2024. </w:t>
      </w:r>
      <w:hyperlink r:id="rId40">
        <w:r>
          <w:rPr>
            <w:rFonts w:ascii="Calibri" w:hAnsi="Calibri"/>
            <w:color w:val="175C58"/>
            <w:u w:val="single"/>
            <w:sz w:val="15"/>
          </w:rPr>
          <w:t xml:space="preserve">https://lex.uz/ru/docs/7865800</w:t>
        </w:r>
      </w:hyperlink>
    </w:p>
    <w:p>
      <w:pPr>
        <w:spacing w:before="0" w:after="50" w:line="240" w:lineRule="auto"/>
        <w:ind w:left="567" w:hanging="567"/>
      </w:pPr>
      <w:r>
        <w:rPr>
          <w:rFonts w:ascii="Calibri" w:hAnsi="Calibri" w:eastAsia="Calibri"/>
          <w:b/>
          <w:color w:val="009162"/>
          <w:sz w:val="16"/>
        </w:rPr>
        <w:t xml:space="preserve">[S29]  </w:t>
      </w:r>
      <w:r>
        <w:rPr>
          <w:rFonts w:ascii="Calibri" w:hAnsi="Calibri" w:eastAsia="Calibri"/>
          <w:sz w:val="16"/>
        </w:rPr>
        <w:t xml:space="preserve">Central Bank of Uzbekistan, regulatory sandbox page (Art. 67-1 of the Law on the Central Bank); GRATA summary via Mondaq (2022); UzDaily on a draft sandbox update; lex.uz listing of PP-359 (27 Nov 2025) and press on its start. </w:t>
      </w:r>
      <w:hyperlink r:id="rId41">
        <w:r>
          <w:rPr>
            <w:rFonts w:ascii="Calibri" w:hAnsi="Calibri"/>
            <w:color w:val="175C58"/>
            <w:u w:val="single"/>
            <w:sz w:val="15"/>
          </w:rPr>
          <w:t xml:space="preserve">https://www.uzdaily.uz/en/uzbekistan-central-bank-to-update-financial-sandbox-rules/</w:t>
        </w:r>
      </w:hyperlink>
    </w:p>
    <w:p>
      <w:pPr>
        <w:spacing w:before="0" w:after="50" w:line="240" w:lineRule="auto"/>
        <w:ind w:left="567" w:hanging="567"/>
      </w:pPr>
      <w:r>
        <w:rPr>
          <w:rFonts w:ascii="Calibri" w:hAnsi="Calibri" w:eastAsia="Calibri"/>
          <w:b/>
          <w:color w:val="009162"/>
          <w:sz w:val="16"/>
        </w:rPr>
        <w:t xml:space="preserve">[S30]  </w:t>
      </w:r>
      <w:r>
        <w:rPr>
          <w:rFonts w:ascii="Calibri" w:hAnsi="Calibri" w:eastAsia="Calibri"/>
          <w:sz w:val="16"/>
        </w:rPr>
        <w:t xml:space="preserve">Daryo, Uzbekistan adds 5 firms to capital-markets sandbox (18 Jun 2026); lex.uz listing of PQ-255 of 21 Aug 2025 (title and excerpt). </w:t>
      </w:r>
      <w:hyperlink r:id="rId42">
        <w:r>
          <w:rPr>
            <w:rFonts w:ascii="Calibri" w:hAnsi="Calibri"/>
            <w:color w:val="175C58"/>
            <w:u w:val="single"/>
            <w:sz w:val="15"/>
          </w:rPr>
          <w:t xml:space="preserve">https://daryo.uz/en/2026/06/18/uzbekistan-adds-5-firms-to-capital-markets-sandbox-for-foreign-currency-bond-issuance-framework/</w:t>
        </w:r>
      </w:hyperlink>
    </w:p>
    <w:p>
      <w:pPr>
        <w:spacing w:before="0" w:after="50" w:line="240" w:lineRule="auto"/>
        <w:ind w:left="567" w:hanging="567"/>
      </w:pPr>
      <w:r>
        <w:rPr>
          <w:rFonts w:ascii="Calibri" w:hAnsi="Calibri" w:eastAsia="Calibri"/>
          <w:b/>
          <w:color w:val="009162"/>
          <w:sz w:val="16"/>
        </w:rPr>
        <w:t xml:space="preserve">[S31]  </w:t>
      </w:r>
      <w:r>
        <w:rPr>
          <w:rFonts w:ascii="Calibri" w:hAnsi="Calibri" w:eastAsia="Calibri"/>
          <w:sz w:val="16"/>
        </w:rPr>
        <w:t xml:space="preserve">Enterprise Uzbekistan internal working documents: Registrar article map and participant journey map (drafts; article references unverified). </w:t>
      </w:r>
    </w:p>
    <w:p>
      <w:pPr>
        <w:spacing w:before="0" w:after="50" w:line="240" w:lineRule="auto"/>
        <w:ind w:left="567" w:hanging="567"/>
      </w:pPr>
      <w:r>
        <w:rPr>
          <w:rFonts w:ascii="Calibri" w:hAnsi="Calibri" w:eastAsia="Calibri"/>
          <w:b/>
          <w:color w:val="009162"/>
          <w:sz w:val="16"/>
        </w:rPr>
        <w:t xml:space="preserve">[S32]  </w:t>
      </w:r>
      <w:r>
        <w:rPr>
          <w:rFonts w:ascii="Calibri" w:hAnsi="Calibri" w:eastAsia="Calibri"/>
          <w:sz w:val="16"/>
        </w:rPr>
        <w:t xml:space="preserve">NayaOne, press release on TradeTech Regulatory Sandbox (Jan 2025; vendor). </w:t>
      </w:r>
      <w:hyperlink r:id="rId43">
        <w:r>
          <w:rPr>
            <w:rFonts w:ascii="Calibri" w:hAnsi="Calibri"/>
            <w:color w:val="175C58"/>
            <w:u w:val="single"/>
            <w:sz w:val="15"/>
          </w:rPr>
          <w:t xml:space="preserve">https://www.prnewswire.com/news-releases/driving-digital-trade-transformation-nayaone-powers-world-economic-forums-groundbreaking-tradetech-regulatory-sandbox-302362263.html</w:t>
        </w:r>
      </w:hyperlink>
    </w:p>
    <w:p>
      <w:pPr>
        <w:spacing w:before="0" w:after="50" w:line="240" w:lineRule="auto"/>
        <w:ind w:left="567" w:hanging="567"/>
      </w:pPr>
      <w:r>
        <w:rPr>
          <w:rFonts w:ascii="Calibri" w:hAnsi="Calibri" w:eastAsia="Calibri"/>
          <w:b/>
          <w:color w:val="009162"/>
          <w:sz w:val="16"/>
        </w:rPr>
        <w:t xml:space="preserve">[S33]  </w:t>
      </w:r>
      <w:r>
        <w:rPr>
          <w:rFonts w:ascii="Calibri" w:hAnsi="Calibri" w:eastAsia="Calibri"/>
          <w:sz w:val="16"/>
        </w:rPr>
        <w:t xml:space="preserve">Trade press on FCA AI Live Testing (Dec 2025) and ScaleUp Institute on Supercharged Sandbox. </w:t>
      </w:r>
      <w:hyperlink r:id="rId44">
        <w:r>
          <w:rPr>
            <w:rFonts w:ascii="Calibri" w:hAnsi="Calibri"/>
            <w:color w:val="175C58"/>
            <w:u w:val="single"/>
            <w:sz w:val="15"/>
          </w:rPr>
          <w:t xml:space="preserve">https://fintech.global/2025/12/04/fca-begins-live-ai-testing-with-major-uk-banks/</w:t>
        </w:r>
      </w:hyperlink>
    </w:p>
    <w:p>
      <w:pPr>
        <w:spacing w:before="0" w:after="50" w:line="240" w:lineRule="auto"/>
        <w:ind w:left="567" w:hanging="567"/>
      </w:pPr>
      <w:r>
        <w:rPr>
          <w:rFonts w:ascii="Calibri" w:hAnsi="Calibri" w:eastAsia="Calibri"/>
          <w:b/>
          <w:color w:val="009162"/>
          <w:sz w:val="16"/>
        </w:rPr>
        <w:t xml:space="preserve">[S34]  </w:t>
      </w:r>
      <w:r>
        <w:rPr>
          <w:rFonts w:ascii="Calibri" w:hAnsi="Calibri" w:eastAsia="Calibri"/>
          <w:sz w:val="16"/>
        </w:rPr>
        <w:t xml:space="preserve">GTR, Singapore and Abu Dhabi pilot first MLETR-enabled trade transaction; UNCITRAL MLETR. </w:t>
      </w:r>
      <w:hyperlink r:id="rId45">
        <w:r>
          <w:rPr>
            <w:rFonts w:ascii="Calibri" w:hAnsi="Calibri"/>
            <w:color w:val="175C58"/>
            <w:u w:val="single"/>
            <w:sz w:val="15"/>
          </w:rPr>
          <w:t xml:space="preserve">https://www.gtreview.com/news/fintech/singapore-and-abu-dhabi-pilot-first-mletr-enabled-trade-transaction/</w:t>
        </w:r>
      </w:hyperlink>
    </w:p>
    <w:p>
      <w:pPr>
        <w:spacing w:before="0" w:after="50" w:line="240" w:lineRule="auto"/>
        <w:ind w:left="567" w:hanging="567"/>
      </w:pPr>
      <w:r>
        <w:rPr>
          <w:rFonts w:ascii="Calibri" w:hAnsi="Calibri" w:eastAsia="Calibri"/>
          <w:b/>
          <w:color w:val="009162"/>
          <w:sz w:val="16"/>
        </w:rPr>
        <w:t xml:space="preserve">[S35]  </w:t>
      </w:r>
      <w:r>
        <w:rPr>
          <w:rFonts w:ascii="Calibri" w:hAnsi="Calibri" w:eastAsia="Calibri"/>
          <w:sz w:val="16"/>
        </w:rPr>
        <w:t xml:space="preserve">Qatar News Agency, QCB approves five companies as first BNPL sandbox cohort (Apr 2024). </w:t>
      </w:r>
      <w:hyperlink r:id="rId46">
        <w:r>
          <w:rPr>
            <w:rFonts w:ascii="Calibri" w:hAnsi="Calibri"/>
            <w:color w:val="175C58"/>
            <w:u w:val="single"/>
            <w:sz w:val="15"/>
          </w:rPr>
          <w:t xml:space="preserve">https://www.qna.org.qa/en/News-Area/News/2024-04/27/0045-qcb-approves-5-companies-as-a-first-cohort-for-bnpl-service</w:t>
        </w:r>
      </w:hyperlink>
    </w:p>
    <w:p>
      <w:pPr>
        <w:spacing w:before="0" w:after="50" w:line="240" w:lineRule="auto"/>
        <w:ind w:left="567" w:hanging="567"/>
      </w:pPr>
      <w:r>
        <w:rPr>
          <w:rFonts w:ascii="Calibri" w:hAnsi="Calibri" w:eastAsia="Calibri"/>
          <w:b/>
          <w:color w:val="009162"/>
          <w:sz w:val="16"/>
        </w:rPr>
        <w:t xml:space="preserve">[S36]  </w:t>
      </w:r>
      <w:r>
        <w:rPr>
          <w:rFonts w:ascii="Calibri" w:hAnsi="Calibri" w:eastAsia="Calibri"/>
          <w:sz w:val="16"/>
        </w:rPr>
        <w:t xml:space="preserve">AIFC Astana Financial Services Authority, FinTech Lab review. </w:t>
      </w:r>
      <w:hyperlink r:id="rId47">
        <w:r>
          <w:rPr>
            <w:rFonts w:ascii="Calibri" w:hAnsi="Calibri"/>
            <w:color w:val="175C58"/>
            <w:u w:val="single"/>
            <w:sz w:val="15"/>
          </w:rPr>
          <w:t xml:space="preserve">https://afsa.aifc.kz/?p=21628</w:t>
        </w:r>
      </w:hyperlink>
    </w:p>
    <w:p>
      <w:pPr>
        <w:spacing w:before="0" w:after="50" w:line="240" w:lineRule="auto"/>
        <w:ind w:left="567" w:hanging="567"/>
      </w:pPr>
      <w:r>
        <w:rPr>
          <w:rFonts w:ascii="Calibri" w:hAnsi="Calibri" w:eastAsia="Calibri"/>
          <w:b/>
          <w:color w:val="009162"/>
          <w:sz w:val="16"/>
        </w:rPr>
        <w:t xml:space="preserve">[S37]  </w:t>
      </w:r>
      <w:r>
        <w:rPr>
          <w:rFonts w:ascii="Calibri" w:hAnsi="Calibri" w:eastAsia="Calibri"/>
          <w:sz w:val="16"/>
        </w:rPr>
        <w:t xml:space="preserve">Kun.uz, Procedure for introducing the regulatory sandbox in Uzbekistan set (29 Nov 2023; press report; act number and issuer not verified). </w:t>
      </w:r>
      <w:hyperlink r:id="rId48">
        <w:r>
          <w:rPr>
            <w:rFonts w:ascii="Calibri" w:hAnsi="Calibri"/>
            <w:color w:val="175C58"/>
            <w:u w:val="single"/>
            <w:sz w:val="15"/>
          </w:rPr>
          <w:t xml:space="preserve">https://kun.uz/kr/news/2023/11/29/ozbekistonda-tartibga-solish-qumdonini-joriy-etish-tartibi-belgilandi</w:t>
        </w:r>
      </w:hyperlink>
    </w:p>
    <w:p>
      <w:pPr>
        <w:spacing w:before="0" w:after="50" w:line="240" w:lineRule="auto"/>
        <w:ind w:left="567" w:hanging="567"/>
      </w:pPr>
      <w:r>
        <w:rPr>
          <w:rFonts w:ascii="Calibri" w:hAnsi="Calibri" w:eastAsia="Calibri"/>
          <w:b/>
          <w:color w:val="009162"/>
          <w:sz w:val="16"/>
        </w:rPr>
        <w:t xml:space="preserve">[S38]  </w:t>
      </w:r>
      <w:r>
        <w:rPr>
          <w:rFonts w:ascii="Calibri" w:hAnsi="Calibri" w:eastAsia="Calibri"/>
          <w:sz w:val="16"/>
        </w:rPr>
        <w:t xml:space="preserve">Spot.uz, President signs the law on legal experiments (4 Apr 2026); Norma.uz and Advice.uz summaries of Law LRU-1127, On Legal Experiment (press reports). </w:t>
      </w:r>
      <w:hyperlink r:id="rId49">
        <w:r>
          <w:rPr>
            <w:rFonts w:ascii="Calibri" w:hAnsi="Calibri"/>
            <w:color w:val="175C58"/>
            <w:u w:val="single"/>
            <w:sz w:val="15"/>
          </w:rPr>
          <w:t xml:space="preserve">https://www.spot.uz/ru/2026/04/04/legal-experiment/</w:t>
        </w:r>
      </w:hyperlink>
    </w:p>
    <w:p>
      <w:pPr>
        <w:spacing w:before="0" w:after="50" w:line="240" w:lineRule="auto"/>
        <w:ind w:left="567" w:hanging="567"/>
      </w:pPr>
      <w:r>
        <w:rPr>
          <w:rFonts w:ascii="Calibri" w:hAnsi="Calibri" w:eastAsia="Calibri"/>
          <w:b/>
          <w:color w:val="009162"/>
          <w:sz w:val="16"/>
        </w:rPr>
        <w:t xml:space="preserve">[S39]  </w:t>
      </w:r>
      <w:r>
        <w:rPr>
          <w:rFonts w:ascii="Calibri" w:hAnsi="Calibri" w:eastAsia="Calibri"/>
          <w:sz w:val="16"/>
        </w:rPr>
        <w:t xml:space="preserve">FCA, Regulatory Sandbox application guide (indicative assessment times). </w:t>
      </w:r>
      <w:hyperlink r:id="rId50">
        <w:r>
          <w:rPr>
            <w:rFonts w:ascii="Calibri" w:hAnsi="Calibri"/>
            <w:color w:val="175C58"/>
            <w:u w:val="single"/>
            <w:sz w:val="15"/>
          </w:rPr>
          <w:t xml:space="preserve">https://www.fca.org.uk/publication/information-sheets/fca-regulatory-sandbox-application-guide.pdf</w:t>
        </w:r>
      </w:hyperlink>
    </w:p>
    <w:p>
      <w:pPr>
        <w:spacing w:before="0" w:after="50" w:line="240" w:lineRule="auto"/>
        <w:ind w:left="567" w:hanging="567"/>
      </w:pPr>
      <w:r>
        <w:rPr>
          <w:rFonts w:ascii="Calibri" w:hAnsi="Calibri" w:eastAsia="Calibri"/>
          <w:b/>
          <w:color w:val="009162"/>
          <w:sz w:val="16"/>
        </w:rPr>
        <w:t xml:space="preserve">[S40]  </w:t>
      </w:r>
      <w:r>
        <w:rPr>
          <w:rFonts w:ascii="Calibri" w:hAnsi="Calibri" w:eastAsia="Calibri"/>
          <w:sz w:val="16"/>
        </w:rPr>
        <w:t xml:space="preserve">FCA, Innovation insights 2025 (Apr 2026) and 10-year anniversary of FCA Innovation Services (Oct 2024). </w:t>
      </w:r>
      <w:hyperlink r:id="rId51">
        <w:r>
          <w:rPr>
            <w:rFonts w:ascii="Calibri" w:hAnsi="Calibri"/>
            <w:color w:val="175C58"/>
            <w:u w:val="single"/>
            <w:sz w:val="15"/>
          </w:rPr>
          <w:t xml:space="preserve">https://www.fca.org.uk/publication/corporate/innovation-insights.pdf</w:t>
        </w:r>
      </w:hyperlink>
    </w:p>
    <w:p>
      <w:pPr>
        <w:spacing w:before="0" w:after="50" w:line="240" w:lineRule="auto"/>
        <w:ind w:left="567" w:hanging="567"/>
      </w:pPr>
      <w:r>
        <w:rPr>
          <w:rFonts w:ascii="Calibri" w:hAnsi="Calibri" w:eastAsia="Calibri"/>
          <w:b/>
          <w:color w:val="009162"/>
          <w:sz w:val="16"/>
        </w:rPr>
        <w:t xml:space="preserve">[S41]  </w:t>
      </w:r>
      <w:r>
        <w:rPr>
          <w:rFonts w:ascii="Calibri" w:hAnsi="Calibri" w:eastAsia="Calibri"/>
          <w:sz w:val="16"/>
        </w:rPr>
        <w:t xml:space="preserve">FCA press release: 4 firms selected to test stablecoins in the Regulatory Sandbox (25 Feb 2026). </w:t>
      </w:r>
      <w:hyperlink r:id="rId52">
        <w:r>
          <w:rPr>
            <w:rFonts w:ascii="Calibri" w:hAnsi="Calibri"/>
            <w:color w:val="175C58"/>
            <w:u w:val="single"/>
            <w:sz w:val="15"/>
          </w:rPr>
          <w:t xml:space="preserve">https://www.fca.org.uk/news/press-releases/4-firms-selected-test-stablecoin-regulatory-sandbox</w:t>
        </w:r>
      </w:hyperlink>
    </w:p>
    <w:p>
      <w:pPr>
        <w:spacing w:before="0" w:after="50" w:line="240" w:lineRule="auto"/>
        <w:ind w:left="567" w:hanging="567"/>
      </w:pPr>
      <w:r>
        <w:rPr>
          <w:rFonts w:ascii="Calibri" w:hAnsi="Calibri" w:eastAsia="Calibri"/>
          <w:b/>
          <w:color w:val="009162"/>
          <w:sz w:val="16"/>
        </w:rPr>
        <w:t xml:space="preserve">[S42]  </w:t>
      </w:r>
      <w:r>
        <w:rPr>
          <w:rFonts w:ascii="Calibri" w:hAnsi="Calibri" w:eastAsia="Calibri"/>
          <w:sz w:val="16"/>
        </w:rPr>
        <w:t xml:space="preserve">FCA, Launch of permanent Digital Sandbox (20 Jul 2023); Digital Sandbox page (Aug 2026). </w:t>
      </w:r>
      <w:hyperlink r:id="rId53">
        <w:r>
          <w:rPr>
            <w:rFonts w:ascii="Calibri" w:hAnsi="Calibri"/>
            <w:color w:val="175C58"/>
            <w:u w:val="single"/>
            <w:sz w:val="15"/>
          </w:rPr>
          <w:t xml:space="preserve">https://fca.org.uk/news/news-stories/launch-permanent-digital-sandbox</w:t>
        </w:r>
      </w:hyperlink>
    </w:p>
    <w:p>
      <w:pPr>
        <w:spacing w:before="0" w:after="50" w:line="240" w:lineRule="auto"/>
        <w:ind w:left="567" w:hanging="567"/>
      </w:pPr>
      <w:r>
        <w:rPr>
          <w:rFonts w:ascii="Calibri" w:hAnsi="Calibri" w:eastAsia="Calibri"/>
          <w:b/>
          <w:color w:val="009162"/>
          <w:sz w:val="16"/>
        </w:rPr>
        <w:t xml:space="preserve">[S43]  </w:t>
      </w:r>
      <w:r>
        <w:rPr>
          <w:rFonts w:ascii="Calibri" w:hAnsi="Calibri" w:eastAsia="Calibri"/>
          <w:sz w:val="16"/>
        </w:rPr>
        <w:t xml:space="preserve">FCA, Supercharged Sandbox page and press release on cohort 2 (22 Jul 2026). </w:t>
      </w:r>
      <w:hyperlink r:id="rId54">
        <w:r>
          <w:rPr>
            <w:rFonts w:ascii="Calibri" w:hAnsi="Calibri"/>
            <w:color w:val="175C58"/>
            <w:u w:val="single"/>
            <w:sz w:val="15"/>
          </w:rPr>
          <w:t xml:space="preserve">https://www.fca.org.uk/news/press-releases/anthropic-supercharged-sandbox</w:t>
        </w:r>
      </w:hyperlink>
    </w:p>
    <w:p>
      <w:pPr>
        <w:spacing w:before="0" w:after="50" w:line="240" w:lineRule="auto"/>
        <w:ind w:left="567" w:hanging="567"/>
      </w:pPr>
      <w:r>
        <w:rPr>
          <w:rFonts w:ascii="Calibri" w:hAnsi="Calibri" w:eastAsia="Calibri"/>
          <w:b/>
          <w:color w:val="009162"/>
          <w:sz w:val="16"/>
        </w:rPr>
        <w:t xml:space="preserve">[S44]  </w:t>
      </w:r>
      <w:r>
        <w:rPr>
          <w:rFonts w:ascii="Calibri" w:hAnsi="Calibri" w:eastAsia="Calibri"/>
          <w:sz w:val="16"/>
        </w:rPr>
        <w:t xml:space="preserve">FCA, AI Live Testing: Feedback Statement FS25/5 (Sep 2025) and second-cohort press release (21 Apr 2026). </w:t>
      </w:r>
      <w:hyperlink r:id="rId55">
        <w:r>
          <w:rPr>
            <w:rFonts w:ascii="Calibri" w:hAnsi="Calibri"/>
            <w:color w:val="175C58"/>
            <w:u w:val="single"/>
            <w:sz w:val="15"/>
          </w:rPr>
          <w:t xml:space="preserve">https://www.fca.org.uk/news/press-releases/fca-announces-second-cohort-ai-live-testing</w:t>
        </w:r>
      </w:hyperlink>
    </w:p>
    <w:p>
      <w:pPr>
        <w:spacing w:before="0" w:after="50" w:line="240" w:lineRule="auto"/>
        <w:ind w:left="567" w:hanging="567"/>
      </w:pPr>
      <w:r>
        <w:rPr>
          <w:rFonts w:ascii="Calibri" w:hAnsi="Calibri" w:eastAsia="Calibri"/>
          <w:b/>
          <w:color w:val="009162"/>
          <w:sz w:val="16"/>
        </w:rPr>
        <w:t xml:space="preserve">[S45]  </w:t>
      </w:r>
      <w:r>
        <w:rPr>
          <w:rFonts w:ascii="Calibri" w:hAnsi="Calibri" w:eastAsia="Calibri"/>
          <w:sz w:val="16"/>
        </w:rPr>
        <w:t xml:space="preserve">UK, Financial Services and Markets Act 2023 (Digital Securities Sandbox) Regulations 2023, SI 2023/1398. </w:t>
      </w:r>
      <w:hyperlink r:id="rId56">
        <w:r>
          <w:rPr>
            <w:rFonts w:ascii="Calibri" w:hAnsi="Calibri"/>
            <w:color w:val="175C58"/>
            <w:u w:val="single"/>
            <w:sz w:val="15"/>
          </w:rPr>
          <w:t xml:space="preserve">https://www.legislation.gov.uk/uksi/2023/1398/made</w:t>
        </w:r>
      </w:hyperlink>
    </w:p>
    <w:p>
      <w:pPr>
        <w:spacing w:before="0" w:after="50" w:line="240" w:lineRule="auto"/>
        <w:ind w:left="567" w:hanging="567"/>
      </w:pPr>
      <w:r>
        <w:rPr>
          <w:rFonts w:ascii="Calibri" w:hAnsi="Calibri" w:eastAsia="Calibri"/>
          <w:b/>
          <w:color w:val="009162"/>
          <w:sz w:val="16"/>
        </w:rPr>
        <w:t xml:space="preserve">[S46]  </w:t>
      </w:r>
      <w:r>
        <w:rPr>
          <w:rFonts w:ascii="Calibri" w:hAnsi="Calibri" w:eastAsia="Calibri"/>
          <w:sz w:val="16"/>
        </w:rPr>
        <w:t xml:space="preserve">ICO, Regulatory Sandbox Insights Report (2024) and statutory regulatory sandbox research (Jul 2026). </w:t>
      </w:r>
      <w:hyperlink r:id="rId57">
        <w:r>
          <w:rPr>
            <w:rFonts w:ascii="Calibri" w:hAnsi="Calibri"/>
            <w:color w:val="175C58"/>
            <w:u w:val="single"/>
            <w:sz w:val="15"/>
          </w:rPr>
          <w:t xml:space="preserve">https://ico.org.uk/media2/dfpbrra3/statutory-regulatory-sandbox-economic-analyis.pdf</w:t>
        </w:r>
      </w:hyperlink>
    </w:p>
    <w:p>
      <w:pPr>
        <w:spacing w:before="0" w:after="50" w:line="240" w:lineRule="auto"/>
        <w:ind w:left="567" w:hanging="567"/>
      </w:pPr>
      <w:r>
        <w:rPr>
          <w:rFonts w:ascii="Calibri" w:hAnsi="Calibri" w:eastAsia="Calibri"/>
          <w:b/>
          <w:color w:val="009162"/>
          <w:sz w:val="16"/>
        </w:rPr>
        <w:t xml:space="preserve">[S47]  </w:t>
      </w:r>
      <w:r>
        <w:rPr>
          <w:rFonts w:ascii="Calibri" w:hAnsi="Calibri" w:eastAsia="Calibri"/>
          <w:sz w:val="16"/>
        </w:rPr>
        <w:t xml:space="preserve">Lewis Silkin, What the ICO's transformation into the Information Commission means for you (29 Sep 2026; law-firm briefing). </w:t>
      </w:r>
      <w:hyperlink r:id="rId58">
        <w:r>
          <w:rPr>
            <w:rFonts w:ascii="Calibri" w:hAnsi="Calibri"/>
            <w:color w:val="175C58"/>
            <w:u w:val="single"/>
            <w:sz w:val="15"/>
          </w:rPr>
          <w:t xml:space="preserve">https://www.lewissilkin.com/insights/2026/09/29/what-the-icos-transformation-into-the-information-commission-means-for-you</w:t>
        </w:r>
      </w:hyperlink>
    </w:p>
    <w:p>
      <w:pPr>
        <w:spacing w:before="0" w:after="50" w:line="240" w:lineRule="auto"/>
        <w:ind w:left="567" w:hanging="567"/>
      </w:pPr>
      <w:r>
        <w:rPr>
          <w:rFonts w:ascii="Calibri" w:hAnsi="Calibri" w:eastAsia="Calibri"/>
          <w:b/>
          <w:color w:val="009162"/>
          <w:sz w:val="16"/>
        </w:rPr>
        <w:t xml:space="preserve">[S48]  </w:t>
      </w:r>
      <w:r>
        <w:rPr>
          <w:rFonts w:ascii="Calibri" w:hAnsi="Calibri" w:eastAsia="Calibri"/>
          <w:sz w:val="16"/>
        </w:rPr>
        <w:t xml:space="preserve">Ofgem, AI Technical Sandbox: consultation and decision (Jun 2026). </w:t>
      </w:r>
      <w:hyperlink r:id="rId59">
        <w:r>
          <w:rPr>
            <w:rFonts w:ascii="Calibri" w:hAnsi="Calibri"/>
            <w:color w:val="175C58"/>
            <w:u w:val="single"/>
            <w:sz w:val="15"/>
          </w:rPr>
          <w:t xml:space="preserve">https://www.ofgem.gov.uk/consultation/ai-technical-sandbox</w:t>
        </w:r>
      </w:hyperlink>
    </w:p>
    <w:p>
      <w:pPr>
        <w:spacing w:before="0" w:after="50" w:line="240" w:lineRule="auto"/>
        <w:ind w:left="567" w:hanging="567"/>
      </w:pPr>
      <w:r>
        <w:rPr>
          <w:rFonts w:ascii="Calibri" w:hAnsi="Calibri" w:eastAsia="Calibri"/>
          <w:b/>
          <w:color w:val="009162"/>
          <w:sz w:val="16"/>
        </w:rPr>
        <w:t xml:space="preserve">[S49]  </w:t>
      </w:r>
      <w:r>
        <w:rPr>
          <w:rFonts w:ascii="Calibri" w:hAnsi="Calibri" w:eastAsia="Calibri"/>
          <w:sz w:val="16"/>
        </w:rPr>
        <w:t xml:space="preserve">ADGM, ADGM admits 4th RegLab cohort and announces successful RegLab graduates (Aug 2019). </w:t>
      </w:r>
      <w:hyperlink r:id="rId60">
        <w:r>
          <w:rPr>
            <w:rFonts w:ascii="Calibri" w:hAnsi="Calibri"/>
            <w:color w:val="175C58"/>
            <w:u w:val="single"/>
            <w:sz w:val="15"/>
          </w:rPr>
          <w:t xml:space="preserve">https://www.adgm.com/media/announcements/adgm-admits-4th-reglab-cohort</w:t>
        </w:r>
      </w:hyperlink>
    </w:p>
    <w:p>
      <w:pPr>
        <w:spacing w:before="0" w:after="50" w:line="240" w:lineRule="auto"/>
        <w:ind w:left="567" w:hanging="567"/>
      </w:pPr>
      <w:r>
        <w:rPr>
          <w:rFonts w:ascii="Calibri" w:hAnsi="Calibri" w:eastAsia="Calibri"/>
          <w:b/>
          <w:color w:val="009162"/>
          <w:sz w:val="16"/>
        </w:rPr>
        <w:t xml:space="preserve">[S50]  </w:t>
      </w:r>
      <w:r>
        <w:rPr>
          <w:rFonts w:ascii="Calibri" w:hAnsi="Calibri" w:eastAsia="Calibri"/>
          <w:sz w:val="16"/>
        </w:rPr>
        <w:t xml:space="preserve">DFSA, Innovation Testing Licence explainer guide (1 May 2025); Tokenisation Regulatory Sandbox (2025). </w:t>
      </w:r>
      <w:hyperlink r:id="rId61">
        <w:r>
          <w:rPr>
            <w:rFonts w:ascii="Calibri" w:hAnsi="Calibri"/>
            <w:color w:val="175C58"/>
            <w:u w:val="single"/>
            <w:sz w:val="15"/>
          </w:rPr>
          <w:t xml:space="preserve">https://www.dfsa.ae/news/dfsa-launches-innovation-testing-licence-explainer-guide-boost-innovation-difc</w:t>
        </w:r>
      </w:hyperlink>
    </w:p>
    <w:p>
      <w:pPr>
        <w:spacing w:before="0" w:after="50" w:line="240" w:lineRule="auto"/>
        <w:ind w:left="567" w:hanging="567"/>
      </w:pPr>
      <w:r>
        <w:rPr>
          <w:rFonts w:ascii="Calibri" w:hAnsi="Calibri" w:eastAsia="Calibri"/>
          <w:b/>
          <w:color w:val="009162"/>
          <w:sz w:val="16"/>
        </w:rPr>
        <w:t xml:space="preserve">[S51]  </w:t>
      </w:r>
      <w:r>
        <w:rPr>
          <w:rFonts w:ascii="Calibri" w:hAnsi="Calibri" w:eastAsia="Calibri"/>
          <w:sz w:val="16"/>
        </w:rPr>
        <w:t xml:space="preserve">European Commission, Proposal for a Council Recommendation on regulatory sandboxes, COM(2026) 568 (9 Sep 2026). </w:t>
      </w:r>
      <w:hyperlink r:id="rId62">
        <w:r>
          <w:rPr>
            <w:rFonts w:ascii="Calibri" w:hAnsi="Calibri"/>
            <w:color w:val="175C58"/>
            <w:u w:val="single"/>
            <w:sz w:val="15"/>
          </w:rPr>
          <w:t xml:space="preserve">https://eur-lex.europa.eu/legal-content/EN/TXT/?uri=celex%3A52026DC0568</w:t>
        </w:r>
      </w:hyperlink>
    </w:p>
    <w:p>
      <w:pPr>
        <w:spacing w:before="0" w:after="50" w:line="240" w:lineRule="auto"/>
        <w:ind w:left="567" w:hanging="567"/>
      </w:pPr>
      <w:r>
        <w:rPr>
          <w:rFonts w:ascii="Calibri" w:hAnsi="Calibri" w:eastAsia="Calibri"/>
          <w:b/>
          <w:color w:val="009162"/>
          <w:sz w:val="16"/>
        </w:rPr>
        <w:t xml:space="preserve">[S52]  </w:t>
      </w:r>
      <w:r>
        <w:rPr>
          <w:rFonts w:ascii="Calibri" w:hAnsi="Calibri" w:eastAsia="Calibri"/>
          <w:sz w:val="16"/>
        </w:rPr>
        <w:t xml:space="preserve">European Commission (DG RTD), Use of regulatory sandboxes in EU Member States: 2025 survey report (2026). </w:t>
      </w:r>
      <w:hyperlink r:id="rId63">
        <w:r>
          <w:rPr>
            <w:rFonts w:ascii="Calibri" w:hAnsi="Calibri"/>
            <w:color w:val="175C58"/>
            <w:u w:val="single"/>
            <w:sz w:val="15"/>
          </w:rPr>
          <w:t xml:space="preserve">https://op.europa.eu/en/publication-detail/-/publication/6942cc0e-3d27-11f1-814f-01aa75ed71a1/language-en</w:t>
        </w:r>
      </w:hyperlink>
    </w:p>
    <w:p>
      <w:pPr>
        <w:spacing w:before="0" w:after="50" w:line="240" w:lineRule="auto"/>
        <w:ind w:left="567" w:hanging="567"/>
      </w:pPr>
      <w:r>
        <w:rPr>
          <w:rFonts w:ascii="Calibri" w:hAnsi="Calibri" w:eastAsia="Calibri"/>
          <w:b/>
          <w:color w:val="009162"/>
          <w:sz w:val="16"/>
        </w:rPr>
        <w:t xml:space="preserve">[S53]  </w:t>
      </w:r>
      <w:r>
        <w:rPr>
          <w:rFonts w:ascii="Calibri" w:hAnsi="Calibri" w:eastAsia="Calibri"/>
          <w:sz w:val="16"/>
        </w:rPr>
        <w:t xml:space="preserve">EBA, EIOPA and ESMA, Joint report on innovation facilitators (ESA 2023 27, Dec 2023). </w:t>
      </w:r>
      <w:hyperlink r:id="rId64">
        <w:r>
          <w:rPr>
            <w:rFonts w:ascii="Calibri" w:hAnsi="Calibri"/>
            <w:color w:val="175C58"/>
            <w:u w:val="single"/>
            <w:sz w:val="15"/>
          </w:rPr>
          <w:t xml:space="preserve">https://www.esma.europa.eu/sites/default/files/2023-12/ESA_2023_27_Joint_ESAs_Report_on_Innovation_Facilitators_2023.pdf</w:t>
        </w:r>
      </w:hyperlink>
    </w:p>
    <w:p>
      <w:pPr>
        <w:spacing w:before="0" w:after="50" w:line="240" w:lineRule="auto"/>
        <w:ind w:left="567" w:hanging="567"/>
      </w:pPr>
      <w:r>
        <w:rPr>
          <w:rFonts w:ascii="Calibri" w:hAnsi="Calibri" w:eastAsia="Calibri"/>
          <w:b/>
          <w:color w:val="009162"/>
          <w:sz w:val="16"/>
        </w:rPr>
        <w:t xml:space="preserve">[S54]  </w:t>
      </w:r>
      <w:r>
        <w:rPr>
          <w:rFonts w:ascii="Calibri" w:hAnsi="Calibri" w:eastAsia="Calibri"/>
          <w:sz w:val="16"/>
        </w:rPr>
        <w:t xml:space="preserve">OECD, Regulatory sandbox toolkit (Jul 2025). </w:t>
      </w:r>
      <w:hyperlink r:id="rId65">
        <w:r>
          <w:rPr>
            <w:rFonts w:ascii="Calibri" w:hAnsi="Calibri"/>
            <w:color w:val="175C58"/>
            <w:u w:val="single"/>
            <w:sz w:val="15"/>
          </w:rPr>
          <w:t xml:space="preserve">https://www.oecd.org/en/publications/regulatory-sandbox-toolkit_de36fa62-en.html</w:t>
        </w:r>
      </w:hyperlink>
    </w:p>
    <w:p>
      <w:pPr>
        <w:spacing w:before="0" w:after="50" w:line="240" w:lineRule="auto"/>
        <w:ind w:left="567" w:hanging="567"/>
      </w:pPr>
      <w:r>
        <w:rPr>
          <w:rFonts w:ascii="Calibri" w:hAnsi="Calibri" w:eastAsia="Calibri"/>
          <w:b/>
          <w:color w:val="009162"/>
          <w:sz w:val="16"/>
        </w:rPr>
        <w:t xml:space="preserve">[S55]  </w:t>
      </w:r>
      <w:r>
        <w:rPr>
          <w:rFonts w:ascii="Calibri" w:hAnsi="Calibri" w:eastAsia="Calibri"/>
          <w:sz w:val="16"/>
        </w:rPr>
        <w:t xml:space="preserve">IMF, FinTech Note 2023/004, Institutional arrangements for fintech regulation (Jun 2023). </w:t>
      </w:r>
      <w:hyperlink r:id="rId66">
        <w:r>
          <w:rPr>
            <w:rFonts w:ascii="Calibri" w:hAnsi="Calibri"/>
            <w:color w:val="175C58"/>
            <w:u w:val="single"/>
            <w:sz w:val="15"/>
          </w:rPr>
          <w:t xml:space="preserve">https://www.imf.org/en/publications/fintech-notes/issues/2023/06/23/institutional-arrangements-for-fintech-regulation-supervisory-monitoring</w:t>
        </w:r>
      </w:hyperlink>
    </w:p>
    <w:p>
      <w:pPr>
        <w:spacing w:before="0" w:after="50" w:line="240" w:lineRule="auto"/>
        <w:ind w:left="567" w:hanging="567"/>
      </w:pPr>
      <w:r>
        <w:rPr>
          <w:rFonts w:ascii="Calibri" w:hAnsi="Calibri" w:eastAsia="Calibri"/>
          <w:b/>
          <w:color w:val="009162"/>
          <w:sz w:val="16"/>
        </w:rPr>
        <w:t xml:space="preserve">[S56]  </w:t>
      </w:r>
      <w:r>
        <w:rPr>
          <w:rFonts w:ascii="Calibri" w:hAnsi="Calibri" w:eastAsia="Calibri"/>
          <w:sz w:val="16"/>
        </w:rPr>
        <w:t xml:space="preserve">The Korea Times, Government to strengthen support for regulatory sandbox firms (15 Feb 2023). </w:t>
      </w:r>
      <w:hyperlink r:id="rId67">
        <w:r>
          <w:rPr>
            <w:rFonts w:ascii="Calibri" w:hAnsi="Calibri"/>
            <w:color w:val="175C58"/>
            <w:u w:val="single"/>
            <w:sz w:val="15"/>
          </w:rPr>
          <w:t xml:space="preserve">https://www.koreatimes.co.kr/business/companies/20230215/govt-to-strengthen-support-for-regulatory-sandbox-firms</w:t>
        </w:r>
      </w:hyperlink>
    </w:p>
    <w:p>
      <w:pPr>
        <w:spacing w:before="0" w:after="50" w:line="240" w:lineRule="auto"/>
        <w:ind w:left="567" w:hanging="567"/>
      </w:pPr>
      <w:r>
        <w:rPr>
          <w:rFonts w:ascii="Calibri" w:hAnsi="Calibri" w:eastAsia="Calibri"/>
          <w:b/>
          <w:color w:val="009162"/>
          <w:sz w:val="16"/>
        </w:rPr>
        <w:t xml:space="preserve">[S57]  </w:t>
      </w:r>
      <w:r>
        <w:rPr>
          <w:rFonts w:ascii="Calibri" w:hAnsi="Calibri" w:eastAsia="Calibri"/>
          <w:sz w:val="16"/>
        </w:rPr>
        <w:t xml:space="preserve">lex.uz listing: LRU-1169 of 19 Aug 2026, On the International Centre for Digital Technologies (title and date; text not yet reviewed). </w:t>
      </w:r>
      <w:hyperlink r:id="rId68">
        <w:r>
          <w:rPr>
            <w:rFonts w:ascii="Calibri" w:hAnsi="Calibri"/>
            <w:color w:val="175C58"/>
            <w:u w:val="single"/>
            <w:sz w:val="15"/>
          </w:rPr>
          <w:t xml:space="preserve">https://lex.uz/docs/8420999</w:t>
        </w:r>
      </w:hyperlink>
    </w:p>
    <w:p>
      <w:pPr>
        <w:spacing w:before="0" w:after="50" w:line="240" w:lineRule="auto"/>
        <w:ind w:left="567" w:hanging="567"/>
      </w:pPr>
      <w:r>
        <w:rPr>
          <w:rFonts w:ascii="Calibri" w:hAnsi="Calibri" w:eastAsia="Calibri"/>
          <w:b/>
          <w:color w:val="009162"/>
          <w:sz w:val="16"/>
        </w:rPr>
        <w:t xml:space="preserve">[S58]  </w:t>
      </w:r>
      <w:r>
        <w:rPr>
          <w:rFonts w:ascii="Calibri" w:hAnsi="Calibri" w:eastAsia="Calibri"/>
          <w:sz w:val="16"/>
        </w:rPr>
        <w:t xml:space="preserve">lex.uz: Presidential Decree UP-244 of 9 Nov 2022 (cross-sector "Regulatory sandbox" special legal regime; title). </w:t>
      </w:r>
      <w:hyperlink r:id="rId69">
        <w:r>
          <w:rPr>
            <w:rFonts w:ascii="Calibri" w:hAnsi="Calibri"/>
            <w:color w:val="175C58"/>
            <w:u w:val="single"/>
            <w:sz w:val="15"/>
          </w:rPr>
          <w:t xml:space="preserve">https://lex.uz/ru/docs/6279884</w:t>
        </w:r>
      </w:hyperlink>
    </w:p>
    <w:p>
      <w:pPr>
        <w:spacing w:before="0" w:after="50" w:line="240" w:lineRule="auto"/>
        <w:ind w:left="567" w:hanging="567"/>
      </w:pPr>
      <w:r>
        <w:rPr>
          <w:rFonts w:ascii="Calibri" w:hAnsi="Calibri" w:eastAsia="Calibri"/>
          <w:b/>
          <w:color w:val="009162"/>
          <w:sz w:val="16"/>
        </w:rPr>
        <w:t xml:space="preserve">[S59]  </w:t>
      </w:r>
      <w:r>
        <w:rPr>
          <w:rFonts w:ascii="Calibri" w:hAnsi="Calibri" w:eastAsia="Calibri"/>
          <w:sz w:val="16"/>
        </w:rPr>
        <w:t xml:space="preserve">lex.uz document passport: Law LRU-1127 of 27 Mar 2026, On Legal Experiment (title, date). </w:t>
      </w:r>
      <w:hyperlink r:id="rId70">
        <w:r>
          <w:rPr>
            <w:rFonts w:ascii="Calibri" w:hAnsi="Calibri"/>
            <w:color w:val="175C58"/>
            <w:u w:val="single"/>
            <w:sz w:val="15"/>
          </w:rPr>
          <w:t xml:space="preserve">https://lex.uz/doc-passport/-8099398</w:t>
        </w:r>
      </w:hyperlink>
    </w:p>
    <w:p>
      <w:pPr>
        <w:spacing w:before="0" w:after="50" w:line="240" w:lineRule="auto"/>
        <w:ind w:left="567" w:hanging="567"/>
      </w:pPr>
      <w:r>
        <w:rPr>
          <w:rFonts w:ascii="Calibri" w:hAnsi="Calibri" w:eastAsia="Calibri"/>
          <w:b/>
          <w:color w:val="009162"/>
          <w:sz w:val="16"/>
        </w:rPr>
        <w:t xml:space="preserve">[S60]  </w:t>
      </w:r>
      <w:r>
        <w:rPr>
          <w:rFonts w:ascii="Calibri" w:hAnsi="Calibri" w:eastAsia="Calibri"/>
          <w:sz w:val="16"/>
        </w:rPr>
        <w:t xml:space="preserve">lex.uz: NAPP Regulation No. 3493 of 29 Jan 2024 (capital-market regulatory sandbox), Regulation No. 3409 of 30 Dec 2022 (crypto-asset special regime) and PP-291 of 2 Sep 2023 (titles). </w:t>
      </w:r>
      <w:hyperlink r:id="rId71">
        <w:r>
          <w:rPr>
            <w:rFonts w:ascii="Calibri" w:hAnsi="Calibri"/>
            <w:color w:val="175C58"/>
            <w:u w:val="single"/>
            <w:sz w:val="15"/>
          </w:rPr>
          <w:t xml:space="preserve">https://www.lex.uz/ru/docs/6783404</w:t>
        </w:r>
      </w:hyperlink>
    </w:p>
    <w:p>
      <w:pPr>
        <w:spacing w:before="0" w:after="50" w:line="240" w:lineRule="auto"/>
        <w:ind w:left="567" w:hanging="567"/>
      </w:pPr>
      <w:r>
        <w:rPr>
          <w:rFonts w:ascii="Calibri" w:hAnsi="Calibri" w:eastAsia="Calibri"/>
          <w:b/>
          <w:color w:val="009162"/>
          <w:sz w:val="16"/>
        </w:rPr>
        <w:t xml:space="preserve">[S61]  </w:t>
      </w:r>
      <w:r>
        <w:rPr>
          <w:rFonts w:ascii="Calibri" w:hAnsi="Calibri" w:eastAsia="Calibri"/>
          <w:sz w:val="16"/>
        </w:rPr>
        <w:t xml:space="preserve">lex.uz: Resolution No. 717 of 29 Nov 2021 (issuer likely the Cabinet of Ministers), special regime to support AI technologies (title). </w:t>
      </w:r>
      <w:hyperlink r:id="rId72">
        <w:r>
          <w:rPr>
            <w:rFonts w:ascii="Calibri" w:hAnsi="Calibri"/>
            <w:color w:val="175C58"/>
            <w:u w:val="single"/>
            <w:sz w:val="15"/>
          </w:rPr>
          <w:t xml:space="preserve">https://lex.uz/docs/5746496</w:t>
        </w:r>
      </w:hyperlink>
    </w:p>
    <w:sectPr w:rsidR="00FC693F" w:rsidRPr="0006063C" w:rsidSect="00034616">
      <w:headerReference w:type="default" r:id="rId73"/>
      <w:footerReference w:type="default" r:id="rId74"/>
      <w:headerReference w:type="first" r:id="rId75"/>
      <w:footerReference w:type="first" r:id="rId76"/>
      <w:pgSz w:w="11906" w:h="16838"/>
      <w:pgMar w:top="1134" w:right="1134" w:bottom="1020" w:left="1134" w:header="51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rFonts w:ascii="Calibri" w:hAnsi="Calibri" w:eastAsia="Calibri"/>
        <w:color w:val="6B6E70"/>
        <w:sz w:val="16"/>
      </w:rPr>
      <w:t>Draft for leadership decision. Evidence status: see page 2.</w:t>
      <w:tab/>
    </w:r>
    <w:r>
      <w:rPr>
        <w:rFonts w:ascii="Calibri" w:hAnsi="Calibri"/>
        <w:color w:val="6B6E70"/>
        <w:sz w:val="16"/>
      </w:rPr>
      <w:fldChar w:fldCharType="begin"/>
    </w:r>
    <w:r>
      <w:rPr>
        <w:rFonts w:ascii="Calibri" w:hAnsi="Calibri"/>
        <w:color w:val="6B6E70"/>
        <w:sz w:val="16"/>
      </w:rPr>
      <w:instrText xml:space="preserve"> PAGE </w:instrText>
    </w:r>
    <w:r>
      <w:rPr>
        <w:rFonts w:ascii="Calibri" w:hAnsi="Calibri"/>
        <w:color w:val="6B6E70"/>
        <w:sz w:val="16"/>
      </w:rPr>
      <w:fldChar w:fldCharType="separate"/>
    </w:r>
    <w:r>
      <w:rPr>
        <w:rFonts w:ascii="Calibri" w:hAnsi="Calibri"/>
        <w:color w:val="6B6E70"/>
        <w:sz w:val="16"/>
      </w:rPr>
      <w:t>1</w:t>
    </w:r>
    <w:r>
      <w:rPr>
        <w:rFonts w:ascii="Calibri" w:hAnsi="Calibri"/>
        <w:color w:val="6B6E70"/>
        <w:sz w:val="16"/>
      </w:rPr>
      <w:fldChar w:fldCharType="end"/>
    </w:r>
    <w:r>
      <w:rPr>
        <w:rFonts w:ascii="Calibri" w:hAnsi="Calibri" w:eastAsia="Calibri"/>
        <w:color w:val="6B6E70"/>
        <w:sz w:val="16"/>
      </w:rPr>
      <w:t xml:space="preserve"> / </w:t>
    </w:r>
    <w:r>
      <w:rPr>
        <w:rFonts w:ascii="Calibri" w:hAnsi="Calibri"/>
        <w:color w:val="6B6E70"/>
        <w:sz w:val="16"/>
      </w:rPr>
      <w:fldChar w:fldCharType="begin"/>
    </w:r>
    <w:r>
      <w:rPr>
        <w:rFonts w:ascii="Calibri" w:hAnsi="Calibri"/>
        <w:color w:val="6B6E70"/>
        <w:sz w:val="16"/>
      </w:rPr>
      <w:instrText xml:space="preserve"> NUMPAGES </w:instrText>
    </w:r>
    <w:r>
      <w:rPr>
        <w:rFonts w:ascii="Calibri" w:hAnsi="Calibri"/>
        <w:color w:val="6B6E70"/>
        <w:sz w:val="16"/>
      </w:rPr>
      <w:fldChar w:fldCharType="separate"/>
    </w:r>
    <w:r>
      <w:rPr>
        <w:rFonts w:ascii="Calibri" w:hAnsi="Calibri"/>
        <w:color w:val="6B6E70"/>
        <w:sz w:val="16"/>
      </w:rPr>
      <w:t>1</w:t>
    </w:r>
    <w:r>
      <w:rPr>
        <w:rFonts w:ascii="Calibri" w:hAnsi="Calibri"/>
        <w:color w:val="6B6E70"/>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09162"/>
      </w:pBdr>
    </w:pPr>
    <w:r/>
    <w:r>
      <w:rPr>
        <w:rFonts w:ascii="Calibri" w:hAnsi="Calibri" w:eastAsia="Calibri"/>
        <w:color w:val="6B6E70"/>
        <w:sz w:val="16"/>
      </w:rPr>
      <w:t>Enterprise Uzbekistan  |  Regulatory Sandbox: International Benchmarking and Design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
    <w:multiLevelType w:val="hybridMultilevel"/>
    <w:lvl w:ilvl="0">
      <w:start w:val="1"/>
      <w:numFmt w:val="bullet"/>
      <w:lvlText w:val="■"/>
      <w:lvlJc w:val="left"/>
      <w:pPr>
        <w:ind w:left="340" w:hanging="260"/>
      </w:pPr>
      <w:rPr>
        <w:rFonts w:ascii="Arial" w:hAnsi="Arial"/>
        <w:color w:val="009162"/>
        <w:sz w:val="14"/>
      </w:rPr>
    </w:lvl>
  </w:abstractNum>
  <w:abstractNum w:abstractNumId="91">
    <w:multiLevelType w:val="hybridMultilevel"/>
    <w:lvl w:ilvl="0">
      <w:start w:val="1"/>
      <w:numFmt w:val="decimal"/>
      <w:lvlText w:val="%1."/>
      <w:lvlJc w:val="left"/>
      <w:pPr>
        <w:ind w:left="380" w:hanging="320"/>
      </w:pPr>
      <w:rPr>
        <w:b/>
        <w:color w:val="175C58"/>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color w:val="39393B"/>
      <w:sz w:val="20"/>
      <w:lang w:val="en-GB" w:eastAsia="en-US"/>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40" w:lineRule="auto"/>
      <w:outlineLvl w:val="0"/>
    </w:pPr>
    <w:rPr>
      <w:rFonts w:asciiTheme="majorHAnsi" w:eastAsiaTheme="majorEastAsia" w:hAnsiTheme="majorHAnsi" w:cstheme="majorBidi" w:ascii="Calibri" w:hAnsi="Calibri" w:eastAsia="Calibri"/>
      <w:b/>
      <w:bCs/>
      <w:color w:val="175C58"/>
      <w:sz w:val="36"/>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Theme="majorHAnsi" w:eastAsiaTheme="majorEastAsia" w:hAnsiTheme="majorHAnsi" w:cstheme="majorBidi" w:ascii="Calibri" w:hAnsi="Calibri" w:eastAsia="Calibri"/>
      <w:b/>
      <w:bCs/>
      <w:color w:val="009162"/>
      <w:sz w:val="26"/>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outlineLvl w:val="2"/>
    </w:pPr>
    <w:rPr>
      <w:rFonts w:asciiTheme="majorHAnsi" w:eastAsiaTheme="majorEastAsia" w:hAnsiTheme="majorHAnsi" w:cstheme="majorBidi" w:ascii="Calibri" w:hAnsi="Calibri" w:eastAsia="Calibri"/>
      <w:b/>
      <w:bCs/>
      <w:color w:val="3939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638" w:val="right" w:leader="dot"/>
      </w:tabs>
      <w:spacing w:after="60" w:before="100"/>
      <w:ind w:left="0"/>
    </w:pPr>
    <w:rPr>
      <w:rFonts w:ascii="Calibri" w:hAnsi="Calibri"/>
      <w:b/>
      <w:sz w:val="20"/>
    </w:rPr>
  </w:style>
  <w:style w:type="paragraph" w:customStyle="1" w:styleId="TOC2">
    <w:name w:val="TOC 2"/>
    <w:basedOn w:val="Normal"/>
    <w:pPr>
      <w:tabs>
        <w:tab w:pos="9638" w:val="right" w:leader="dot"/>
      </w:tabs>
      <w:spacing w:after="40" w:before="0"/>
      <w:ind w:left="340"/>
    </w:pPr>
    <w:rPr>
      <w:rFonts w:ascii="Calibri" w:hAnsi="Calibri"/>
      <w:b w:val="0"/>
      <w:sz w:val="19"/>
    </w:rPr>
  </w:style>
  <w:style w:type="paragraph" w:customStyle="1" w:styleId="ExhibitTitle">
    <w:name w:val="ExhibitTitle"/>
    <w:basedOn w:val="Normal"/>
    <w:pPr>
      <w:keepNext/>
      <w:spacing w:before="160" w:after="60"/>
    </w:pPr>
    <w:rPr>
      <w:b/>
      <w:color w:val="175C5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fca.org.uk/publication/research-and-data/regulatory-sandbox-lessons-learned-report.pdf" TargetMode="External"/><Relationship Id="rId14" Type="http://schemas.openxmlformats.org/officeDocument/2006/relationships/hyperlink" Target="https://www.bis.org/publ/work901.pdf" TargetMode="External"/><Relationship Id="rId15" Type="http://schemas.openxmlformats.org/officeDocument/2006/relationships/hyperlink" Target="https://www.fca.org.uk/freedom-information/information-number-sandbox-applications-received-2021-2025-may-2026" TargetMode="External"/><Relationship Id="rId16" Type="http://schemas.openxmlformats.org/officeDocument/2006/relationships/hyperlink" Target="https://www.fca.org.uk/firms/digital-sandbox-pilot-fca-datasprint" TargetMode="External"/><Relationship Id="rId17" Type="http://schemas.openxmlformats.org/officeDocument/2006/relationships/hyperlink" Target="https://ico.org.uk/for-organisations/advice-and-services/regulatory-sandbox/previous-participants" TargetMode="External"/><Relationship Id="rId18" Type="http://schemas.openxmlformats.org/officeDocument/2006/relationships/hyperlink" Target="https://www.ofgem.gov.uk/guidance/innovation-link-outcome-sandbox-window-1" TargetMode="External"/><Relationship Id="rId19" Type="http://schemas.openxmlformats.org/officeDocument/2006/relationships/hyperlink" Target="https://www.mas.gov.sg/news/parliamentary-replies/2025/written-reply-on-mas-regulatory-sandboxes" TargetMode="External"/><Relationship Id="rId20" Type="http://schemas.openxmlformats.org/officeDocument/2006/relationships/hyperlink" Target="https://www.mas.gov.sg/publications/consultations/2018/consultation-paper-on-sandbox-express" TargetMode="External"/><Relationship Id="rId21" Type="http://schemas.openxmlformats.org/officeDocument/2006/relationships/hyperlink" Target="https://www.mas.gov.sg/news/media-releases/2021/mas-enhances-fintech-regulatory-sandbox-with-sandbox-plus" TargetMode="External"/><Relationship Id="rId22" Type="http://schemas.openxmlformats.org/officeDocument/2006/relationships/hyperlink" Target="https://wam.ae/en/article/b18wfrc-uae-launches-global-tradetech-sandbox-during-world" TargetMode="External"/><Relationship Id="rId23" Type="http://schemas.openxmlformats.org/officeDocument/2006/relationships/hyperlink" Target="https://www.weforum.org/publications/advancing-digital-trade-insights-from-the-uae-tradetech-regulatory-sandbox" TargetMode="External"/><Relationship Id="rId24" Type="http://schemas.openxmlformats.org/officeDocument/2006/relationships/hyperlink" Target="https://www.weforum.org/press/2025/07/new-global-platform-launched-to-reimagine-regulation-in-age-of-disruptive-tech" TargetMode="External"/><Relationship Id="rId25" Type="http://schemas.openxmlformats.org/officeDocument/2006/relationships/hyperlink" Target="https://www.adgm.com/media/announcements/adgm-reglab-attracts-record-number-of-applications-for-its-3rd-cohort" TargetMode="External"/><Relationship Id="rId26" Type="http://schemas.openxmlformats.org/officeDocument/2006/relationships/hyperlink" Target="https://www.dfsa.ae/news/robo-advisory-firm-sarwa-first-graduate-dfsas-regulatory-sandbox" TargetMode="External"/><Relationship Id="rId27" Type="http://schemas.openxmlformats.org/officeDocument/2006/relationships/hyperlink" Target="https://www.mnb.hu/letoltes/gfin-cbt-pilot-lessons-learned.pdf" TargetMode="External"/><Relationship Id="rId28" Type="http://schemas.openxmlformats.org/officeDocument/2006/relationships/hyperlink" Target="https://www.worldbank.org/en/topic/fintech/brief/key-data-from-regulatory-sandboxes-across-the-globe" TargetMode="External"/><Relationship Id="rId29" Type="http://schemas.openxmlformats.org/officeDocument/2006/relationships/hyperlink" Target="https://blockchain-observatory.ec.europa.eu/european-blockchain-sandbox-announces-selected-projects-first-cohort_en" TargetMode="External"/><Relationship Id="rId30" Type="http://schemas.openxmlformats.org/officeDocument/2006/relationships/hyperlink" Target="https://www.whitecase.com/insight-alert/eu-ai-omnibus-enters-force-amending-ai-act" TargetMode="External"/><Relationship Id="rId31" Type="http://schemas.openxmlformats.org/officeDocument/2006/relationships/hyperlink" Target="https://digital.gob.es/en/comunicacion/notas-prensa/secretaria-digitalizacion-e-inteligencia-artificial/2026/06/el-gobierno-concluye-con-exito-el-primer-sandbox-de-inteligencia" TargetMode="External"/><Relationship Id="rId32" Type="http://schemas.openxmlformats.org/officeDocument/2006/relationships/hyperlink" Target="https://www.cas.go.jp/jp/seisaku/s-portal/pdf/underlyinglaw/Japans_Regulatory_Sandbox_presentation.pdf" TargetMode="External"/><Relationship Id="rId33" Type="http://schemas.openxmlformats.org/officeDocument/2006/relationships/hyperlink" Target="https://www.hkma.gov.hk/eng/news-and-media/press-releases/2026/08/20260827-3/" TargetMode="External"/><Relationship Id="rId34" Type="http://schemas.openxmlformats.org/officeDocument/2006/relationships/hyperlink" Target="https://www.sama.gov.sa/en-US/MediaCenter/News/Pages/news-849.aspx" TargetMode="External"/><Relationship Id="rId35" Type="http://schemas.openxmlformats.org/officeDocument/2006/relationships/hyperlink" Target="https://fsc.go.kr/eng/pr020101/82001" TargetMode="External"/><Relationship Id="rId36" Type="http://schemas.openxmlformats.org/officeDocument/2006/relationships/hyperlink" Target="https://www.canberratimes.com.au/story/9306576/enhanced-regulatory-sandbox-a-bridge-to-nowhere-for-fintech/" TargetMode="External"/><Relationship Id="rId37" Type="http://schemas.openxmlformats.org/officeDocument/2006/relationships/hyperlink" Target="https://www.cbb.gov.bh/media-center/central-bank-of-bahrain-announces-first-company-to-successfully-complete-the-regulatory-sandbox-stage/" TargetMode="External"/><Relationship Id="rId38" Type="http://schemas.openxmlformats.org/officeDocument/2006/relationships/hyperlink" Target="https://oecd.org/sti/regulatory-sandboxes-in-artificial-intelligence-8f80a0e6-en.htm" TargetMode="External"/><Relationship Id="rId39" Type="http://schemas.openxmlformats.org/officeDocument/2006/relationships/hyperlink" Target="https://www.gazeta.uz/en/2026/08/21/enterprise-uzbekistan/" TargetMode="External"/><Relationship Id="rId40" Type="http://schemas.openxmlformats.org/officeDocument/2006/relationships/hyperlink" Target="https://lex.uz/ru/docs/7865800" TargetMode="External"/><Relationship Id="rId41" Type="http://schemas.openxmlformats.org/officeDocument/2006/relationships/hyperlink" Target="https://www.uzdaily.uz/en/uzbekistan-central-bank-to-update-financial-sandbox-rules/" TargetMode="External"/><Relationship Id="rId42" Type="http://schemas.openxmlformats.org/officeDocument/2006/relationships/hyperlink" Target="https://daryo.uz/en/2026/06/18/uzbekistan-adds-5-firms-to-capital-markets-sandbox-for-foreign-currency-bond-issuance-framework/" TargetMode="External"/><Relationship Id="rId43" Type="http://schemas.openxmlformats.org/officeDocument/2006/relationships/hyperlink" Target="https://www.prnewswire.com/news-releases/driving-digital-trade-transformation-nayaone-powers-world-economic-forums-groundbreaking-tradetech-regulatory-sandbox-302362263.html" TargetMode="External"/><Relationship Id="rId44" Type="http://schemas.openxmlformats.org/officeDocument/2006/relationships/hyperlink" Target="https://fintech.global/2025/12/04/fca-begins-live-ai-testing-with-major-uk-banks/" TargetMode="External"/><Relationship Id="rId45" Type="http://schemas.openxmlformats.org/officeDocument/2006/relationships/hyperlink" Target="https://www.gtreview.com/news/fintech/singapore-and-abu-dhabi-pilot-first-mletr-enabled-trade-transaction/" TargetMode="External"/><Relationship Id="rId46" Type="http://schemas.openxmlformats.org/officeDocument/2006/relationships/hyperlink" Target="https://www.qna.org.qa/en/News-Area/News/2024-04/27/0045-qcb-approves-5-companies-as-a-first-cohort-for-bnpl-service" TargetMode="External"/><Relationship Id="rId47" Type="http://schemas.openxmlformats.org/officeDocument/2006/relationships/hyperlink" Target="https://afsa.aifc.kz/?p=21628" TargetMode="External"/><Relationship Id="rId48" Type="http://schemas.openxmlformats.org/officeDocument/2006/relationships/hyperlink" Target="https://kun.uz/kr/news/2023/11/29/ozbekistonda-tartibga-solish-qumdonini-joriy-etish-tartibi-belgilandi" TargetMode="External"/><Relationship Id="rId49" Type="http://schemas.openxmlformats.org/officeDocument/2006/relationships/hyperlink" Target="https://www.spot.uz/ru/2026/04/04/legal-experiment/" TargetMode="External"/><Relationship Id="rId50" Type="http://schemas.openxmlformats.org/officeDocument/2006/relationships/hyperlink" Target="https://www.fca.org.uk/publication/information-sheets/fca-regulatory-sandbox-application-guide.pdf" TargetMode="External"/><Relationship Id="rId51" Type="http://schemas.openxmlformats.org/officeDocument/2006/relationships/hyperlink" Target="https://www.fca.org.uk/publication/corporate/innovation-insights.pdf" TargetMode="External"/><Relationship Id="rId52" Type="http://schemas.openxmlformats.org/officeDocument/2006/relationships/hyperlink" Target="https://www.fca.org.uk/news/press-releases/4-firms-selected-test-stablecoin-regulatory-sandbox" TargetMode="External"/><Relationship Id="rId53" Type="http://schemas.openxmlformats.org/officeDocument/2006/relationships/hyperlink" Target="https://fca.org.uk/news/news-stories/launch-permanent-digital-sandbox" TargetMode="External"/><Relationship Id="rId54" Type="http://schemas.openxmlformats.org/officeDocument/2006/relationships/hyperlink" Target="https://www.fca.org.uk/news/press-releases/anthropic-supercharged-sandbox" TargetMode="External"/><Relationship Id="rId55" Type="http://schemas.openxmlformats.org/officeDocument/2006/relationships/hyperlink" Target="https://www.fca.org.uk/news/press-releases/fca-announces-second-cohort-ai-live-testing" TargetMode="External"/><Relationship Id="rId56" Type="http://schemas.openxmlformats.org/officeDocument/2006/relationships/hyperlink" Target="https://www.legislation.gov.uk/uksi/2023/1398/made" TargetMode="External"/><Relationship Id="rId57" Type="http://schemas.openxmlformats.org/officeDocument/2006/relationships/hyperlink" Target="https://ico.org.uk/media2/dfpbrra3/statutory-regulatory-sandbox-economic-analyis.pdf" TargetMode="External"/><Relationship Id="rId58" Type="http://schemas.openxmlformats.org/officeDocument/2006/relationships/hyperlink" Target="https://www.lewissilkin.com/insights/2026/09/29/what-the-icos-transformation-into-the-information-commission-means-for-you" TargetMode="External"/><Relationship Id="rId59" Type="http://schemas.openxmlformats.org/officeDocument/2006/relationships/hyperlink" Target="https://www.ofgem.gov.uk/consultation/ai-technical-sandbox" TargetMode="External"/><Relationship Id="rId60" Type="http://schemas.openxmlformats.org/officeDocument/2006/relationships/hyperlink" Target="https://www.adgm.com/media/announcements/adgm-admits-4th-reglab-cohort" TargetMode="External"/><Relationship Id="rId61" Type="http://schemas.openxmlformats.org/officeDocument/2006/relationships/hyperlink" Target="https://www.dfsa.ae/news/dfsa-launches-innovation-testing-licence-explainer-guide-boost-innovation-difc" TargetMode="External"/><Relationship Id="rId62" Type="http://schemas.openxmlformats.org/officeDocument/2006/relationships/hyperlink" Target="https://eur-lex.europa.eu/legal-content/EN/TXT/?uri=celex%3A52026DC0568" TargetMode="External"/><Relationship Id="rId63" Type="http://schemas.openxmlformats.org/officeDocument/2006/relationships/hyperlink" Target="https://op.europa.eu/en/publication-detail/-/publication/6942cc0e-3d27-11f1-814f-01aa75ed71a1/language-en" TargetMode="External"/><Relationship Id="rId64" Type="http://schemas.openxmlformats.org/officeDocument/2006/relationships/hyperlink" Target="https://www.esma.europa.eu/sites/default/files/2023-12/ESA_2023_27_Joint_ESAs_Report_on_Innovation_Facilitators_2023.pdf" TargetMode="External"/><Relationship Id="rId65" Type="http://schemas.openxmlformats.org/officeDocument/2006/relationships/hyperlink" Target="https://www.oecd.org/en/publications/regulatory-sandbox-toolkit_de36fa62-en.html" TargetMode="External"/><Relationship Id="rId66" Type="http://schemas.openxmlformats.org/officeDocument/2006/relationships/hyperlink" Target="https://www.imf.org/en/publications/fintech-notes/issues/2023/06/23/institutional-arrangements-for-fintech-regulation-supervisory-monitoring" TargetMode="External"/><Relationship Id="rId67" Type="http://schemas.openxmlformats.org/officeDocument/2006/relationships/hyperlink" Target="https://www.koreatimes.co.kr/business/companies/20230215/govt-to-strengthen-support-for-regulatory-sandbox-firms" TargetMode="External"/><Relationship Id="rId68" Type="http://schemas.openxmlformats.org/officeDocument/2006/relationships/hyperlink" Target="https://lex.uz/docs/8420999" TargetMode="External"/><Relationship Id="rId69" Type="http://schemas.openxmlformats.org/officeDocument/2006/relationships/hyperlink" Target="https://lex.uz/ru/docs/6279884" TargetMode="External"/><Relationship Id="rId70" Type="http://schemas.openxmlformats.org/officeDocument/2006/relationships/hyperlink" Target="https://lex.uz/doc-passport/-8099398" TargetMode="External"/><Relationship Id="rId71" Type="http://schemas.openxmlformats.org/officeDocument/2006/relationships/hyperlink" Target="https://www.lex.uz/ru/docs/6783404" TargetMode="External"/><Relationship Id="rId72" Type="http://schemas.openxmlformats.org/officeDocument/2006/relationships/hyperlink" Target="https://lex.uz/docs/5746496" TargetMode="External"/><Relationship Id="rId73" Type="http://schemas.openxmlformats.org/officeDocument/2006/relationships/header" Target="header1.xml"/><Relationship Id="rId74" Type="http://schemas.openxmlformats.org/officeDocument/2006/relationships/footer" Target="footer1.xml"/><Relationship Id="rId75" Type="http://schemas.openxmlformats.org/officeDocument/2006/relationships/header" Target="header2.xml"/><Relationship Id="rId7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Uzbekistan: Regulatory Sandbox International Benchmarking and Design Report</dc:title>
  <dc:subject/>
  <dc:creator>Advisory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