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59" w:lineRule="auto"/>
      </w:pPr>
    </w:p>
    <w:p>
      <w:pPr>
        <w:spacing w:before="0" w:after="280" w:line="259" w:lineRule="auto"/>
      </w:pPr>
    </w:p>
    <w:p>
      <w:pPr>
        <w:spacing w:before="0" w:after="280" w:line="259" w:lineRule="auto"/>
      </w:pPr>
    </w:p>
    <w:p>
      <w:pPr>
        <w:spacing w:before="0" w:after="280" w:line="259" w:lineRule="auto"/>
      </w:pPr>
    </w:p>
    <w:p>
      <w:pPr>
        <w:spacing w:before="0" w:after="280" w:line="259" w:lineRule="auto"/>
      </w:pPr>
    </w:p>
    <w:p>
      <w:pPr>
        <w:spacing w:before="0" w:after="40" w:line="259" w:lineRule="auto"/>
      </w:pPr>
      <w:r>
        <w:rPr>
          <w:rFonts w:ascii="Calibri" w:hAnsi="Calibri" w:eastAsia="Calibri"/>
          <w:b/>
          <w:color w:val="009162"/>
          <w:sz w:val="22"/>
        </w:rPr>
        <w:t>ENTERPRISE UZBEKISTAN</w:t>
      </w:r>
    </w:p>
    <w:p>
      <w:pPr>
        <w:spacing w:before="0" w:after="520" w:line="259" w:lineRule="auto"/>
      </w:pPr>
      <w:r>
        <w:rPr>
          <w:rFonts w:ascii="Calibri" w:hAnsi="Calibri" w:eastAsia="Calibri"/>
          <w:color w:val="6B6E70"/>
          <w:sz w:val="20"/>
        </w:rPr>
        <w:t>Стратегический консалтинговый отчет для руководства</w:t>
      </w:r>
    </w:p>
    <w:p>
      <w:pPr>
        <w:spacing w:before="0" w:after="0" w:line="240" w:lineRule="auto"/>
      </w:pPr>
      <w:r>
        <w:rPr>
          <w:rFonts w:ascii="Calibri" w:hAnsi="Calibri" w:eastAsia="Calibri"/>
          <w:b/>
          <w:color w:val="175C58"/>
          <w:sz w:val="60"/>
        </w:rPr>
        <w:t>Регуляторная песочница:</w:t>
      </w:r>
    </w:p>
    <w:p>
      <w:pPr>
        <w:spacing w:before="0" w:after="0" w:line="240" w:lineRule="auto"/>
      </w:pPr>
      <w:r>
        <w:rPr>
          <w:rFonts w:ascii="Calibri" w:hAnsi="Calibri" w:eastAsia="Calibri"/>
          <w:b/>
          <w:color w:val="175C58"/>
          <w:sz w:val="60"/>
        </w:rPr>
        <w:t>Международный сравнительный анализ</w:t>
      </w:r>
    </w:p>
    <w:p>
      <w:pPr>
        <w:spacing w:before="0" w:after="280" w:line="240" w:lineRule="auto"/>
      </w:pPr>
      <w:r>
        <w:rPr>
          <w:rFonts w:ascii="Calibri" w:hAnsi="Calibri" w:eastAsia="Calibri"/>
          <w:b/>
          <w:color w:val="175C58"/>
          <w:sz w:val="60"/>
        </w:rPr>
        <w:t>и проектные решения</w:t>
      </w:r>
    </w:p>
    <w:p>
      <w:pPr>
        <w:pBdr>
          <w:bottom w:val="single" w:sz="18" w:space="14" w:color="009162"/>
        </w:pBdr>
        <w:spacing w:before="0" w:after="720" w:line="276" w:lineRule="auto"/>
      </w:pPr>
      <w:r>
        <w:rPr>
          <w:rFonts w:ascii="Calibri" w:hAnsi="Calibri" w:eastAsia="Calibri"/>
          <w:color w:val="39393B"/>
          <w:sz w:val="26"/>
        </w:rPr>
        <w:t>Данные международной практики и операционная модель песочницы, которую следует запустить Enterprise Uzbekistan</w:t>
      </w:r>
    </w:p>
    <w:p>
      <w:pPr>
        <w:spacing w:before="0" w:after="100" w:line="259" w:lineRule="auto"/>
      </w:pPr>
      <w:r>
        <w:rPr>
          <w:rFonts w:ascii="Calibri" w:hAnsi="Calibri" w:eastAsia="Calibri"/>
          <w:b/>
          <w:color w:val="009162"/>
          <w:sz w:val="16"/>
        </w:rPr>
        <w:t xml:space="preserve">ПОДГОТОВЛЕНО ДЛЯ   </w:t>
      </w:r>
      <w:r>
        <w:rPr>
          <w:rFonts w:ascii="Calibri" w:hAnsi="Calibri" w:eastAsia="Calibri"/>
          <w:color w:val="39393B"/>
          <w:sz w:val="19"/>
        </w:rPr>
        <w:t>Председателя, Управляющего совета и руководства Enterprise Uzbekistan</w:t>
      </w:r>
    </w:p>
    <w:p>
      <w:pPr>
        <w:spacing w:before="0" w:after="100" w:line="259" w:lineRule="auto"/>
      </w:pPr>
      <w:r>
        <w:rPr>
          <w:rFonts w:ascii="Calibri" w:hAnsi="Calibri" w:eastAsia="Calibri"/>
          <w:b/>
          <w:color w:val="009162"/>
          <w:sz w:val="16"/>
        </w:rPr>
        <w:t xml:space="preserve">ДАТА ИССЛЕДОВАНИЯ   </w:t>
      </w:r>
      <w:r>
        <w:rPr>
          <w:rFonts w:ascii="Calibri" w:hAnsi="Calibri" w:eastAsia="Calibri"/>
          <w:color w:val="39393B"/>
          <w:sz w:val="19"/>
        </w:rPr>
        <w:t>20 октября 2026 г.</w:t>
      </w:r>
    </w:p>
    <w:p>
      <w:pPr>
        <w:spacing w:before="0" w:after="100" w:line="259" w:lineRule="auto"/>
      </w:pPr>
      <w:r>
        <w:rPr>
          <w:rFonts w:ascii="Calibri" w:hAnsi="Calibri" w:eastAsia="Calibri"/>
          <w:b/>
          <w:color w:val="009162"/>
          <w:sz w:val="16"/>
        </w:rPr>
        <w:t xml:space="preserve">СТАТУС   </w:t>
      </w:r>
      <w:r>
        <w:rPr>
          <w:rFonts w:ascii="Calibri" w:hAnsi="Calibri" w:eastAsia="Calibri"/>
          <w:color w:val="39393B"/>
          <w:sz w:val="19"/>
        </w:rPr>
        <w:t>Проект для подготовки решений. До использования любых цифр ознакомьтесь с примечанием о статусе подтверждения данных (следующая страница).</w:t>
      </w:r>
    </w:p>
    <w:p>
      <w:pPr>
        <w:spacing w:before="0" w:after="100" w:line="259" w:lineRule="auto"/>
      </w:pPr>
      <w:r>
        <w:rPr>
          <w:rFonts w:ascii="Calibri" w:hAnsi="Calibri" w:eastAsia="Calibri"/>
          <w:b/>
          <w:color w:val="009162"/>
          <w:sz w:val="16"/>
        </w:rPr>
        <w:t xml:space="preserve">РАСПРОСТРАНЕНИЕ   </w:t>
      </w:r>
      <w:r>
        <w:rPr>
          <w:rFonts w:ascii="Calibri" w:hAnsi="Calibri" w:eastAsia="Calibri"/>
          <w:color w:val="39393B"/>
          <w:sz w:val="19"/>
        </w:rPr>
        <w:t>Международная (английская) редакция предназначена для WEF, зарубежных регуляторов и партнеров. До завершения шагов 1–3 Приложения D и одобрения ее выпуска Председателем (Решение D11) она остается внутренним документом.</w:t>
      </w:r>
    </w:p>
    <w:p>
      <w:pPr>
        <w:spacing w:before="0" w:after="100" w:line="259" w:lineRule="auto"/>
      </w:pPr>
      <w:r>
        <w:rPr>
          <w:rFonts w:ascii="Calibri" w:hAnsi="Calibri" w:eastAsia="Calibri"/>
          <w:b/>
          <w:color w:val="009162"/>
          <w:sz w:val="16"/>
        </w:rPr>
        <w:t xml:space="preserve">ЯЗЫК   </w:t>
      </w:r>
      <w:r>
        <w:rPr>
          <w:rFonts w:ascii="Calibri" w:hAnsi="Calibri" w:eastAsia="Calibri"/>
          <w:color w:val="39393B"/>
          <w:sz w:val="19"/>
        </w:rPr>
        <w:t>Русский. Настоящая редакция является основным внутренним управленческим документом EUz и имеет равную силу с английской редакцией; анализ и нумерация в них идентичны.</w:t>
      </w:r>
    </w:p>
    <w:p>
      <w:pPr>
        <w:pStyle w:val="Heading1"/>
        <w:pageBreakBefore/>
        <w:pBdr>
          <w:bottom w:val="single" w:sz="12" w:space="3" w:color="009162"/>
        </w:pBdr>
      </w:pPr>
      <w:r>
        <w:rPr>
          <w:rFonts w:ascii="Calibri" w:hAnsi="Calibri" w:eastAsia="Calibri"/>
        </w:rPr>
        <w:t>Об отчете: статус подтверждения данных и пояснения для читателя</w:t>
      </w:r>
    </w:p>
    <w:tbl>
      <w:tblPr>
        <w:tblW w:type="auto" w:w="0"/>
        <w:jc w:val="center"/>
        <w:tblLayout w:type="fixed"/>
        <w:tblLook w:firstColumn="1" w:firstRow="1" w:lastColumn="0" w:lastRow="0" w:noHBand="0" w:noVBand="1" w:val="04A0"/>
      </w:tblPr>
      <w:tblGrid>
        <w:gridCol w:w="9639"/>
      </w:tblGrid>
      <w:tr>
        <w:tc>
          <w:tcPr>
            <w:tcW w:type="dxa" w:w="9638"/>
            <w:tcBorders>
              <w:top w:val="nil" w:sz="0" w:space="0" w:color="FFF6E5"/>
              <w:left w:val="single" w:sz="36" w:space="0" w:color="D98E04"/>
              <w:bottom w:val="nil" w:sz="0" w:space="0" w:color="FFF6E5"/>
              <w:right w:val="nil" w:sz="0" w:space="0" w:color="FFF6E5"/>
            </w:tcBorders>
            <w:shd w:val="clear" w:color="auto" w:fill="FFF6E5"/>
            <w:tcMar>
              <w:top w:w="90" w:type="dxa"/>
              <w:left w:w="150" w:type="dxa"/>
              <w:bottom w:w="90" w:type="dxa"/>
              <w:right w:w="120" w:type="dxa"/>
            </w:tcMar>
          </w:tcPr>
          <w:p>
            <w:pPr>
              <w:keepNext/>
              <w:spacing w:before="0" w:after="40" w:line="259" w:lineRule="auto"/>
            </w:pPr>
            <w:r>
              <w:rPr>
                <w:rFonts w:ascii="Calibri" w:hAnsi="Calibri" w:eastAsia="Calibri"/>
                <w:b/>
                <w:color w:val="175C58"/>
                <w:sz w:val="19"/>
              </w:rPr>
              <w:t>Статус подтверждения данных: ознакомиться до использования любых цифр</w:t>
            </w:r>
          </w:p>
          <w:p>
            <w:pPr>
              <w:spacing w:before="0" w:after="40" w:line="252" w:lineRule="auto"/>
            </w:pPr>
            <w:r>
              <w:rPr>
                <w:rFonts w:ascii="Calibri" w:hAnsi="Calibri" w:eastAsia="Calibri"/>
                <w:b/>
                <w:sz w:val="18"/>
              </w:rPr>
              <w:t>Методика.</w:t>
            </w:r>
            <w:r>
              <w:rPr>
                <w:rFonts w:ascii="Calibri" w:hAnsi="Calibri" w:eastAsia="Calibri"/>
                <w:sz w:val="18"/>
              </w:rPr>
              <w:t xml:space="preserve"> Исследование интернет-источников проведено 20 октября 2026 г. по материалам регуляторов, государственных органов, международных организаций и научных публикаций. Каждое ключевое утверждение прошло повторную проверку, а затем критический разбор в ходе рецензирования с позиции оппонента; в настоящей редакции использованы формулировки, которые это рецензирование подтверждает.</w:t>
            </w:r>
          </w:p>
          <w:p>
            <w:pPr>
              <w:spacing w:before="0" w:after="40" w:line="252" w:lineRule="auto"/>
            </w:pPr>
            <w:r>
              <w:rPr>
                <w:rFonts w:ascii="Calibri" w:hAnsi="Calibri" w:eastAsia="Calibri"/>
                <w:b/>
                <w:sz w:val="18"/>
              </w:rPr>
              <w:t>Ограничение, касающееся всех глав.</w:t>
            </w:r>
            <w:r>
              <w:rPr>
                <w:rFonts w:ascii="Calibri" w:hAnsi="Calibri" w:eastAsia="Calibri"/>
                <w:sz w:val="18"/>
              </w:rPr>
              <w:t xml:space="preserve"> Большинство сайтов первоисточников не удалось открыть напрямую; цифры взяты из пересказов цитируемых страниц первоисточников в поисковой выдаче или, где это указано, из вторичных источников. </w:t>
            </w:r>
            <w:r>
              <w:rPr>
                <w:rFonts w:ascii="Calibri" w:hAnsi="Calibri" w:eastAsia="Calibri"/>
                <w:b/>
                <w:sz w:val="18"/>
              </w:rPr>
              <w:t>Ни одна цифра пока не сверена с полным текстом соответствующего первичного документа</w:t>
            </w:r>
            <w:r>
              <w:rPr>
                <w:rFonts w:ascii="Calibri" w:hAnsi="Calibri" w:eastAsia="Calibri"/>
                <w:sz w:val="18"/>
              </w:rPr>
              <w:t xml:space="preserve"> (Приложение D, шаг 2).</w:t>
            </w:r>
          </w:p>
          <w:p>
            <w:pPr>
              <w:spacing w:before="0" w:after="40" w:line="252" w:lineRule="auto"/>
            </w:pPr>
            <w:r>
              <w:rPr>
                <w:rFonts w:ascii="Calibri" w:hAnsi="Calibri" w:eastAsia="Calibri"/>
                <w:b/>
                <w:sz w:val="18"/>
              </w:rPr>
              <w:t>Правовая база.</w:t>
            </w:r>
            <w:r>
              <w:rPr>
                <w:rFonts w:ascii="Calibri" w:hAnsi="Calibri" w:eastAsia="Calibri"/>
                <w:sz w:val="18"/>
              </w:rPr>
              <w:t xml:space="preserve"> Положения главы 5, касающиеся EUz, основаны на сообщениях СМИ и юридических фирм, записях в официальных базах данных и рабочих материалах EUz (W). </w:t>
            </w:r>
            <w:r>
              <w:rPr>
                <w:rFonts w:ascii="Calibri" w:hAnsi="Calibri" w:eastAsia="Calibri"/>
                <w:b/>
                <w:sz w:val="18"/>
              </w:rPr>
              <w:t>Официальные тексты Указа УП-233 и Конституционного закона еще не изучены (Приложение D, шаг 1).</w:t>
            </w:r>
            <w:r>
              <w:rPr>
                <w:rFonts w:ascii="Calibri" w:hAnsi="Calibri" w:eastAsia="Calibri"/>
                <w:sz w:val="18"/>
              </w:rPr>
              <w:t xml:space="preserve"> По данным lex.uz, Указом УП-233 от 26 ноября 2025 г. организована деятельность Международного центра цифровых технологий (далее — Центр), впервые созданного Указом УП-25 от 1 февраля 2024 г. [S28]; в базе lex.uz Конституционный закон значится как ЗРУ-1169 от 19 августа 2026 г. [S57] (конституционный статус — по сообщениям прессы [S27]). О вступлении закона в силу 21 января 2027 г. сообщает одно издание; эту дату необходимо сверить с заключительными положениями закона [S27]. До вступления закона в силу действующей основой, предположительно, остается правовая база на уровне указов (подлежит подтверждению юридическими консультантами). Ничто из изложенного не является подтвержденной правовой позицией; матрица соответствия и пробелов (fit-gap, раздел 5.6) — контрольный перечень для юристов, а не юридическое заключение.</w:t>
            </w:r>
          </w:p>
          <w:p>
            <w:pPr>
              <w:spacing w:before="0" w:after="40" w:line="252" w:lineRule="auto"/>
            </w:pPr>
            <w:r>
              <w:rPr>
                <w:rFonts w:ascii="Calibri" w:hAnsi="Calibri" w:eastAsia="Calibri"/>
                <w:b/>
                <w:sz w:val="18"/>
              </w:rPr>
              <w:t>Порядок использования.</w:t>
            </w:r>
            <w:r>
              <w:rPr>
                <w:rFonts w:ascii="Calibri" w:hAnsi="Calibri" w:eastAsia="Calibri"/>
                <w:sz w:val="18"/>
              </w:rPr>
              <w:t xml:space="preserve"> На основе этих выводов выбрать направление; до внешнего цитирования любых цифр или разработки любых правил завершить верификационный спринт по Приложению D (интенсивную проверку по первоисточникам).</w:t>
            </w:r>
          </w:p>
        </w:tc>
      </w:tr>
    </w:tbl>
    <w:p>
      <w:pPr>
        <w:spacing w:before="0" w:after="40" w:line="144" w:lineRule="auto"/>
      </w:pPr>
    </w:p>
    <w:p>
      <w:pPr>
        <w:pStyle w:val="Heading3"/>
      </w:pPr>
      <w:r>
        <w:rPr>
          <w:rFonts w:ascii="Calibri" w:hAnsi="Calibri" w:eastAsia="Calibri"/>
        </w:rPr>
        <w:t>Метки типа подтверждения</w:t>
      </w:r>
    </w:p>
    <w:tbl>
      <w:tblPr>
        <w:tblW w:w="9639" w:type="dxa"/>
        <w:jc w:val="center"/>
        <w:tblLayout w:type="fixed"/>
        <w:tblLook w:firstColumn="1" w:firstRow="1" w:lastColumn="0" w:lastRow="0" w:noHBand="0" w:noVBand="1" w:val="04A0"/>
      </w:tblPr>
      <w:tblGrid>
        <w:gridCol w:w="680"/>
        <w:gridCol w:w="3969"/>
        <w:gridCol w:w="4989"/>
      </w:tblGrid>
      <w:tr>
        <w:trPr>
          <w:cantSplit/>
          <w:tblHeader/>
        </w:trPr>
        <w:tc>
          <w:tcPr>
            <w:tcW w:type="dxa" w:w="68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7"/>
              </w:rPr>
              <w:t>Метка</w:t>
            </w:r>
          </w:p>
        </w:tc>
        <w:tc>
          <w:tcPr>
            <w:tcW w:type="dxa" w:w="3969"/>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7"/>
              </w:rPr>
              <w:t>Значение</w:t>
            </w:r>
          </w:p>
        </w:tc>
        <w:tc>
          <w:tcPr>
            <w:tcW w:type="dxa" w:w="4989"/>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7"/>
              </w:rPr>
              <w:t>Порядок учета</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R</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Результат, о котором сообщил регулятор или правительство</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В заявленном виде, без независимой проверки.</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I</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Независимая оценка (научная, международных организаций, независимый обзор)</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Имеет наибольший вес.</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P</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По данным участника, поставщика или организатора</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Помечается; никогда не выносится в ключевые выводы.</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S</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Только вторичный источник (СМИ, обзор юридической фирмы, отраслевая пресса)</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Используется для контекста; помечается, если на нем основана цифра.</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T</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Цель или намерение, а не достигнутый результат</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Никогда не подается как результат.</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D</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Расчет на основе заявленных данных (например, допущено / подано заявок)</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Приводится с исходными данными; определения в программах различаются.</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A</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Интерпретация аналитика или рекомендация для EUz</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В каждой карточке кейса отделяется от фактов (строки D и E).</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W</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Рабочие материалы EUz (проект; не проверено)</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Только для фактов о проектных решениях EUz; никогда — как доказательство полномочий.</w:t>
            </w:r>
          </w:p>
        </w:tc>
      </w:tr>
    </w:tbl>
    <w:p>
      <w:pPr>
        <w:spacing w:before="0" w:after="40" w:line="144" w:lineRule="auto"/>
      </w:pPr>
    </w:p>
    <w:p>
      <w:pPr>
        <w:spacing w:before="0" w:after="80" w:line="259" w:lineRule="auto"/>
      </w:pPr>
      <w:r>
        <w:rPr>
          <w:rFonts w:ascii="Calibri" w:hAnsi="Calibri" w:eastAsia="Calibri"/>
          <w:b/>
          <w:sz w:val="19"/>
        </w:rPr>
        <w:t>Применяемые правила.</w:t>
      </w:r>
      <w:r>
        <w:rPr>
          <w:rFonts w:ascii="Calibri" w:hAnsi="Calibri" w:eastAsia="Calibri"/>
          <w:sz w:val="19"/>
        </w:rPr>
        <w:t xml:space="preserve"> Для каждой цифры указаны отчетный период и когорта. «По опубликованным данным» — в том виде, в каком данные опубликованы указанным источником; «Не подтверждено» — в доступных источниках надежная цифра не найдена (в ключевую статистику не включается); «Не раскрывается» — программа, по-видимому, эти данные не публикует; «данные расходятся» — источники противоречат друг другу (Приложение B). Пометка «Подтверждено» используется только для цифры, сверенной с полным текстом первоисточника (Приложение D, шаг 2). Плановые допущения (нормативные сроки рассмотрения, численность команды, целевые показатели) обозначены как таковые и не являются базовыми значениями EUz. Предлагаемые участники и регуляторы приведены в качестве примеров и не являются обязательствами.</w:t>
      </w:r>
    </w:p>
    <w:p>
      <w:pPr>
        <w:spacing w:before="0" w:after="80" w:line="259" w:lineRule="auto"/>
      </w:pPr>
      <w:r>
        <w:rPr>
          <w:rFonts w:ascii="Calibri" w:hAnsi="Calibri" w:eastAsia="Calibri"/>
          <w:b/>
          <w:sz w:val="19"/>
        </w:rPr>
        <w:t>Обозначения сроков.</w:t>
      </w:r>
      <w:r>
        <w:rPr>
          <w:rFonts w:ascii="Calibri" w:hAnsi="Calibri" w:eastAsia="Calibri"/>
          <w:sz w:val="19"/>
        </w:rPr>
        <w:t xml:space="preserve"> День 0 (месяц 0, М0) — принятие Управляющим советом настоящего отчета; М4, М6 и т. д. — месяцы, отсчитываемые от Дня 0. День запуска, когда Трек разъяснений становится общедоступным, намечен на День 90 (около М3). Подробнее — в главе 8.</w:t>
      </w:r>
    </w:p>
    <w:p>
      <w:pPr>
        <w:spacing w:before="0" w:after="80" w:line="259" w:lineRule="auto"/>
      </w:pPr>
      <w:r>
        <w:rPr>
          <w:rFonts w:ascii="Calibri" w:hAnsi="Calibri" w:eastAsia="Calibri"/>
          <w:b/>
          <w:sz w:val="19"/>
        </w:rPr>
        <w:t>Коды источников.</w:t>
      </w:r>
      <w:r>
        <w:rPr>
          <w:rFonts w:ascii="Calibri" w:hAnsi="Calibri" w:eastAsia="Calibri"/>
          <w:sz w:val="19"/>
        </w:rPr>
        <w:t xml:space="preserve"> Ссылки вида [S7] отсылают к списку источников (Приложение E), где указаны веб-адреса.</w:t>
      </w:r>
    </w:p>
    <w:p>
      <w:pPr>
        <w:pStyle w:val="Heading3"/>
      </w:pPr>
      <w:r>
        <w:rPr>
          <w:rFonts w:ascii="Calibri" w:hAnsi="Calibri" w:eastAsia="Calibri"/>
        </w:rPr>
        <w:t>Сокращения</w:t>
      </w:r>
    </w:p>
    <w:tbl>
      <w:tblPr>
        <w:tblW w:w="9639" w:type="dxa"/>
        <w:jc w:val="center"/>
        <w:tblLayout w:type="fixed"/>
        <w:tblLook w:firstColumn="1" w:firstRow="1" w:lastColumn="0" w:lastRow="0" w:noHBand="0" w:noVBand="1" w:val="04A0"/>
      </w:tblPr>
      <w:tblGrid>
        <w:gridCol w:w="1247"/>
        <w:gridCol w:w="3572"/>
        <w:gridCol w:w="1247"/>
        <w:gridCol w:w="3572"/>
      </w:tblGrid>
      <w:tr>
        <w:trPr>
          <w:cantSplit/>
          <w:tblHeader/>
        </w:trPr>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Сокращение</w:t>
            </w:r>
          </w:p>
        </w:tc>
        <w:tc>
          <w:tcPr>
            <w:tcW w:type="dxa" w:w="357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Значение</w:t>
            </w:r>
          </w:p>
        </w:tc>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Сокращение</w:t>
            </w:r>
          </w:p>
        </w:tc>
        <w:tc>
          <w:tcPr>
            <w:tcW w:type="dxa" w:w="357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Значение</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ADGM</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Глобальный рынок Абу-Даби</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HKMA</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Валютное управление Гонконга</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AI</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Искусственный интеллект (ИИ)</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ICO</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Управление Уполномоченного по информации Великобритании; с 30 сент. 2026 заменено Комиссией по информации (S) [S47]</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AIFC</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Международный финансовый центр «Астана» (МФЦА, Казахстан)</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IMF</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Международный валютный фонд (МВФ)</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AML/CFT</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Противодействие отмыванию доходов и финансированию терроризма (ПОД/ФТ)</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ITL</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Лицензия DFSA на тестирование инноваций</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API</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Программный интерфейс приложений</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KPI</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Ключевой показатель эффективности</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ASIC</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Австралийская комиссия по ценным бумагам и инвестициям</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LegCo</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Законодательный совет Гонконга</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BIS</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Банк международных расчетов</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ЗРУ / LRU</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Закон Республики Узбекистан (префикс LRU — в английском тексте, ЗРУ — в русском; например, ЗРУ-1169)</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BNPL</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Купи сейчас, плати потом</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M3, M4 ...</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Месяцы, отсчитываемые от Дня 0 (см. «Обозначения сроков»)</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CBB</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Центральный банк Бахрейна</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MAS</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Валютное управление Сингапура</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CBU</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Центральный банк Республики Узбекистан (ЦБ РУз)</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MLETR</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Типовой закон ЮНСИТРАЛ об электронных передаваемых записях</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Центр</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Международный центр цифровых технологий, названный в Указе УП-233 и ЗРУ-1169; по опубликованным данным, действует под названием Enterprise Uzbekistan [S27][S28]</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MoU</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Меморандум о взаимопонимании</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CSA / OSC</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Канадские администраторы по ценным бумагам / Комиссия по ценным бумагам Онтарио</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MVP</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Минимально жизнеспособный продукт</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DFSA</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Управление по финансовым услугам эмирата Дубай</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NAPP</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Национальное агентство перспективных проектов Республики Узбекистан (НАПП)</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EOI</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Заявка о заинтересованности</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OECD</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Организация экономического сотрудничества и развития (ОЭСР)</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EUz</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Enterprise Uzbekistan</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Ofgem</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Управление по регулированию рынков газа и электроэнергии Великобритании</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FCA</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Управление по финансовому регулированию и надзору Великобритании</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ПП / PQ</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Постановление Президента (префикс PQ — в узбекском тексте, ПП — в русском)</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FOI</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Свобода информации</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QCB / QFC</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Центральный банк Катара / Катарский финансовый центр</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FSC</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Комиссия по финансовым услугам Республики Корея</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RegTech / GovTech</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Регуляторные технологии / технологии государственного управления</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FSRA</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Управление по регулированию финансовых услуг ADGM</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SAMA</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Центральный банк Саудовской Аравии</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FSS</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Надзорная песочница HKMA для финтеха</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SME</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Малые и средние предприятия (МСП)</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FY</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Финансовый год</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UNCITRAL</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Комиссия ООН по праву международной торговли (ЮНСИТРАЛ)</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GenAI</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Генеративный искусственный интеллект</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УП / UP</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Указ Президента (префикс акта; например, УП-233)</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ICT</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Информационно-коммуникационные технологии (ИКТ)</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GFIN</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Глобальная сеть финансовых инноваций</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р. д.</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Рабочие дни</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GRIP</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Глобальная платформа регуляторных инноваций (WEF)</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WEF</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Всемирный экономический форум</w:t>
            </w:r>
          </w:p>
        </w:tc>
      </w:tr>
    </w:tbl>
    <w:p>
      <w:pPr>
        <w:spacing w:before="0" w:after="40" w:line="144" w:lineRule="auto"/>
      </w:pPr>
    </w:p>
    <w:p>
      <w:pPr>
        <w:pageBreakBefore/>
        <w:pBdr>
          <w:bottom w:val="single" w:sz="12" w:space="3" w:color="009162"/>
        </w:pBdr>
        <w:spacing w:before="0" w:after="160" w:line="259" w:lineRule="auto"/>
      </w:pPr>
      <w:r>
        <w:rPr>
          <w:rFonts w:ascii="Calibri" w:hAnsi="Calibri" w:eastAsia="Calibri"/>
          <w:b/>
          <w:color w:val="175C58"/>
          <w:sz w:val="36"/>
        </w:rPr>
        <w:t>Содержание</w:t>
      </w:r>
    </w:p>
    <w:p>
      <w:pPr>
        <w:pStyle w:val="TOC1"/>
      </w:pPr>
      <w:r>
        <w:fldChar w:fldCharType="begin"/>
      </w:r>
      <w:r>
        <w:instrText xml:space="preserve"> TOC \o "1-2" \h \z \u </w:instrText>
      </w:r>
      <w:r>
        <w:fldChar w:fldCharType="separate"/>
      </w:r>
      <w:r>
        <w:rPr>
          <w:rFonts w:ascii="Calibri" w:hAnsi="Calibri" w:eastAsia="Calibri"/>
        </w:rPr>
        <w:t>1. Резюме для руководства: данные подтверждают выбор компактной песочницы с приоритетом разъяснений и опубликованными сроками принятия решений</w:t>
      </w:r>
      <w:r>
        <w:tab/>
        <w:t>6</w:t>
      </w:r>
    </w:p>
    <w:p>
      <w:pPr>
        <w:pStyle w:val="TOC1"/>
      </w:pPr>
      <w:r>
        <w:rPr>
          <w:rFonts w:ascii="Calibri" w:hAnsi="Calibri" w:eastAsia="Calibri"/>
        </w:rPr>
        <w:t>2. Краткий обзор международных результатов: задокументированные результаты реальны, но скромны и касаются главным образом лицензирования, финансирования и разъяснений</w:t>
      </w:r>
      <w:r>
        <w:tab/>
        <w:t>10</w:t>
      </w:r>
    </w:p>
    <w:p>
      <w:pPr>
        <w:pStyle w:val="TOC2"/>
      </w:pPr>
      <w:r>
        <w:rPr>
          <w:rFonts w:ascii="Calibri" w:hAnsi="Calibri" w:eastAsia="Calibri"/>
        </w:rPr>
        <w:t>Что показывают данные</w:t>
      </w:r>
      <w:r>
        <w:tab/>
        <w:t>12</w:t>
      </w:r>
    </w:p>
    <w:p>
      <w:pPr>
        <w:pStyle w:val="TOC1"/>
      </w:pPr>
      <w:r>
        <w:rPr>
          <w:rFonts w:ascii="Calibri" w:hAnsi="Calibri" w:eastAsia="Calibri"/>
        </w:rPr>
        <w:t>3. Избранные примеры успешной международной практики: что измеряли восемь программ и какое проектное решение для EUz следует из опыта каждой</w:t>
      </w:r>
      <w:r>
        <w:tab/>
        <w:t>14</w:t>
      </w:r>
    </w:p>
    <w:p>
      <w:pPr>
        <w:pStyle w:val="TOC1"/>
      </w:pPr>
      <w:r>
        <w:rPr>
          <w:rFonts w:ascii="Calibri" w:hAnsi="Calibri" w:eastAsia="Calibri"/>
        </w:rPr>
        <w:t>4. Инновационные механизмы и кейсы: у проверенных инструментов эффект скромный, у новых он в основном не измерен</w:t>
      </w:r>
      <w:r>
        <w:tab/>
        <w:t>20</w:t>
      </w:r>
    </w:p>
    <w:p>
      <w:pPr>
        <w:pStyle w:val="TOC2"/>
      </w:pPr>
      <w:r>
        <w:rPr>
          <w:rFonts w:ascii="Calibri" w:hAnsi="Calibri" w:eastAsia="Calibri"/>
        </w:rPr>
        <w:t>4.1 Четырнадцать механизмов: лучше всего подтверждены получение лицензии по итогам тестирования и эффект финансирования в Великобритании; ускоренные треки и тестирование ИИ пока не получили независимой оценки</w:t>
      </w:r>
      <w:r>
        <w:tab/>
        <w:t>20</w:t>
      </w:r>
    </w:p>
    <w:p>
      <w:pPr>
        <w:pStyle w:val="TOC2"/>
      </w:pPr>
      <w:r>
        <w:rPr>
          <w:rFonts w:ascii="Calibri" w:hAnsi="Calibri" w:eastAsia="Calibri"/>
        </w:rPr>
        <w:t>4.2 Семь кейсов: в лицензировании есть завершенные итоги; подтвержденной аудитом экономии затрат не найдено; данных об изменении правил мало</w:t>
      </w:r>
      <w:r>
        <w:tab/>
        <w:t>22</w:t>
      </w:r>
    </w:p>
    <w:p>
      <w:pPr>
        <w:pStyle w:val="TOC1"/>
      </w:pPr>
      <w:r>
        <w:rPr>
          <w:rFonts w:ascii="Calibri" w:hAnsi="Calibri" w:eastAsia="Calibri"/>
        </w:rPr>
        <w:t>5. Стратегическая архитектура песочницы EUz: целевая операционная модель — компактная на старте, расширяемая только при наличии доказательств</w:t>
      </w:r>
      <w:r>
        <w:tab/>
        <w:t>23</w:t>
      </w:r>
    </w:p>
    <w:p>
      <w:pPr>
        <w:pStyle w:val="TOC2"/>
      </w:pPr>
      <w:r>
        <w:rPr>
          <w:rFonts w:ascii="Calibri" w:hAnsi="Calibri" w:eastAsia="Calibri"/>
        </w:rPr>
        <w:t>5.1 Институциональная архитектура: ответственность, полномочия по принятию решений и этапы согласования</w:t>
      </w:r>
      <w:r>
        <w:tab/>
        <w:t>24</w:t>
      </w:r>
    </w:p>
    <w:p>
      <w:pPr>
        <w:pStyle w:val="TOC2"/>
      </w:pPr>
      <w:r>
        <w:rPr>
          <w:rFonts w:ascii="Calibri" w:hAnsi="Calibri" w:eastAsia="Calibri"/>
        </w:rPr>
        <w:t>5.2 Путь участника: девять этапов, у каждого — ответственный, решение и срок</w:t>
      </w:r>
      <w:r>
        <w:tab/>
        <w:t>29</w:t>
      </w:r>
    </w:p>
    <w:p>
      <w:pPr>
        <w:pStyle w:val="TOC2"/>
      </w:pPr>
      <w:r>
        <w:rPr>
          <w:rFonts w:ascii="Calibri" w:hAnsi="Calibri" w:eastAsia="Calibri"/>
        </w:rPr>
        <w:t>5.3 Рабочие треки: два запустить, еще два опробовать в пилотном режиме после оценки когорты 1, один отложить</w:t>
      </w:r>
      <w:r>
        <w:tab/>
        <w:t>30</w:t>
      </w:r>
    </w:p>
    <w:p>
      <w:pPr>
        <w:pStyle w:val="TOC2"/>
      </w:pPr>
      <w:r>
        <w:rPr>
          <w:rFonts w:ascii="Calibri" w:hAnsi="Calibri" w:eastAsia="Calibri"/>
        </w:rPr>
        <w:t>5.4 Услуги и аргументы в пользу EUz: конкурировать охватом новых технологий и опубликованными сроками принятия решений, а не числом финтех-проектов</w:t>
      </w:r>
      <w:r>
        <w:tab/>
        <w:t>31</w:t>
      </w:r>
    </w:p>
    <w:p>
      <w:pPr>
        <w:pStyle w:val="TOC2"/>
      </w:pPr>
      <w:r>
        <w:rPr>
          <w:rFonts w:ascii="Calibri" w:hAnsi="Calibri" w:eastAsia="Calibri"/>
        </w:rPr>
        <w:t>5.5 Выход из песочницы, в том числе успешный: положительный итог тестирования не дает лицензии автоматически</w:t>
      </w:r>
      <w:r>
        <w:tab/>
        <w:t>32</w:t>
      </w:r>
    </w:p>
    <w:p>
      <w:pPr>
        <w:pStyle w:val="TOC2"/>
      </w:pPr>
      <w:r>
        <w:rPr>
          <w:rFonts w:ascii="Calibri" w:hAnsi="Calibri" w:eastAsia="Calibri"/>
        </w:rPr>
        <w:t>5.6 Правовой анализ соответствия и пробелов: контрольный перечень для юристов, а не юридическое заключение</w:t>
      </w:r>
      <w:r>
        <w:tab/>
        <w:t>33</w:t>
      </w:r>
    </w:p>
    <w:p>
      <w:pPr>
        <w:pStyle w:val="TOC2"/>
      </w:pPr>
      <w:r>
        <w:rPr>
          <w:rFonts w:ascii="Calibri" w:hAnsi="Calibri" w:eastAsia="Calibri"/>
        </w:rPr>
        <w:t>5.7 Критерии допуска и меры защиты: допускать только тесты с указанием конкретного регуляторного барьера и закреплять в каждом решении лимиты, информирование пользователей и порог остановки</w:t>
      </w:r>
      <w:r>
        <w:tab/>
        <w:t>35</w:t>
      </w:r>
    </w:p>
    <w:p>
      <w:pPr>
        <w:pStyle w:val="TOC2"/>
      </w:pPr>
      <w:r>
        <w:rPr>
          <w:rFonts w:ascii="Calibri" w:hAnsi="Calibri" w:eastAsia="Calibri"/>
        </w:rPr>
        <w:t>5.8 Взаимодействие регуляторов, экспертов и компаний: согласие регулятора получают до одобрения, а не после</w:t>
      </w:r>
      <w:r>
        <w:tab/>
        <w:t>36</w:t>
      </w:r>
    </w:p>
    <w:p>
      <w:pPr>
        <w:pStyle w:val="TOC2"/>
      </w:pPr>
      <w:r>
        <w:rPr>
          <w:rFonts w:ascii="Calibri" w:hAnsi="Calibri" w:eastAsia="Calibri"/>
        </w:rPr>
        <w:t>5.9 Порядок запуска: на старте — разъяснения, с 6-го месяца — тестирование в реальных условиях, остальное — при подтверждении данными</w:t>
      </w:r>
      <w:r>
        <w:tab/>
        <w:t>38</w:t>
      </w:r>
    </w:p>
    <w:p>
      <w:pPr>
        <w:pStyle w:val="TOC2"/>
      </w:pPr>
      <w:r>
        <w:rPr>
          <w:rFonts w:ascii="Calibri" w:hAnsi="Calibri" w:eastAsia="Calibri"/>
        </w:rPr>
        <w:t>5.10 Оценка рисков: неподтвержденная правовая основа и неполучение согласия регуляторов — два риска высокого уровня</w:t>
      </w:r>
      <w:r>
        <w:tab/>
        <w:t>39</w:t>
      </w:r>
    </w:p>
    <w:p>
      <w:pPr>
        <w:pStyle w:val="TOC1"/>
      </w:pPr>
      <w:r>
        <w:rPr>
          <w:rFonts w:ascii="Calibri" w:hAnsi="Calibri" w:eastAsia="Calibri"/>
        </w:rPr>
        <w:t>6. Оценка партнерства с WEF: опыт организатора диалога задокументирован; WEF лучше привлекать к организации экспертной рецензии и пилотов с участием нескольких органов, а не делать ответственным за проектирование</w:t>
      </w:r>
      <w:r>
        <w:tab/>
        <w:t>41</w:t>
      </w:r>
    </w:p>
    <w:p>
      <w:pPr>
        <w:pStyle w:val="TOC2"/>
      </w:pPr>
      <w:r>
        <w:rPr>
          <w:rFonts w:ascii="Calibri" w:hAnsi="Calibri" w:eastAsia="Calibri"/>
        </w:rPr>
        <w:t>6.1 Четыре вопроса о WEF: его опыт организатора диалога подтвержден документально, а опыт разработчика песочниц или ответственного за их систему управления — нет</w:t>
      </w:r>
      <w:r>
        <w:tab/>
        <w:t>41</w:t>
      </w:r>
    </w:p>
    <w:p>
      <w:pPr>
        <w:pStyle w:val="TOC1"/>
      </w:pPr>
      <w:r>
        <w:rPr>
          <w:rFonts w:ascii="Calibri" w:hAnsi="Calibri" w:eastAsia="Calibri"/>
        </w:rPr>
        <w:t>7. Первый портфель пилотных проектов: три пилота в песочнице и один внутренний, у каждого — запасной вариант на случай, если закон окажется уже, чем сообщается</w:t>
      </w:r>
      <w:r>
        <w:tab/>
        <w:t>44</w:t>
      </w:r>
    </w:p>
    <w:p>
      <w:pPr>
        <w:pStyle w:val="TOC1"/>
      </w:pPr>
      <w:r>
        <w:rPr>
          <w:rFonts w:ascii="Calibri" w:hAnsi="Calibri" w:eastAsia="Calibri"/>
        </w:rPr>
        <w:t>8. Дорожная карта, KPI и решения: правовая верификация и Правила песочницы определяют критический путь к первым допускам на 6-м месяце</w:t>
      </w:r>
      <w:r>
        <w:tab/>
        <w:t>49</w:t>
      </w:r>
    </w:p>
    <w:p>
      <w:pPr>
        <w:pStyle w:val="TOC2"/>
      </w:pPr>
      <w:r>
        <w:rPr>
          <w:rFonts w:ascii="Calibri" w:hAnsi="Calibri" w:eastAsia="Calibri"/>
        </w:rPr>
        <w:t>8.1 Первые 90 дней: пятнадцать мер и критический путь к запуску</w:t>
      </w:r>
      <w:r>
        <w:tab/>
        <w:t>49</w:t>
      </w:r>
    </w:p>
    <w:p>
      <w:pPr>
        <w:pStyle w:val="TOC2"/>
      </w:pPr>
      <w:r>
        <w:rPr>
          <w:rFonts w:ascii="Calibri" w:hAnsi="Calibri" w:eastAsia="Calibri"/>
        </w:rPr>
        <w:t>8.2 Первые 12 месяцев: четыре фазы, каждая завершается конкретной контрольной точкой принятия решения</w:t>
      </w:r>
      <w:r>
        <w:tab/>
        <w:t>51</w:t>
      </w:r>
    </w:p>
    <w:p>
      <w:pPr>
        <w:pStyle w:val="TOC2"/>
      </w:pPr>
      <w:r>
        <w:rPr>
          <w:rFonts w:ascii="Calibri" w:hAnsi="Calibri" w:eastAsia="Calibri"/>
        </w:rPr>
        <w:t>8.3 Долгосрочное развитие: трансграничные пилоты и расширенная инфраструктура запускаются, только если обзор в 12-м месяце подтвердит, что условия для них выполнены</w:t>
      </w:r>
      <w:r>
        <w:tab/>
        <w:t>52</w:t>
      </w:r>
    </w:p>
    <w:p>
      <w:pPr>
        <w:pStyle w:val="TOC2"/>
      </w:pPr>
      <w:r>
        <w:rPr>
          <w:rFonts w:ascii="Calibri" w:hAnsi="Calibri" w:eastAsia="Calibri"/>
        </w:rPr>
        <w:t>8.4 KPI: пятнадцать показателей; 1-й год оценивается по выполнению плана, а данные об итогах поступают примерно с 14-го месяца</w:t>
      </w:r>
      <w:r>
        <w:tab/>
        <w:t>52</w:t>
      </w:r>
    </w:p>
    <w:p>
      <w:pPr>
        <w:pStyle w:val="TOC2"/>
      </w:pPr>
      <w:r>
        <w:rPr>
          <w:rFonts w:ascii="Calibri" w:hAnsi="Calibri" w:eastAsia="Calibri"/>
        </w:rPr>
        <w:t>8.5 Матрица управленческих решений: правовая верификация — к Дню 20, затем операционная модель и полномочия по допуску — к Дню 30</w:t>
      </w:r>
      <w:r>
        <w:tab/>
        <w:t>54</w:t>
      </w:r>
    </w:p>
    <w:p>
      <w:pPr>
        <w:pStyle w:val="TOC1"/>
      </w:pPr>
      <w:r>
        <w:rPr>
          <w:rFonts w:ascii="Calibri" w:hAnsi="Calibri" w:eastAsia="Calibri"/>
        </w:rPr>
        <w:t>Приложение A. Расширенная матрица сравнительного анализа</w:t>
      </w:r>
      <w:r>
        <w:tab/>
        <w:t>57</w:t>
      </w:r>
    </w:p>
    <w:p>
      <w:pPr>
        <w:pStyle w:val="TOC1"/>
      </w:pPr>
      <w:r>
        <w:rPr>
          <w:rFonts w:ascii="Calibri" w:hAnsi="Calibri" w:eastAsia="Calibri"/>
        </w:rPr>
        <w:t>Приложение B. Неустраненные расхождения и неподтвержденные данные</w:t>
      </w:r>
      <w:r>
        <w:tab/>
        <w:t>60</w:t>
      </w:r>
    </w:p>
    <w:p>
      <w:pPr>
        <w:pStyle w:val="TOC1"/>
      </w:pPr>
      <w:r>
        <w:rPr>
          <w:rFonts w:ascii="Calibri" w:hAnsi="Calibri" w:eastAsia="Calibri"/>
        </w:rPr>
        <w:t>Приложение C. Правовые акты и статус их проверки</w:t>
      </w:r>
      <w:r>
        <w:tab/>
        <w:t>62</w:t>
      </w:r>
    </w:p>
    <w:p>
      <w:pPr>
        <w:pStyle w:val="TOC1"/>
      </w:pPr>
      <w:r>
        <w:rPr>
          <w:rFonts w:ascii="Calibri" w:hAnsi="Calibri" w:eastAsia="Calibri"/>
        </w:rPr>
        <w:t>Приложение D. План верификации перед внешней публикацией</w:t>
      </w:r>
      <w:r>
        <w:tab/>
        <w:t>63</w:t>
      </w:r>
    </w:p>
    <w:p>
      <w:pPr>
        <w:pStyle w:val="TOC1"/>
      </w:pPr>
      <w:r>
        <w:rPr>
          <w:rFonts w:ascii="Calibri" w:hAnsi="Calibri" w:eastAsia="Calibri"/>
        </w:rPr>
        <w:t>Приложение E. Список источников</w:t>
      </w:r>
      <w:r>
        <w:tab/>
        <w:t>64</w:t>
      </w:r>
      <w:r>
        <w:fldChar w:fldCharType="end"/>
      </w:r>
    </w:p>
    <w:p>
      <w:pPr>
        <w:pStyle w:val="Heading1"/>
        <w:pageBreakBefore/>
        <w:pBdr>
          <w:bottom w:val="single" w:sz="12" w:space="3" w:color="009162"/>
        </w:pBdr>
      </w:pPr>
      <w:r>
        <w:rPr>
          <w:rFonts w:ascii="Calibri" w:hAnsi="Calibri" w:eastAsia="Calibri"/>
        </w:rPr>
        <w:t>1. Резюме для руководства: данные подтверждают выбор компактной песочницы с приоритетом разъяснений и опубликованными сроками принятия решений</w:t>
      </w:r>
    </w:p>
    <w:p>
      <w:pPr>
        <w:pStyle w:val="Heading3"/>
      </w:pPr>
      <w:r>
        <w:rPr>
          <w:rFonts w:ascii="Calibri" w:hAnsi="Calibri" w:eastAsia="Calibri"/>
        </w:rPr>
        <w:t>Пять выводов из международного опыта</w:t>
      </w:r>
    </w:p>
    <w:p>
      <w:pPr>
        <w:numPr>
          <w:ilvl w:val="0"/>
          <w:numId w:val="100"/>
        </w:numPr>
        <w:spacing w:before="0" w:after="60" w:line="259" w:lineRule="auto"/>
      </w:pPr>
      <w:r>
        <w:rPr>
          <w:rFonts w:ascii="Calibri" w:hAnsi="Calibri" w:eastAsia="Calibri"/>
          <w:b/>
          <w:sz w:val="19"/>
        </w:rPr>
        <w:t>Получение лицензии по итогам тестирования — результат, о котором программы сообщают чаще всего, но каждая считает его по-своему.</w:t>
      </w:r>
      <w:r>
        <w:rPr>
          <w:rFonts w:ascii="Calibri" w:hAnsi="Calibri" w:eastAsia="Calibri"/>
          <w:sz w:val="19"/>
        </w:rPr>
        <w:t xml:space="preserve"> Валютное управление Сингапура (MAS): из 19 принятых в песочницу компаний 15 успешно завершили тестирование и получили лицензию (с 2016 г. по конец сентября 2025 г.; учтены ли участники Sandbox Express, неясно; R) [S7]. Центральный банк Саудовской Аравии (SAMA): из 45 участников, получивших разрешение, 18 успешно завершили тестирование (нарастающим итогом на май 2023 г.; R) [S22]. Управление по финансовым услугам эмирата Дубай (DFSA): из 51 принятой в песочницу компании 3 успешно завершили тестирование (R) [S14]; это срез на июнь 2021 г., а не итоговая доля получивших лицензию (A; Иллюстрация 3a). Более высокие показатели наблюдаются там, где определен путь к получению одной из действующих лицензий: это согласуется с тем, что порядок выхода имеет значение, но не доказывает этого (A).</w:t>
      </w:r>
    </w:p>
    <w:p>
      <w:pPr>
        <w:numPr>
          <w:ilvl w:val="0"/>
          <w:numId w:val="100"/>
        </w:numPr>
        <w:spacing w:before="0" w:after="60" w:line="259" w:lineRule="auto"/>
      </w:pPr>
      <w:r>
        <w:rPr>
          <w:rFonts w:ascii="Calibri" w:hAnsi="Calibri" w:eastAsia="Calibri"/>
          <w:b/>
          <w:sz w:val="19"/>
        </w:rPr>
        <w:t>Независимые подтверждения коммерческого эффекта получены по одной программе.</w:t>
      </w:r>
      <w:r>
        <w:rPr>
          <w:rFonts w:ascii="Calibri" w:hAnsi="Calibri" w:eastAsia="Calibri"/>
          <w:sz w:val="19"/>
        </w:rPr>
        <w:t xml:space="preserve"> Рецензируемое исследование экономистов Банка международных расчетов (BIS) связывает допуск в песочницу Управления по финансовому регулированию и надзору Великобритании (FCA) с увеличением объема привлеченного капитала примерно на 15% и ростом вероятности его привлечения примерно на 50%; сильнее всего эффект проявляется у небольших молодых компаний (данные за 2014–2019 гг.; I) [S2]. Это статистическая связь, выявленная в одной программе-первопроходце с хорошим ресурсным обеспечением, а не целевой ориентир, переносимый на Enterprise Uzbekistan (EUz).</w:t>
      </w:r>
    </w:p>
    <w:p>
      <w:pPr>
        <w:numPr>
          <w:ilvl w:val="0"/>
          <w:numId w:val="100"/>
        </w:numPr>
        <w:spacing w:before="0" w:after="60" w:line="259" w:lineRule="auto"/>
      </w:pPr>
      <w:r>
        <w:rPr>
          <w:rFonts w:ascii="Calibri" w:hAnsi="Calibri" w:eastAsia="Calibri"/>
          <w:b/>
          <w:sz w:val="19"/>
        </w:rPr>
        <w:t>Там, где публиковались итоги первичного разбора заявок (одна программа), большинству заявителей требовались разъяснения, а не освобождение от требований.</w:t>
      </w:r>
      <w:r>
        <w:rPr>
          <w:rFonts w:ascii="Calibri" w:hAnsi="Calibri" w:eastAsia="Calibri"/>
          <w:sz w:val="19"/>
        </w:rPr>
        <w:t xml:space="preserve"> Из 30 заявок о заинтересованности в окне 1 британского энергетического регулятора Ofgem 22 получили только обратную связь, так как в них не был указан конкретный регуляторный барьер, а по 3 были открыты песочницы (R) [S6]. Управление Уполномоченного по информации Великобритании (ICO) не вправе освобождать от соблюдения закона, но опубликовало отчеты о выходе, которые другие компании могут использовать в качестве разъяснений [S5]. Одно окно — слабая доказательная база; EUz следует публиковать собственные данные о том, какая доля обращений завершается только разъяснениями, а какая направляется в полноформатную песочницу.</w:t>
      </w:r>
    </w:p>
    <w:p>
      <w:pPr>
        <w:numPr>
          <w:ilvl w:val="0"/>
          <w:numId w:val="100"/>
        </w:numPr>
        <w:spacing w:before="0" w:after="60" w:line="259" w:lineRule="auto"/>
      </w:pPr>
      <w:r>
        <w:rPr>
          <w:rFonts w:ascii="Calibri" w:hAnsi="Calibri" w:eastAsia="Calibri"/>
          <w:b/>
          <w:sz w:val="19"/>
        </w:rPr>
        <w:t>По ускоренным и стимулирующим трекам нет опубликованных подтверждений успеха.</w:t>
      </w:r>
      <w:r>
        <w:rPr>
          <w:rFonts w:ascii="Calibri" w:hAnsi="Calibri" w:eastAsia="Calibri"/>
          <w:sz w:val="19"/>
        </w:rPr>
        <w:t xml:space="preserve"> Для Sandbox Express регулятор MAS установил целевой срок ответа — 21 день с момента подачи полной заявки, однако данных о соблюдении этого срока не найдено (T) [S8]. В программе Sandbox Plus, предусматривающей грант для первопроходцев [S9], по состоянию на конец сентября 2025 г. не было одобрено ни одной заявки (R) [S7]; медианный срок в стандартной песочнице — около 3 месяцев с учетом времени, затраченного заявителем (октябрь 2025 г.; R) [S7]. Ни одна из рассмотренных программ не публикует прошедших аудит данных об экономии времени на получение одобрения или расходов на соблюдение требований.</w:t>
      </w:r>
    </w:p>
    <w:p>
      <w:pPr>
        <w:numPr>
          <w:ilvl w:val="0"/>
          <w:numId w:val="100"/>
        </w:numPr>
        <w:spacing w:before="0" w:after="60" w:line="259" w:lineRule="auto"/>
      </w:pPr>
      <w:r>
        <w:rPr>
          <w:rFonts w:ascii="Calibri" w:hAnsi="Calibri" w:eastAsia="Calibri"/>
          <w:b/>
          <w:sz w:val="19"/>
        </w:rPr>
        <w:t>Трансграничное тестирование и тестирование с участием нескольких регуляторов трудно реализовать.</w:t>
      </w:r>
      <w:r>
        <w:rPr>
          <w:rFonts w:ascii="Calibri" w:hAnsi="Calibri" w:eastAsia="Calibri"/>
          <w:sz w:val="19"/>
        </w:rPr>
        <w:t xml:space="preserve"> На пилотный проект Глобальной сети финансовых инноваций (GFIN) поступили 44 заявки, адресованные в общей сложности 17 регуляторам; отобраны 8 компаний, но ко времени выхода отчета об извлеченных уроках ни одна из них не приступила к тестированию (R, январь 2020 г.) [S15]. Всемирный экономический форум (WEF) организовал в ОАЭ песочницу с участием нескольких регуляторов (TradeTech); ее итоги известны только по данным организатора (P; раздел 3.6).</w:t>
      </w:r>
    </w:p>
    <w:p>
      <w:pPr>
        <w:spacing w:before="0" w:after="100" w:line="259" w:lineRule="auto"/>
      </w:pPr>
      <w:r>
        <w:rPr>
          <w:rFonts w:ascii="Calibri" w:hAnsi="Calibri" w:eastAsia="Calibri"/>
          <w:sz w:val="19"/>
        </w:rPr>
        <w:t>Тестирование решений на основе искусственного интеллекта (ИИ) расширяется: в песочнице генеративного ИИ Валютного управления Гонконга (HKMA) число сценариев использования выросло с 15 (декабрь 2024 г.) до 36 в Sandbox++ (август 2026 г.; охват распространен на компании рынка ценных бумаг и страховые компании) [S21]. Допуск — не итог: ни одна песочница для ИИ не опубликовала независимой оценки итогов. По испанскому пилотному проекту опубликован отчет о результатах (сентябрь 2026 г.) [S19]; оценка программы AI Live Testing регулятора FCA ожидается в 1-м квартале 2027 г. (T) [S44].</w:t>
      </w:r>
    </w:p>
    <w:p>
      <w:pPr>
        <w:pStyle w:val="Heading3"/>
      </w:pPr>
      <w:r>
        <w:rPr>
          <w:rFonts w:ascii="Calibri" w:hAnsi="Calibri" w:eastAsia="Calibri"/>
        </w:rPr>
        <w:t>Десять рекомендаций для EUz</w:t>
      </w:r>
    </w:p>
    <w:tbl>
      <w:tblPr>
        <w:tblW w:w="9639" w:type="dxa"/>
        <w:jc w:val="center"/>
        <w:tblLayout w:type="fixed"/>
        <w:tblLook w:firstColumn="1" w:firstRow="1" w:lastColumn="0" w:lastRow="0" w:noHBand="0" w:noVBand="1" w:val="04A0"/>
      </w:tblPr>
      <w:tblGrid>
        <w:gridCol w:w="340"/>
        <w:gridCol w:w="3345"/>
        <w:gridCol w:w="1360"/>
        <w:gridCol w:w="1644"/>
        <w:gridCol w:w="1530"/>
        <w:gridCol w:w="1417"/>
      </w:tblGrid>
      <w:tr>
        <w:trPr>
          <w:cantSplit/>
          <w:tblHeader/>
        </w:trPr>
        <w:tc>
          <w:tcPr>
            <w:tcW w:type="dxa" w:w="34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5"/>
              </w:rPr>
              <w:t>#</w:t>
            </w:r>
          </w:p>
        </w:tc>
        <w:tc>
          <w:tcPr>
            <w:tcW w:type="dxa" w:w="334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Мера [доказательная база]</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Ответственный</w:t>
            </w:r>
          </w:p>
        </w:tc>
        <w:tc>
          <w:tcPr>
            <w:tcW w:type="dxa" w:w="164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Необходимые условия</w:t>
            </w:r>
          </w:p>
        </w:tc>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Результат</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Срок</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1</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Запустить два трека</w:t>
            </w:r>
            <w:r>
              <w:rPr>
                <w:rFonts w:ascii="Calibri" w:hAnsi="Calibri" w:eastAsia="Calibri"/>
                <w:color w:val="39393B"/>
                <w:sz w:val="15"/>
              </w:rPr>
              <w:t>: сначала Трек разъяснений, затем, после принятия Правил песочницы, — набор в полноформатную песочницу с лимитом в три-четыре пилота [вывод 3; MAS: часть заявителей уже соответствовала действующим правилам]</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Решает Совет; реализует руководитель песочницы</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Правила песочницы; юрисконсульты подтверждают объем освобождений</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Правила треков; набор в полноформатную песочницу</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Решение — День 30; День запуска (целевой срок — День 90); Правила и набор — М4; первые допуски — М6</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2</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Создать Секретариат песочницы и Комитет по песочнице с полномочиями, делегированными Советом</w:t>
            </w:r>
            <w:r>
              <w:rPr>
                <w:rFonts w:ascii="Calibri" w:hAnsi="Calibri" w:eastAsia="Calibri"/>
                <w:color w:val="39393B"/>
                <w:sz w:val="15"/>
              </w:rPr>
              <w:t xml:space="preserve"> [A; аналогов с внешними экспертами, имеющими право голоса, не найдено]</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Совет (делегирование); Исполнительный директор (Секретариат)</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Юрисконсульты подтверждают делегирование; пул экспертов</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Положение о Комитете; назначен руководитель песочницы; реестр дел</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Делегирование — День 30; назначение руководителя — День 45; положение о Комитете — День 60</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3</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Опубликовать сроки принятия решений</w:t>
            </w:r>
            <w:r>
              <w:rPr>
                <w:rFonts w:ascii="Calibri" w:hAnsi="Calibri" w:eastAsia="Calibri"/>
                <w:color w:val="39393B"/>
                <w:sz w:val="15"/>
              </w:rPr>
              <w:t xml:space="preserve"> с правилами приостановления их течения; ежеквартально отчитываться о соблюдении сроков [вывод 4]</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песочницы</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Временные метки платформы</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Перечень нормативных сроков рассмотрения; ежеквартальный отчет об их соблюдении</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Нормативные сроки — к запуску; первый отчет — М6</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4</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Сделать регуляторное картирование ключевым продуктом</w:t>
            </w:r>
            <w:r>
              <w:rPr>
                <w:rFonts w:ascii="Calibri" w:hAnsi="Calibri" w:eastAsia="Calibri"/>
                <w:color w:val="39393B"/>
                <w:sz w:val="15"/>
              </w:rPr>
              <w:t>: все применимые нормы картированы, все необходимые согласия определены; EUz не освобождает от требований других регуляторов [вывод 5; SAMA: выход под руководством регулятора]</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Юрисконсульт по регуляторным вопросам</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Библиотека правил; протокол согласования не менее чем с двумя органами (мера 7)</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Записка о картировании по каждому делу</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 первой заявки в полноформатную песочницу (М4)</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5</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Определять доказательства для выхода до допуска</w:t>
            </w:r>
            <w:r>
              <w:rPr>
                <w:rFonts w:ascii="Calibri" w:hAnsi="Calibri" w:eastAsia="Calibri"/>
                <w:color w:val="39393B"/>
                <w:sz w:val="15"/>
              </w:rPr>
              <w:t>; без автоматической выдачи лицензии [вывод 1]</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Комитет по песочнице</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Варианты выхода в Правилах; консультации с лицензирующими органами</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Раздел о выходе в каждом плане тестирования</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 первого допуска (М6)</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6</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Создать минимальную цифровую песочницу</w:t>
            </w:r>
            <w:r>
              <w:rPr>
                <w:rFonts w:ascii="Calibri" w:hAnsi="Calibri" w:eastAsia="Calibri"/>
                <w:color w:val="39393B"/>
                <w:sz w:val="15"/>
              </w:rPr>
              <w:t xml:space="preserve"> (минимально жизнеспособный продукт, MVP) с программными интерфейсами приложений (API) [оценка пилотного запуска FCA Digital Sandbox (P)]</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по платформе и данным</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Открытый тендер (D7); правила обработки данных</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Платформа приема заявок; тестовая среда на синтетических данных</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Прием заявок — с запуска; тестовая среда — М6</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7</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Выбрать три пилотных проекта в песочнице (P1–P3) и один внутренний пилотный проект (P4)</w:t>
            </w:r>
            <w:r>
              <w:rPr>
                <w:rFonts w:ascii="Calibri" w:hAnsi="Calibri" w:eastAsia="Calibri"/>
                <w:color w:val="39393B"/>
                <w:sz w:val="15"/>
              </w:rPr>
              <w:t>, у каждого — ответственный от EUz и при необходимости орган, дающий согласие [TradeTech (P); HKMA; испанская песочница для ИИ]</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песочницы предлагает; Совет поддерживает (D6)</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Протокол согласования; проверка спроса (мера 10)</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Записка об отборе</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День 75</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8</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Вводить последующие треки поэтапно, на основе данных</w:t>
            </w:r>
            <w:r>
              <w:rPr>
                <w:rFonts w:ascii="Calibri" w:hAnsi="Calibri" w:eastAsia="Calibri"/>
                <w:color w:val="39393B"/>
                <w:sz w:val="15"/>
              </w:rPr>
              <w:t xml:space="preserve"> [выводы 4, 5]</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Совет</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Оценка результатов когорты 1</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Пилотный запуск Экспресс-трека и трека прототипирования — примерно с М13–М14; Трансграничный трек — во 2-й год</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Условия определяются на ежегодном обзоре (М12); решение — после завершения оценки результатов когорты 1 (около М13–М14)</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9</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Привлекать WEF к организации диалога, в том числе экспертной рецензии проекта Правил операторами песочниц</w:t>
            </w:r>
            <w:r>
              <w:rPr>
                <w:rFonts w:ascii="Calibri" w:hAnsi="Calibri" w:eastAsia="Calibri"/>
                <w:color w:val="39393B"/>
                <w:sz w:val="15"/>
              </w:rPr>
              <w:t>; за EUz остаются решения, правила, риски, отношения с регуляторами и данные [вывод 5; опубликованных результатов Глобальной платформы регуляторных инноваций WEF (GRIP) не найдено]</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Международное сотрудничество</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Перечень основных условий с результатами работ, сроками и моделью оплаты (Иллюстрация 19a)</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Решение Совета по перечню основных условий (D8)</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День 75</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10</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Провести правовой верификационный спринт</w:t>
            </w:r>
            <w:r>
              <w:rPr>
                <w:rFonts w:ascii="Calibri" w:hAnsi="Calibri" w:eastAsia="Calibri"/>
                <w:color w:val="39393B"/>
                <w:sz w:val="15"/>
              </w:rPr>
              <w:t xml:space="preserve"> по официальным текстам до разработки правил [тексты еще не изучены]</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Главный юрисконсульт по поручению Председателя</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Доступ к официальным текстам</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Подтвержденная правовая основа и заключение о полномочиях</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День 20 (правовая основа); День 25 (заключение)</w:t>
            </w:r>
          </w:p>
        </w:tc>
      </w:tr>
    </w:tbl>
    <w:p>
      <w:pPr>
        <w:spacing w:before="0" w:after="40" w:line="144" w:lineRule="auto"/>
      </w:pPr>
    </w:p>
    <w:p>
      <w:pPr>
        <w:pStyle w:val="Heading3"/>
      </w:pPr>
      <w:r>
        <w:rPr>
          <w:rFonts w:ascii="Calibri" w:hAnsi="Calibri" w:eastAsia="Calibri"/>
        </w:rPr>
        <w:t>Ответы на 14 вопросов руководства</w:t>
      </w:r>
    </w:p>
    <w:tbl>
      <w:tblPr>
        <w:tblW w:w="9639" w:type="dxa"/>
        <w:jc w:val="center"/>
        <w:tblLayout w:type="fixed"/>
        <w:tblLook w:firstColumn="1" w:firstRow="1" w:lastColumn="0" w:lastRow="0" w:noHBand="0" w:noVBand="1" w:val="04A0"/>
      </w:tblPr>
      <w:tblGrid>
        <w:gridCol w:w="340"/>
        <w:gridCol w:w="1871"/>
        <w:gridCol w:w="6123"/>
        <w:gridCol w:w="1304"/>
      </w:tblGrid>
      <w:tr>
        <w:trPr>
          <w:cantSplit/>
          <w:tblHeader/>
        </w:trPr>
        <w:tc>
          <w:tcPr>
            <w:tcW w:type="dxa" w:w="34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6"/>
              </w:rPr>
              <w:t>#</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Вопрос</w:t>
            </w:r>
          </w:p>
        </w:tc>
        <w:tc>
          <w:tcPr>
            <w:tcW w:type="dxa" w:w="6123"/>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Ответ (подтверждение)</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Ссылка</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Какие песочницы добились измеримого успеха?</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Получение лицензий по итогам тестирования в MAS и SAMA при разных методиках подсчета (R); одно исследование связывает допуск в песочницу FCA Великобритании с привлечением финансирования (I). См. выводы 1–2.</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Гл. 2; 3.1, 3.2</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2</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Каковы фактические результаты?</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Реальные, но скромные; касаются главным образом получения лицензий, финансирования и разъяснений (выводы 1–3).</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Гл. 2; илл. 1, 3</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3</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Какие модели привлекли компании или обеспечили выход на рынок?</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Привлечение компаний: рост числа заявок в DFSA (Иллюстрация 3) и предложений в песочницу генеративного ИИ HKMA — с более чем 40 примерно до 100 при более широком охвате (R) [S14][S21]. Выход на рынок документально подтвержден там, где по итогам тестирования участник получал одну из действующих лицензий (MAS, SAMA; Sarwa в DFSA). Контрпример: Австралия (Иллюстрация 3a).</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3.2, 3.5, 3.7</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4</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Какие механизмы сократили сроки одобрения, затраты на соблюдение требований или снизили неопределенность?</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Ни одна из рассмотренных программ не публикует измеренных показателей экономии времени или затрат (вывод 4). Снижение неопределенности задокументировано лишь на уровне результатов работ (вывод 3; отчеты ЕС о лучших практиках [S17]).</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Гл. 2, п. 1; 4.2, кейс B</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5</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Какие элементы являются инновационными?</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Цифровые песочницы на синтетических данных, тестирование ИИ в реальных условиях, межрегуляторное и трансграничное тестирование, прототипирование регулирования. По большинству из них данных об эффекте нет.</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4.1; илл. 4</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6</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Какие практики наиболее важны для EUz?</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Разъяснения без освобождений от требований; доказательства для выхода определяются при допуске; публикуемые отчеты о выводах; отслеживание итогов; минимальная цифровая песочница (A).</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Илл. 5</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7</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Как должна быть устроена песочница?</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Предлагается (A): Совет устанавливает Правила песочницы и утверждает категории освобождений от требований. Комитет по песочнице, действующий по делегированию Совета (четыре голоса: председатель с решающим голосом, главный юрисконсульт или его представитель, два независимых эксперта), принимает решения о допуске, условиях и выходе. Секретариат численностью около шести человек (плановое допущение) во главе с руководителем песочницы ведет дела и управляет платформой. Если освобождение от требования относится к компетенции национального регулятора, необходимо его согласие. В 1-й год — два трека: Трек разъяснений с Дня запуска и набор в полноформатную песочницу с М4.</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5.1, 5.3; илл. 6, 7, 10</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8</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Что EUz следует предлагать помимо освобождений от требований?</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Письменные позиции регулятора, закрепленный куратор проекта, опубликованные сроки принятия решений, записки о регуляторном картировании, среда с синтетическими данными, организация контактов с лицензирующими органами (A).</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5.4; илл. 11, 11a</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9</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Как взаимодействуют регуляторы, эксперты и компании?</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Регуляторы: место без права голоса; без согласия регулятора тест не проводится (согласие не презюмируется); ежеквартальный форум. Эксперты: два голоса в Комитете; не голосуют по делам, экспертизу которых проводили. Компании: закрепленный куратор проекта; ежемесячная отчетность.</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5.8; илл. 15, 15a</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10</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Что должно работать при запуске?</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В День запуска (около М3): Трек разъяснений, платформа приема заявок, опубликованные нормативные сроки рассмотрения, назначенный состав Комитета, проект Правил песочницы, вынесенный на обсуждение, протокол согласования не менее чем с двумя органами. Набор в полноформатную песочницу — после принятия Правил (М4); первые допуски — М6.</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5.9; илл. 16, 16a</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11</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Что можно внедрить позднее?</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Треки из рекомендации 8; демо-дни для инвесторов (A; данных не найдено).</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5.3; илл. 10, 16</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12</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Какие пилоты могут показать успех на раннем этапе?</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P4 (внутренняя проверка отчетности с помощью ИИ): итог зависит от самого EUz, поэтому этот пилот, вероятно, даст самый ранний результат, если к М5 будет выполнено предварительное условие о представлении отчетности; тестирование — М6–М11 (A). P1–P3 зависят от согласия национального органа; у P2 наибольший риск задержки (A).</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Гл. 7; илл. 21, 21a</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13</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Каким может быть вклад WEF или других партнеров?</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Как в рекомендации 9, а также факультативная рецензия проекта пилота 2; ни одна контрольная точка EUz не зависит от WEF.</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Гл. 6; илл. 18–20, 19a</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14</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Какие решения необходимы?</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Иллюстрация 25; краткое содержание ее графы «Запрос на данном заседании» приведено ниже.</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8.5; илл. 25</w:t>
            </w:r>
          </w:p>
        </w:tc>
      </w:tr>
    </w:tbl>
    <w:p>
      <w:pPr>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9"/>
              </w:rPr>
              <w:t>Вопросы, выносимые на решение Управляющего совета (подробнее — раздел 8.5, Иллюстрация 25)</w:t>
            </w:r>
          </w:p>
          <w:p>
            <w:pPr>
              <w:spacing w:before="0" w:after="40" w:line="252" w:lineRule="auto"/>
            </w:pPr>
            <w:r>
              <w:rPr>
                <w:rFonts w:ascii="Calibri" w:hAnsi="Calibri" w:eastAsia="Calibri"/>
                <w:b/>
                <w:sz w:val="18"/>
              </w:rPr>
              <w:t>На данном заседании:</w:t>
            </w:r>
            <w:r>
              <w:rPr>
                <w:rFonts w:ascii="Calibri" w:hAnsi="Calibri" w:eastAsia="Calibri"/>
                <w:sz w:val="18"/>
              </w:rPr>
              <w:t xml:space="preserve"> одобрить в принципе D1 (операционная модель и последовательность запуска треков) и D2 (полномочия по допуску); утвердить штатную численность по D3 и поручить подготовку сметы расходов (День 45); дать поручение о правовой верификации по D4a (День 20); поддержать критерии отбора по D6 для пилотных проектов песочницы P1–P3 и внутреннего пилотного проекта P4; поручить по D8 проработку сотрудничества с WEF и альтернативных вариантов; установить по D11 условие выпуска английской редакции отчета.</w:t>
            </w:r>
          </w:p>
          <w:p>
            <w:pPr>
              <w:spacing w:before="0" w:after="40" w:line="252" w:lineRule="auto"/>
            </w:pPr>
            <w:r>
              <w:rPr>
                <w:rFonts w:ascii="Calibri" w:hAnsi="Calibri" w:eastAsia="Calibri"/>
                <w:b/>
                <w:sz w:val="18"/>
              </w:rPr>
              <w:t>Вносятся на решение позднее:</w:t>
            </w:r>
            <w:r>
              <w:rPr>
                <w:rFonts w:ascii="Calibri" w:hAnsi="Calibri" w:eastAsia="Calibri"/>
                <w:sz w:val="18"/>
              </w:rPr>
              <w:t xml:space="preserve"> постановления по D1 и D2 (после заключения по D4a) — День 30; смета расходов по D3 — День 45; D5 (меры защиты, ответственность и комплаенс), D9 (политика публикации), D12 (политика согласия регуляторов и перенаправления), а также положение о Комитете и кандидатуры его членов (мера 6) — День 60; D4b (проект Правил песочницы), портфель по D6 (для поддержки) и перечень основных условий по D8 — День 75; принятие окончательных Правил песочницы (D4b) — М4. </w:t>
            </w:r>
            <w:r>
              <w:rPr>
                <w:rFonts w:ascii="Calibri" w:hAnsi="Calibri" w:eastAsia="Calibri"/>
                <w:b/>
                <w:sz w:val="18"/>
              </w:rPr>
              <w:t>Для сведения:</w:t>
            </w:r>
            <w:r>
              <w:rPr>
                <w:rFonts w:ascii="Calibri" w:hAnsi="Calibri" w:eastAsia="Calibri"/>
                <w:sz w:val="18"/>
              </w:rPr>
              <w:t xml:space="preserve"> D7 (цифровая платформа) и D10 (система ключевых показателей эффективности, KPI).</w:t>
            </w:r>
          </w:p>
          <w:p>
            <w:pPr>
              <w:spacing w:before="0" w:after="40" w:line="252" w:lineRule="auto"/>
            </w:pPr>
            <w:r>
              <w:rPr>
                <w:rFonts w:ascii="Calibri" w:hAnsi="Calibri" w:eastAsia="Calibri"/>
                <w:sz w:val="18"/>
              </w:rPr>
              <w:t>Постановления Совета требуются по D1, D2, D3, D4b, D5, D8, D9 и D12; Председатель дает поручение по D4a и утверждает D11.</w:t>
            </w:r>
          </w:p>
          <w:p>
            <w:pPr>
              <w:spacing w:before="0" w:after="40" w:line="252" w:lineRule="auto"/>
            </w:pPr>
            <w:r>
              <w:rPr>
                <w:rFonts w:ascii="Calibri" w:hAnsi="Calibri" w:eastAsia="Calibri"/>
                <w:b/>
                <w:sz w:val="18"/>
              </w:rPr>
              <w:t>Сроки.</w:t>
            </w:r>
            <w:r>
              <w:rPr>
                <w:rFonts w:ascii="Calibri" w:hAnsi="Calibri" w:eastAsia="Calibri"/>
                <w:sz w:val="18"/>
              </w:rPr>
              <w:t xml:space="preserve"> План на 90 дней (раздел 8.1) завершается в День запуска (цель — День 90). Если Совет примет настоящий отчет в конце октября 2026 г., День запуска придется примерно на 21 января 2027 г. — дату вступления в силу Конституционного закона (ЗРУ-1169), о которой сообщает одно издание (Gazeta.uz; S) [S27]; эту дату еще предстоит сверить с заключительными положениями закона (Приложение D, шаг 1). Если День 0 наступит позже, День запуска сдвинется вместе с ним; контрольная точка раздела 5.9 при этом сохраняется. До вступления закона в силу действующей правовой основой, предположительно, остается нормативная база на уровне указов (подлежит подтверждению юрисконсультами). Первые допуски в полноформатную песочницу последуют на 6-м месяце.</w:t>
            </w:r>
          </w:p>
        </w:tc>
      </w:tr>
    </w:tbl>
    <w:p>
      <w:pPr>
        <w:spacing w:before="0" w:after="40" w:line="144" w:lineRule="auto"/>
      </w:pPr>
    </w:p>
    <w:p>
      <w:pPr>
        <w:pStyle w:val="Heading1"/>
        <w:pageBreakBefore/>
        <w:pBdr>
          <w:bottom w:val="single" w:sz="12" w:space="3" w:color="009162"/>
        </w:pBdr>
      </w:pPr>
      <w:r>
        <w:rPr>
          <w:rFonts w:ascii="Calibri" w:hAnsi="Calibri" w:eastAsia="Calibri"/>
        </w:rPr>
        <w:t>2. Краткий обзор международных результатов: задокументированные результаты реальны, но скромны и касаются главным образом лицензирования, финансирования и разъяснений</w:t>
      </w:r>
    </w:p>
    <w:p>
      <w:pPr>
        <w:pStyle w:val="ExhibitTitle"/>
      </w:pPr>
      <w:r>
        <w:rPr>
          <w:rFonts w:ascii="Calibri" w:hAnsi="Calibri" w:eastAsia="Calibri"/>
        </w:rPr>
        <w:t>Иллюстрация 1. Наиболее весомые задокументированные результаты и ключевые пробелы (по опубликованным данным; сверка с полными текстами предстоит, Приложение D)</w:t>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15 из 19</w:t>
            </w:r>
          </w:p>
          <w:p>
            <w:pPr>
              <w:spacing w:before="0" w:after="20" w:line="245" w:lineRule="auto"/>
            </w:pPr>
            <w:r>
              <w:rPr>
                <w:rFonts w:ascii="Calibri" w:hAnsi="Calibri" w:eastAsia="Calibri"/>
                <w:b/>
                <w:color w:val="39393B"/>
                <w:sz w:val="16"/>
              </w:rPr>
              <w:t>Принятые MAS компании, успешно вышедшие из песочницы и получившие лицензию</w:t>
            </w:r>
          </w:p>
          <w:p>
            <w:pPr>
              <w:spacing w:before="0" w:after="0" w:line="240" w:lineRule="auto"/>
            </w:pPr>
            <w:r>
              <w:rPr>
                <w:rFonts w:ascii="Calibri" w:hAnsi="Calibri" w:eastAsia="Calibri"/>
                <w:color w:val="6B6E70"/>
                <w:sz w:val="14"/>
              </w:rPr>
              <w:t>Сингапур, нарастающим итогом на конец сент. 2025; охват по трекам неясен. R [S7]</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+15% | +50%</w:t>
            </w:r>
          </w:p>
          <w:p>
            <w:pPr>
              <w:spacing w:before="0" w:after="20" w:line="245" w:lineRule="auto"/>
            </w:pPr>
            <w:r>
              <w:rPr>
                <w:rFonts w:ascii="Calibri" w:hAnsi="Calibri" w:eastAsia="Calibri"/>
                <w:b/>
                <w:color w:val="39393B"/>
                <w:sz w:val="16"/>
              </w:rPr>
              <w:t>Привлеченный капитал | вероятность привлечения капитала после допуска в британскую песочницу</w:t>
            </w:r>
          </w:p>
          <w:p>
            <w:pPr>
              <w:spacing w:before="0" w:after="0" w:line="240" w:lineRule="auto"/>
            </w:pPr>
            <w:r>
              <w:rPr>
                <w:rFonts w:ascii="Calibri" w:hAnsi="Calibri" w:eastAsia="Calibri"/>
                <w:color w:val="6B6E70"/>
                <w:sz w:val="14"/>
              </w:rPr>
              <w:t>Великобритания, данные за 2014–2019; одно рецензируемое исследование. I [S2]</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172 из 629</w:t>
            </w:r>
          </w:p>
          <w:p>
            <w:pPr>
              <w:spacing w:before="0" w:after="20" w:line="245" w:lineRule="auto"/>
            </w:pPr>
            <w:r>
              <w:rPr>
                <w:rFonts w:ascii="Calibri" w:hAnsi="Calibri" w:eastAsia="Calibri"/>
                <w:b/>
                <w:color w:val="39393B"/>
                <w:sz w:val="16"/>
              </w:rPr>
              <w:t>Заявки, принятые FCA, с 2016 по дек. 2023</w:t>
            </w:r>
          </w:p>
          <w:p>
            <w:pPr>
              <w:spacing w:before="0" w:after="0" w:line="240" w:lineRule="auto"/>
            </w:pPr>
            <w:r>
              <w:rPr>
                <w:rFonts w:ascii="Calibri" w:hAnsi="Calibri" w:eastAsia="Calibri"/>
                <w:color w:val="6B6E70"/>
                <w:sz w:val="14"/>
              </w:rPr>
              <w:t>Великобритания. R [S3]. Принято 27% (D)</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3 месяца</w:t>
            </w:r>
          </w:p>
          <w:p>
            <w:pPr>
              <w:spacing w:before="0" w:after="20" w:line="245" w:lineRule="auto"/>
            </w:pPr>
            <w:r>
              <w:rPr>
                <w:rFonts w:ascii="Calibri" w:hAnsi="Calibri" w:eastAsia="Calibri"/>
                <w:b/>
                <w:color w:val="39393B"/>
                <w:sz w:val="16"/>
              </w:rPr>
              <w:t>Примерный медианный срок MAS от подачи заявки до решения, включая время на ответ заявителя</w:t>
            </w:r>
          </w:p>
          <w:p>
            <w:pPr>
              <w:spacing w:before="0" w:after="0" w:line="240" w:lineRule="auto"/>
            </w:pPr>
            <w:r>
              <w:rPr>
                <w:rFonts w:ascii="Calibri" w:hAnsi="Calibri" w:eastAsia="Calibri"/>
                <w:color w:val="6B6E70"/>
                <w:sz w:val="14"/>
              </w:rPr>
              <w:t>Сингапур, данные опубликованы в окт. 2025. R [S7]</w:t>
            </w:r>
          </w:p>
        </w:tc>
      </w:tr>
    </w:tbl>
    <w:p>
      <w:pPr>
        <w:spacing w:before="0" w:after="60" w:line="120" w:lineRule="auto"/>
      </w:pP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0</w:t>
            </w:r>
          </w:p>
          <w:p>
            <w:pPr>
              <w:spacing w:before="0" w:after="20" w:line="245" w:lineRule="auto"/>
            </w:pPr>
            <w:r>
              <w:rPr>
                <w:rFonts w:ascii="Calibri" w:hAnsi="Calibri" w:eastAsia="Calibri"/>
                <w:b/>
                <w:color w:val="39393B"/>
                <w:sz w:val="16"/>
              </w:rPr>
              <w:t>Одобренные заявки в Sandbox Plus (грантовый трек, с янв. 2022)</w:t>
            </w:r>
          </w:p>
          <w:p>
            <w:pPr>
              <w:spacing w:before="0" w:after="0" w:line="240" w:lineRule="auto"/>
            </w:pPr>
            <w:r>
              <w:rPr>
                <w:rFonts w:ascii="Calibri" w:hAnsi="Calibri" w:eastAsia="Calibri"/>
                <w:color w:val="6B6E70"/>
                <w:sz w:val="14"/>
              </w:rPr>
              <w:t>Сингапур, на конец сент. 2025. R [S7]</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0 из 8</w:t>
            </w:r>
          </w:p>
          <w:p>
            <w:pPr>
              <w:spacing w:before="0" w:after="20" w:line="245" w:lineRule="auto"/>
            </w:pPr>
            <w:r>
              <w:rPr>
                <w:rFonts w:ascii="Calibri" w:hAnsi="Calibri" w:eastAsia="Calibri"/>
                <w:b/>
                <w:color w:val="39393B"/>
                <w:sz w:val="16"/>
              </w:rPr>
              <w:t>Отобранные GFIN компании, начавшие трансграничное тестирование</w:t>
            </w:r>
          </w:p>
          <w:p>
            <w:pPr>
              <w:spacing w:before="0" w:after="0" w:line="240" w:lineRule="auto"/>
            </w:pPr>
            <w:r>
              <w:rPr>
                <w:rFonts w:ascii="Calibri" w:hAnsi="Calibri" w:eastAsia="Calibri"/>
                <w:color w:val="6B6E70"/>
                <w:sz w:val="14"/>
              </w:rPr>
              <w:t>17 регуляторов; отчет по пилоту, янв. 2020. R [S15]</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22 из 30</w:t>
            </w:r>
          </w:p>
          <w:p>
            <w:pPr>
              <w:spacing w:before="0" w:after="20" w:line="245" w:lineRule="auto"/>
            </w:pPr>
            <w:r>
              <w:rPr>
                <w:rFonts w:ascii="Calibri" w:hAnsi="Calibri" w:eastAsia="Calibri"/>
                <w:b/>
                <w:color w:val="39393B"/>
                <w:sz w:val="16"/>
              </w:rPr>
              <w:t>Заявки о заинтересованности в окне 1 Ofgem, получившие только обратную связь (конкретный барьер не выявлен); по 3 заявкам открыты песочницы</w:t>
            </w:r>
          </w:p>
          <w:p>
            <w:pPr>
              <w:spacing w:before="0" w:after="0" w:line="240" w:lineRule="auto"/>
            </w:pPr>
            <w:r>
              <w:rPr>
                <w:rFonts w:ascii="Calibri" w:hAnsi="Calibri" w:eastAsia="Calibri"/>
                <w:color w:val="6B6E70"/>
                <w:sz w:val="14"/>
              </w:rPr>
              <w:t>Великобритания, опубл. в сент. 2018. R [S6]</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Ни одна из 14</w:t>
            </w:r>
          </w:p>
          <w:p>
            <w:pPr>
              <w:spacing w:before="0" w:after="20" w:line="245" w:lineRule="auto"/>
            </w:pPr>
            <w:r>
              <w:rPr>
                <w:rFonts w:ascii="Calibri" w:hAnsi="Calibri" w:eastAsia="Calibri"/>
                <w:b/>
                <w:color w:val="39393B"/>
                <w:sz w:val="16"/>
              </w:rPr>
              <w:t>Программы из Иллюстрации 3, публикующие прошедшие аудит данные об экономии времени на одобрение или затрат на соблюдение требований</w:t>
            </w:r>
          </w:p>
          <w:p>
            <w:pPr>
              <w:spacing w:before="0" w:after="0" w:line="240" w:lineRule="auto"/>
            </w:pPr>
            <w:r>
              <w:rPr>
                <w:rFonts w:ascii="Calibri" w:hAnsi="Calibri" w:eastAsia="Calibri"/>
                <w:color w:val="6B6E70"/>
                <w:sz w:val="14"/>
              </w:rPr>
              <w:t>Пробел в доказательной базе (по рассмотренным источникам); см. раздел 2, п. 1</w:t>
            </w:r>
          </w:p>
        </w:tc>
      </w:tr>
    </w:tbl>
    <w:p>
      <w:pPr>
        <w:spacing w:before="0" w:after="60" w:line="120" w:lineRule="auto"/>
      </w:pPr>
    </w:p>
    <w:p>
      <w:pPr>
        <w:pStyle w:val="ExhibitTitle"/>
      </w:pPr>
      <w:r>
        <w:rPr>
          <w:rFonts w:ascii="Calibri" w:hAnsi="Calibri" w:eastAsia="Calibri"/>
        </w:rPr>
        <w:t>Иллюстрация 2. Избирательность сильно различается: доля допущенных заявок в разных программах — примерно от 10% до 50%</w:t>
      </w:r>
    </w:p>
    <w:p>
      <w:pPr>
        <w:keepNext/>
        <w:spacing w:before="0" w:after="40" w:line="259" w:lineRule="auto"/>
        <w:jc w:val="center"/>
      </w:pPr>
      <w:r>
        <w:drawing>
          <wp:inline xmlns:a="http://schemas.openxmlformats.org/drawingml/2006/main" xmlns:pic="http://schemas.openxmlformats.org/drawingml/2006/picture">
            <wp:extent cx="5832000" cy="2118130"/>
            <wp:docPr id="1" name="Picture 1"/>
            <wp:cNvGraphicFramePr>
              <a:graphicFrameLocks noChangeAspect="1"/>
            </wp:cNvGraphicFramePr>
            <a:graphic>
              <a:graphicData uri="http://schemas.openxmlformats.org/drawingml/2006/picture">
                <pic:pic>
                  <pic:nvPicPr>
                    <pic:cNvPr id="0" name="f1_admission.png"/>
                    <pic:cNvPicPr/>
                  </pic:nvPicPr>
                  <pic:blipFill>
                    <a:blip r:embed="rId9"/>
                    <a:stretch>
                      <a:fillRect/>
                    </a:stretch>
                  </pic:blipFill>
                  <pic:spPr>
                    <a:xfrm>
                      <a:off x="0" y="0"/>
                      <a:ext cx="5832000" cy="2118130"/>
                    </a:xfrm>
                    <a:prstGeom prst="rect"/>
                  </pic:spPr>
                </pic:pic>
              </a:graphicData>
            </a:graphic>
          </wp:inline>
        </w:drawing>
      </w:r>
    </w:p>
    <w:p>
      <w:pPr>
        <w:spacing w:before="40" w:after="160" w:line="240" w:lineRule="auto"/>
      </w:pPr>
      <w:r>
        <w:rPr>
          <w:rFonts w:ascii="Calibri" w:hAnsi="Calibri" w:eastAsia="Calibri"/>
          <w:color w:val="6B6E70"/>
          <w:sz w:val="15"/>
        </w:rPr>
        <w:t>Расчет (D) по опубликованным количественным данным: FCA, с 2016 по дек. 2023 [S3]; DFSA, по июн. 2021 [S14]; ADGM, по авг. 2019 [S49]; Европейская блокчейн-песочница, когорта 1 [S17]; ASIC, дата среза данных неизвестна [S24]; Ofgem, окно 1 [S6]. Зеленый — данные регулятора (R); бирюзовый — изложение обзора в прессе (S). Определения (песочницы или допуски к тестированию) и периоды различаются: это диапазон, а не рейтинг.</w:t>
      </w:r>
    </w:p>
    <w:p>
      <w:pPr>
        <w:pStyle w:val="ExhibitTitle"/>
      </w:pPr>
      <w:r>
        <w:rPr>
          <w:rFonts w:ascii="Calibri" w:hAnsi="Calibri" w:eastAsia="Calibri"/>
        </w:rPr>
        <w:t>Иллюстрация 3. Карта показателей международных программ: только опубликованные данные; определения различаются по строкам</w:t>
      </w:r>
    </w:p>
    <w:tbl>
      <w:tblPr>
        <w:tblW w:w="9639" w:type="dxa"/>
        <w:jc w:val="center"/>
        <w:tblLayout w:type="fixed"/>
        <w:tblLook w:firstColumn="1" w:firstRow="1" w:lastColumn="0" w:lastRow="0" w:noHBand="0" w:noVBand="1" w:val="04A0"/>
      </w:tblPr>
      <w:tblGrid>
        <w:gridCol w:w="1474"/>
        <w:gridCol w:w="1927"/>
        <w:gridCol w:w="1814"/>
        <w:gridCol w:w="1360"/>
        <w:gridCol w:w="1587"/>
        <w:gridCol w:w="1474"/>
      </w:tblGrid>
      <w:tr>
        <w:trPr>
          <w:cantSplit/>
          <w:tblHeader/>
        </w:trPr>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Юрисдикция / программа</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Компании / пилоты</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Коммерциализация</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Срок рассмотрения</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Регуляторные результаты</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Ключевой механизм</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песочница FCA (2016)</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629 заявок, принято 172, по дек. 2023 [S3]</w:t>
            </w:r>
          </w:p>
          <w:p>
            <w:pPr>
              <w:spacing w:before="0" w:after="20" w:line="245" w:lineRule="auto"/>
            </w:pPr>
            <w:r>
              <w:rPr>
                <w:rFonts w:ascii="Calibri" w:hAnsi="Calibri" w:eastAsia="Calibri"/>
                <w:color w:val="39393B"/>
                <w:sz w:val="14"/>
              </w:rPr>
              <w:t>Фин. год 2025/26: 142 заявки, принято 14 (предварительно) [S3]; в 2025 г. принято 13% [S40]</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Когорта 1: около 90% завершивших тестирование продолжили подготовку к запуску; не менее 40% получили инвестиции [S1]</w:t>
            </w:r>
          </w:p>
          <w:p>
            <w:pPr>
              <w:spacing w:before="0" w:after="20" w:line="245" w:lineRule="auto"/>
            </w:pPr>
            <w:r>
              <w:rPr>
                <w:rFonts w:ascii="Calibri" w:hAnsi="Calibri" w:eastAsia="Calibri"/>
                <w:color w:val="39393B"/>
                <w:sz w:val="14"/>
              </w:rPr>
              <w:t>+15% к привлеченному капиталу (I) [S2]</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Ориентировочно: проверка соответствия критериям допуска — около 2–3 недель; полная оценка — около 8–12 недель (T) [S39]</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 Инструменты: освобождение от применения или изменение только правил FCA; письма о неприменении мер принуждения, которые не ограничивают ответственность перед потребителями [S1]</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Тестирование в реальных условиях с ограниченным разрешением</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Сингапур: песочница MAS / Express / Plus</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Принято 19, с 2016 по конец сент. 2025; учтен ли Express, неясно [S7]</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15 успешно вышли из песочницы и получили лицензию; 1 затем прекратила работу [S7]</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Медиана — около 3 месяцев с учетом времени заявителя [S7]; Express: целевой срок 21 день, данных о соблюдении нет (T) [S8]</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раскрывается</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Три трека. Plus: грант первопроходцам в размере 50% признаваемых расходов, не более S$500 000 [S9]</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ОАЭ: RegLab ADGM (2016)</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Допущено 32 из 83 заявок, с мая 2017 по авг. 2019 [S49]</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Названы 2 участника, успешно вышедшие из песочницы и работающие на рынке; доля получивших лицензию не опубликована [S49]</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раскрывается</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Условное разрешение; набор когортами</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ОАЭ: DFSA ITL (2017)</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Принято 51 из 105 (июн. 2021); 67 из 130 (июл. 2022) [S14]</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 из 51 принятой компании успешно вышли из песочницы (срез на июн. 2021) [S14]</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Обычно 10–12 недель с момента подачи полной заявки (ориентировочно, T) [S50]</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Тестовая лицензия сроком до 12 месяцев; непрерывный прием заявок с 2022 г.</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песочница ICO (2019)</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Отобрано 10 примерно из 64–65 [S5]</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Неприменимо</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раскрывается</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Опубликованные отчеты о выходе [S5]</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Разъяснения без освобождения от требований закона</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песочница Ofgem (2017)</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30 заявок о заинтересованности, 3 песочницы, 22 — только обратная связь (окно 1) [S6]</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раскрывается</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Число изменений правил не подтверждено</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Разбор заявок: сначала консультация, затем отступление от правил</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ЕС: блокчейн-песочница (2023)</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87 заявок, допущено 20 (когорта 1); 60 сценариев использования в 3 когортах [S17]</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Показатели итогов не найдены</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Неприменимо</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&gt;50 регуляторов в когорте 1; отчет о лучших практиках (февр. 2026) [S17]</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Необязывающий трансграничный диалог; без освобождений от требований</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Япония: межотраслевая песочница (2018)</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Более 30 проектов одобрено к 2024 г. (МВФ) [S20]; 33 плана с участием 152 организаций к марту 2025 г. (Офис Кабинета министров, по опубликованным данным)</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раскрывается</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Опубликованных сводных данных о последовавших реформах не найдено</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Освобождение от требований для конкретного проекта со сбором данных</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HKMA: FSS и GenAI Sandbox</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FSS: около 234 инициатив протестировано к концу 2021 г. [S21]</w:t>
            </w:r>
          </w:p>
          <w:p>
            <w:pPr>
              <w:spacing w:before="0" w:after="20" w:line="245" w:lineRule="auto"/>
            </w:pPr>
            <w:r>
              <w:rPr>
                <w:rFonts w:ascii="Calibri" w:hAnsi="Calibri" w:eastAsia="Calibri"/>
                <w:color w:val="39393B"/>
                <w:sz w:val="14"/>
              </w:rPr>
              <w:t>GenAI: 15 (дек. 2024), 27 (окт. 2025), затем 36 сценариев использования в Sandbox++ (авг. 2026; расширенный охват) [S21]</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раскрывается</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Надзорная песочница; когорты ИИ-проектов с технологическими партнерами</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Саудовская Аравия: SAMA (2018)</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45 получили разрешение, май 2023 [S22]</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18 успешно вышли из песочницы, май 2023; нарастающим итогом, а не доля завершивших [S22]</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раскрывается</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Уровни разрешений; выход под руководством регулятора</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Южная Корея: финансовая песочница (2019)</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&gt;300 услугам присвоен статус, март 2024 [S23]</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Заявлено о 2 220 рабочих местах и инвестициях на 6,03 трлн вон (FSC, март 2024; методика не изучалась) [S23]</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Решение в срок до 120 дней (S) [S23]</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Присвоение статуса по закону на ограниченный срок</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Австралия: Enhanced Sandbox ASIC (2020)</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103 заявки, принято 19 (S; дата среза данных неизвестна) [S24]</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 бывший участник позднее получил лицензию; из 16 вышедших 12 закрылись (S, изложение обзора в прессе) [S24]</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раскрывается</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До 24 месяцев, лимиты рисков</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TradeTech (WEF и ОАЭ, 2024)</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8 стартапов; WEF упоминает 4 регулятора ОАЭ, но в доступных источниках они не названы (P) [S11]</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Неприменимо</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Межрегуляторный тест под эгидой организатора</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Трансграничный пилот GFIN (2018–20)</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44 заявки, 17 регуляторов, отобрано 8 [S15]</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Ни одна не начала тестирование ко времени отчета (янв. 2020) [S15]</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Неприменимо</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Отчет об извлеченных уроках [S15]; последующие когорты тестирования не подтверждены</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Единая заявка для нескольких регуляторов</w:t>
            </w:r>
          </w:p>
        </w:tc>
      </w:tr>
    </w:tbl>
    <w:p>
      <w:pPr>
        <w:spacing w:before="0" w:after="40" w:line="144" w:lineRule="auto"/>
      </w:pPr>
    </w:p>
    <w:p>
      <w:pPr>
        <w:spacing w:before="40" w:after="160" w:line="240" w:lineRule="auto"/>
      </w:pPr>
      <w:r>
        <w:rPr>
          <w:rFonts w:ascii="Calibri" w:hAnsi="Calibri" w:eastAsia="Calibri"/>
          <w:color w:val="6B6E70"/>
          <w:sz w:val="15"/>
        </w:rPr>
        <w:t>По данным программ или регуляторов (R), если не указано иное; T — опубликованный целевой или ориентировочный показатель, а не измеренный результат. «Не подтверждено» и «Не раскрывается» — см. раздел «Об отчете». Корея: приведенная в прессе в июне 2026 г. цифра в 1 072 присвоенных статуса (источник не зафиксирован, охват не определен) не используется: расхождение не устранено (Приложение B). Строки не ранжированы; подробнее — в Приложении A.</w:t>
      </w:r>
    </w:p>
    <w:p>
      <w:pPr>
        <w:pStyle w:val="Heading2"/>
      </w:pPr>
      <w:r>
        <w:rPr>
          <w:rFonts w:ascii="Calibri" w:hAnsi="Calibri" w:eastAsia="Calibri"/>
        </w:rPr>
        <w:t>Что показывают данные</w:t>
      </w:r>
    </w:p>
    <w:p>
      <w:pPr>
        <w:numPr>
          <w:ilvl w:val="0"/>
          <w:numId w:val="101"/>
        </w:numPr>
        <w:spacing w:before="0" w:after="60" w:line="259" w:lineRule="auto"/>
      </w:pPr>
      <w:r>
        <w:rPr>
          <w:rFonts w:ascii="Calibri" w:hAnsi="Calibri" w:eastAsia="Calibri"/>
          <w:b/>
          <w:sz w:val="19"/>
        </w:rPr>
        <w:t>Итоги измеряются по получению лицензий и финансирования и редко — по влиянию на потребителей или издержки.</w:t>
      </w:r>
      <w:r>
        <w:rPr>
          <w:rFonts w:ascii="Calibri" w:hAnsi="Calibri" w:eastAsia="Calibri"/>
          <w:sz w:val="19"/>
        </w:rPr>
        <w:t xml:space="preserve"> Ни один из рассмотренных источников не публикует аудированных данных об экономии затрат на соблюдение требований или времени. EUz следует начиная с первой когорты собирать базовые значения по оценкам участников, помечая их как оценки.</w:t>
      </w:r>
    </w:p>
    <w:p>
      <w:pPr>
        <w:numPr>
          <w:ilvl w:val="0"/>
          <w:numId w:val="101"/>
        </w:numPr>
        <w:spacing w:before="0" w:after="60" w:line="259" w:lineRule="auto"/>
      </w:pPr>
      <w:r>
        <w:rPr>
          <w:rFonts w:ascii="Calibri" w:hAnsi="Calibri" w:eastAsia="Calibri"/>
          <w:b/>
          <w:sz w:val="19"/>
        </w:rPr>
        <w:t>Допуск — это сигнал.</w:t>
      </w:r>
      <w:r>
        <w:rPr>
          <w:rFonts w:ascii="Calibri" w:hAnsi="Calibri" w:eastAsia="Calibri"/>
          <w:sz w:val="19"/>
        </w:rPr>
        <w:t xml:space="preserve"> Британские данные свидетельствуют об эффекте для привлечения финансирования и эффекте сертификации, хотя отбор неслучаен, а в 2017 г. само FCA заявило, что судить об общем эффекте, особенно о влиянии на конкуренцию, еще рано [S1][S2]. Когорта EUz, сформированная без строгого отбора, подорвала бы этот сигнал.</w:t>
      </w:r>
    </w:p>
    <w:p>
      <w:pPr>
        <w:numPr>
          <w:ilvl w:val="0"/>
          <w:numId w:val="101"/>
        </w:numPr>
        <w:spacing w:before="0" w:after="60" w:line="259" w:lineRule="auto"/>
      </w:pPr>
      <w:r>
        <w:rPr>
          <w:rFonts w:ascii="Calibri" w:hAnsi="Calibri" w:eastAsia="Calibri"/>
          <w:b/>
          <w:sz w:val="19"/>
        </w:rPr>
        <w:t>Пропускная способность тестирования в реальных условиях невелика там, где отслеживается выход из песочницы</w:t>
      </w:r>
      <w:r>
        <w:rPr>
          <w:rFonts w:ascii="Calibri" w:hAnsi="Calibri" w:eastAsia="Calibri"/>
          <w:sz w:val="19"/>
        </w:rPr>
        <w:t xml:space="preserve"> (MAS, DFSA, Япония: Иллюстрация 3). Более высокие показатели характерны для присвоения статуса на основании закона (Корея) или надзорных программ, не сообщающих о выходах (HKMA FSS). Международный валютный фонд (МВФ) отмечает, что песочницы ресурсоемки и охватывают относительно немного компаний [S55]. Первая когорта из трех–четырех пилотных проектов соответствует практике программ тестирования в реальных условиях.</w:t>
      </w:r>
    </w:p>
    <w:p>
      <w:pPr>
        <w:numPr>
          <w:ilvl w:val="0"/>
          <w:numId w:val="101"/>
        </w:numPr>
        <w:spacing w:before="0" w:after="60" w:line="259" w:lineRule="auto"/>
      </w:pPr>
      <w:r>
        <w:rPr>
          <w:rFonts w:ascii="Calibri" w:hAnsi="Calibri" w:eastAsia="Calibri"/>
          <w:b/>
          <w:sz w:val="19"/>
        </w:rPr>
        <w:t>Недостаточные результаты задокументированы, их причины — нет</w:t>
      </w:r>
      <w:r>
        <w:rPr>
          <w:rFonts w:ascii="Calibri" w:hAnsi="Calibri" w:eastAsia="Calibri"/>
          <w:sz w:val="19"/>
        </w:rPr>
        <w:t xml:space="preserve"> (Иллюстрация 3a). Свою роль могли сыграть критерии допуска, координация и порядок выхода (A), однако сокращение числа заявок указывает и на слабый спрос, поэтому EUz следует проверить спрос, а не исходить из его наличия.</w:t>
      </w:r>
    </w:p>
    <w:p>
      <w:pPr>
        <w:numPr>
          <w:ilvl w:val="0"/>
          <w:numId w:val="101"/>
        </w:numPr>
        <w:spacing w:before="0" w:after="60" w:line="259" w:lineRule="auto"/>
      </w:pPr>
      <w:r>
        <w:rPr>
          <w:rFonts w:ascii="Calibri" w:hAnsi="Calibri" w:eastAsia="Calibri"/>
          <w:b/>
          <w:sz w:val="19"/>
        </w:rPr>
        <w:t>Для разъяснений не нужны полномочия на освобождение от требований, а сами разъяснения остаются в открытом доступе</w:t>
      </w:r>
      <w:r>
        <w:rPr>
          <w:rFonts w:ascii="Calibri" w:hAnsi="Calibri" w:eastAsia="Calibri"/>
          <w:sz w:val="19"/>
        </w:rPr>
        <w:t>: Ofgem, ICO, Европейская блокчейн-песочница и испанская песочница для ИИ подготовили разъяснения, пригодные для повторного использования, не прибегая к освобождению от требований закона [S5][S6][S17][S19]. Ни один источник не сообщает о стоимости таких разъяснений; проекты ICO потребовали значительных трудозатрат персонала, а выгоды известны по данным участников (P) [S5].</w:t>
      </w:r>
    </w:p>
    <w:p>
      <w:pPr>
        <w:numPr>
          <w:ilvl w:val="0"/>
          <w:numId w:val="101"/>
        </w:numPr>
        <w:spacing w:before="0" w:after="60" w:line="259" w:lineRule="auto"/>
      </w:pPr>
      <w:r>
        <w:rPr>
          <w:rFonts w:ascii="Calibri" w:hAnsi="Calibri" w:eastAsia="Calibri"/>
          <w:b/>
          <w:sz w:val="19"/>
        </w:rPr>
        <w:t>Песочницам уделяется все больше внимания на уровне государственной политики, но новые данные отражают активность, а не итоги.</w:t>
      </w:r>
      <w:r>
        <w:rPr>
          <w:rFonts w:ascii="Calibri" w:hAnsi="Calibri" w:eastAsia="Calibri"/>
          <w:sz w:val="19"/>
        </w:rPr>
        <w:t xml:space="preserve"> Поиск источников за 2023–2026 гг. не выявил оценок МВФ, Всемирного банка или надзорных органов ЕС, количественно измеряющих эффект песочниц. Органы финансового надзора ЕС вели 14 регуляторных песочниц и 41 инновационный хаб (хабы не требуют изменения законодательства) в Европейской экономической зоне (декабрь 2023 г.; R) [S53]; в ходе обследования Европейской комиссии учтены 132 действующие и закрытые песочницы всех типов в 15 государствах-членах (R) [S52]. Предложение Европейской комиссии от 9 сентября 2026 г. о Рекомендации Совета ЕС об общих принципах песочниц не принято [S51]; инструментарий ОЭСР 2025 г. — это методические рекомендации по проектированию, а не данные об эффекте [S54].</w:t>
      </w:r>
    </w:p>
    <w:p>
      <w:pPr>
        <w:pStyle w:val="ExhibitTitle"/>
      </w:pPr>
      <w:r>
        <w:rPr>
          <w:rFonts w:ascii="Calibri" w:hAnsi="Calibri" w:eastAsia="Calibri"/>
        </w:rPr>
        <w:t>Иллюстрация 3a. Задокументированные неудачи и ответные меры EUz</w:t>
      </w:r>
    </w:p>
    <w:tbl>
      <w:tblPr>
        <w:tblW w:w="9639" w:type="dxa"/>
        <w:jc w:val="center"/>
        <w:tblLayout w:type="fixed"/>
        <w:tblLook w:firstColumn="1" w:firstRow="1" w:lastColumn="0" w:lastRow="0" w:noHBand="0" w:noVBand="1" w:val="04A0"/>
      </w:tblPr>
      <w:tblGrid>
        <w:gridCol w:w="1814"/>
        <w:gridCol w:w="3628"/>
        <w:gridCol w:w="2835"/>
        <w:gridCol w:w="1360"/>
      </w:tblGrid>
      <w:tr>
        <w:trPr>
          <w:cantSplit/>
          <w:tblHeader/>
        </w:trPr>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Неудача</w:t>
            </w:r>
          </w:p>
        </w:tc>
        <w:tc>
          <w:tcPr>
            <w:tcW w:type="dxa" w:w="36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Данные</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Ответная мера EUz</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Ссылка</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Стимулирующий трек не востребован</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Sandbox Plus: одобрений нет (на конец сент. 2025); по заявлению MAS, большинство заявок основывалось на технологиях, уже применяемых в Сингапуре (R) [S7]</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Без грантов и стимулирующего трека, пока проверка спроса не покажет потребность</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Илл. 10; мера 10</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Трансграничный пилот не дошел до тестирования</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GFIN: ни одна из 8 отобранных компаний не начала тестирование (янв. 2020; R) [S15]; последующие когорты не подтверждены</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Трансграничный трек отложен на 2-й год; для каждого межрегуляторного теста — единый план тестирования и один ведущий орган</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5.3; P2</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Медленный переход на постоянный режим</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DFSA: 3 из 51 принятой компании успешно вышли из песочницы; срез на июн. 2021: 5 еще тестировались в реальных условиях, 7 имели предварительное одобрение (R; S) [S14]</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Доказательства для выхода фиксируются в каждом плане тестирования при допуске</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Илл. 12; рек. 5</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Выход без лицензии</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Австралия, ASIC: 1 лицензия на 16 выходов, 12 компаний закрылись (S, изложение обзора в прессе) [S24]</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Консультации с лицензирующим органом при проектировании теста; варианты выхода фиксируются при допуске</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Илл. 12, 15</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Сокращение числа заявок</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Корея, песочница ИКТ-конвергенции: число заявок за два года сократилось со 110 до 67 (S, сообщение прессы, авг. 2026) [S23]</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Проверка спроса до запуска; сначала два трека</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Мера 10; илл. 17</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Целевой срок без опубликованных данных о соблюдении</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MAS Sandbox Express: целевой срок 21 день; данных о соблюдении не найдено (T) [S8]</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Ежеквартальная публикация данных о соблюдении сроков</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KPI 1–3; D9</w:t>
            </w:r>
          </w:p>
        </w:tc>
      </w:tr>
    </w:tbl>
    <w:p>
      <w:pPr>
        <w:spacing w:before="0" w:after="40" w:line="144" w:lineRule="auto"/>
      </w:pPr>
    </w:p>
    <w:p>
      <w:pPr>
        <w:spacing w:before="40" w:after="160" w:line="240" w:lineRule="auto"/>
      </w:pPr>
      <w:r>
        <w:rPr>
          <w:rFonts w:ascii="Calibri" w:hAnsi="Calibri" w:eastAsia="Calibri"/>
          <w:color w:val="6B6E70"/>
          <w:sz w:val="15"/>
        </w:rPr>
        <w:t>Неудачи задокументированы; выводы об их причинах — интерпретация аналитика (A).</w:t>
      </w:r>
    </w:p>
    <w:p>
      <w:pPr>
        <w:pStyle w:val="Heading1"/>
        <w:pageBreakBefore/>
        <w:pBdr>
          <w:bottom w:val="single" w:sz="12" w:space="3" w:color="009162"/>
        </w:pBdr>
      </w:pPr>
      <w:r>
        <w:rPr>
          <w:rFonts w:ascii="Calibri" w:hAnsi="Calibri" w:eastAsia="Calibri"/>
        </w:rPr>
        <w:t>3. Избранные примеры успешной международной практики: что измеряли восемь программ и какое проектное решение для EUz следует из опыта каждой</w:t>
      </w:r>
    </w:p>
    <w:p>
      <w:pPr>
        <w:spacing w:before="0" w:after="120" w:line="259" w:lineRule="auto"/>
      </w:pPr>
      <w:r>
        <w:rPr>
          <w:rFonts w:ascii="Calibri" w:hAnsi="Calibri" w:eastAsia="Calibri"/>
          <w:sz w:val="18"/>
        </w:rPr>
        <w:t>В каждой карточке строки A и B излагают данные цитируемых источников с метками типа подтверждения; строка C поясняет, почему результат важен; строки D и E содержат анализ и рекомендацию (A); в строке B2 перечислены целевые показатели, пробелы и неустраненные расхождения, которые результатами не являются. Ни одна цифра пока не сверена с полным текстом первичного документа (Приложение D, шаг 2).</w:t>
      </w: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3.1  Регуляторная песочница FCA (Великобритания): допуск служит сигналом для инвесторов, поэтому EUz необходимо измерять итоги с первого допуска</w:t>
            </w:r>
          </w:p>
          <w:p>
            <w:pPr>
              <w:keepNext/>
              <w:spacing w:before="0" w:after="0" w:line="259" w:lineRule="auto"/>
            </w:pPr>
            <w:r>
              <w:rPr>
                <w:rFonts w:ascii="Calibri" w:hAnsi="Calibri" w:eastAsia="Calibri"/>
                <w:color w:val="D7EFE7"/>
                <w:sz w:val="16"/>
              </w:rPr>
              <w:t>Великобритания | Управление по финансовому регулированию и надзору | запуск в 2016 г. | действует</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Что было внедрено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Тестирование в реальных условиях с участием реальных потребителей при индивидуальных ограничениях и мерах защиты для конкретного теста. Инструменты: ограниченное разрешение; индивидуальные разъяснения; освобождение от применения (waivers) или изменение только правил FCA, но не норм национального или международного права; письма о неприменении мер принуждения, распространяющиеся только на дисциплинарные меры FCA в период тестирования, но не на ответственность перед потребителями [S1]. Сначала — набор когортами; с августа 2021 г. — непрерывный прием заявок (S), а с конца 2025 г. — также тематические когорты на ограниченный срок [S41].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Опубликованные результаты</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Когорты 1–2 (по окт. 2017): 146 заявок, принято 50, тестирование провела 41 компания (R) [S1]</w:t>
            </w:r>
          </w:p>
          <w:p>
            <w:pPr>
              <w:spacing w:before="0" w:after="20" w:line="250" w:lineRule="auto"/>
            </w:pPr>
            <w:r>
              <w:rPr>
                <w:rFonts w:ascii="Calibri" w:hAnsi="Calibri" w:eastAsia="Calibri"/>
                <w:sz w:val="17"/>
              </w:rPr>
              <w:t>- Компании когорты 1, завершившие тестирование: около 90% продолжают подготовку к более широкому выходу на рынок; не менее 40% получили инвестиции во время или после тестирования (R) [S1]</w:t>
            </w:r>
          </w:p>
          <w:p>
            <w:pPr>
              <w:spacing w:before="0" w:after="20" w:line="250" w:lineRule="auto"/>
            </w:pPr>
            <w:r>
              <w:rPr>
                <w:rFonts w:ascii="Calibri" w:hAnsi="Calibri" w:eastAsia="Calibri"/>
                <w:sz w:val="17"/>
              </w:rPr>
              <w:t>- 2016 г. — дек. 2023 г.: 629 заявок, принято 172 (27%, D). По финансовым годам (подано, принято; данные за 2023/24 финансовый год частично входят в итог за 2016 г. — дек. 2023 г., поэтому строки суммировать нельзя): 2023/24 — 43 и 4; 2024/25 — 52 и 16; 2025/26 — 142 и 14 (предварительно, май 2026) (R) [S3]. Доля принятых заявок в 2025 календарном году: 13% (R) [S40]</w:t>
            </w:r>
          </w:p>
          <w:p>
            <w:pPr>
              <w:spacing w:before="0" w:after="20" w:line="250" w:lineRule="auto"/>
            </w:pPr>
            <w:r>
              <w:rPr>
                <w:rFonts w:ascii="Calibri" w:hAnsi="Calibri" w:eastAsia="Calibri"/>
                <w:sz w:val="17"/>
              </w:rPr>
              <w:t>- Когорта по стейблкоинам: отобрано 4 из 20 заявок (февр. 2026, R) [S41]</w:t>
            </w:r>
          </w:p>
          <w:p>
            <w:pPr>
              <w:spacing w:before="0" w:after="20" w:line="250" w:lineRule="auto"/>
            </w:pPr>
            <w:r>
              <w:rPr>
                <w:rFonts w:ascii="Calibri" w:hAnsi="Calibri" w:eastAsia="Calibri"/>
                <w:sz w:val="17"/>
              </w:rPr>
              <w:t>- Независимое исследование: допуск в песочницу связан с ростом привлеченного капитала примерно на 15%, повышением вероятности привлечь капитал на 50% и положительным влиянием на выживаемость и патентную активность, наиболее заметным у небольших молодых компаний (данные по Великобритании за 2014–2019 гг., I) [S2]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Не результаты: целевые показатели, пробелы, неустраненные расхождения</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Данные расходятся: согласно объявлениям FCA о когортах, в когорты 1–2 принято 24 + 31 = 55 компаний, а в отчете 2017 г. указано 50; наиболее надежный показатель — 41 протестированная компания (Приложение B) [S1][S3]</w:t>
            </w:r>
          </w:p>
          <w:p>
            <w:pPr>
              <w:spacing w:before="0" w:after="20" w:line="250" w:lineRule="auto"/>
            </w:pPr>
            <w:r>
              <w:rPr>
                <w:rFonts w:ascii="Calibri" w:hAnsi="Calibri" w:eastAsia="Calibri"/>
                <w:sz w:val="17"/>
              </w:rPr>
              <w:t>- Целевые сроки принятия решений: проверка на соответствие критериям допуска — около 2–3 недель, полная оценка — около 8–12 недель (T) [S39]; данных о фактических сроках не найдено</w:t>
            </w:r>
          </w:p>
          <w:p>
            <w:pPr>
              <w:spacing w:before="0" w:after="20" w:line="250" w:lineRule="auto"/>
            </w:pPr>
            <w:r>
              <w:rPr>
                <w:rFonts w:ascii="Calibri" w:hAnsi="Calibri" w:eastAsia="Calibri"/>
                <w:sz w:val="17"/>
              </w:rPr>
              <w:t>- Когорта по стейблкоинам: FCA намерено учесть ее выводы в окончательных правилах для стейблкоинов (T) [S41]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Почему это важно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Исследование оценивает связь допуска в песочницу с привлечением финансирования, которую авторы объясняют снижением информационной асимметрии и регуляторной неопределенности [S2]. Оно ограничено ранними когортами и финансированием и не охватывает итоги для потребителей; допуск в песочницу неслучаен. В 2017 г. FCA заявило, что делать твердые выводы об общем эффекте, особенно о влиянии на конкуренцию, еще рано [S1].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Вывод для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Место в песочнице ценится потому, что свидетельствует о прохождении строгой проверки; сила сигнала EUz определяется качеством отбора и опубликованных обоснований решений. Даже ограниченные послабления полезны: как и у FCA (строка A), категории освобождений EUz следует ограничить требованиями, которые администрирует сам EUz.</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Проектное решение для EUz</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В каждом тестовом соглашении предусматривается обязательное отслеживание итогов (привлеченное финансирование, статус лицензии, выживаемость) при допуске (базовое значение), при выходе, а также через 12 и 24 месяца после допуска с представлением данных в Секретариат песочницы. Ответственный: руководитель песочницы. Результат: данные об итогах в годовых отчетах начиная со 2-го года (первое обследование через 12 месяцев — около М18). Изменения законодательства не требуются: достаточно договорного условия.</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Источники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 FCA, отчет об извлеченных уроках (окт. 2017), инструменты песочницы; [S2] BIS Working Paper 901 (Review of Finance, 2024); [S3] ответ FCA на запрос FOI (май 2026); [S39] руководство FCA по подаче заявок; [S40] FCA Innovation Insights (апр. 2026); [S41] когорта FCA по стейблкоинам (февр. 2026).</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3.2  MAS (Сингапур): из 19 принятых компаний 15 получили лицензии; по Sandbox Plus одобрений не было</w:t>
            </w:r>
          </w:p>
          <w:p>
            <w:pPr>
              <w:keepNext/>
              <w:spacing w:before="0" w:after="0" w:line="259" w:lineRule="auto"/>
            </w:pPr>
            <w:r>
              <w:rPr>
                <w:rFonts w:ascii="Calibri" w:hAnsi="Calibri" w:eastAsia="Calibri"/>
                <w:color w:val="D7EFE7"/>
                <w:sz w:val="16"/>
              </w:rPr>
              <w:t>Сингапур | Валютное управление Сингапура | три трека, 2016–2022 гг. | действует</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Что было внедрено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FinTech Regulatory Sandbox (2016): изначально только для решений, новых для Сингапура. Sandbox Express (авг. 2019): заранее определенные условия для низкорисковой деятельности, тестирование до 9 месяцев, целевой срок ответа — 21 день; трек денежных переводов упразднен 7 января 2020 г., в преддверии вступления в силу Закона о платежных услугах 2019 г. [S8]. Sandbox Plus (янв. 2022): для компаний, раньше других осваивающих технологии; первопроходцы могли также претендовать на грант в размере 50% признаваемых расходов, но не более 500 000 сингапурских долларов [S9].</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Опубликованные результаты</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С 2016 г. принято 19 компаний; 15 успешно завершили тестирование и получили лицензии, одна позднее прекратила деятельность (на конец сент. 2025, R; охват по трекам неясен, Приложение B) [S7]</w:t>
            </w:r>
          </w:p>
          <w:p>
            <w:pPr>
              <w:spacing w:before="0" w:after="20" w:line="250" w:lineRule="auto"/>
            </w:pPr>
            <w:r>
              <w:rPr>
                <w:rFonts w:ascii="Calibri" w:hAnsi="Calibri" w:eastAsia="Calibri"/>
                <w:sz w:val="17"/>
              </w:rPr>
              <w:t>- Медианный срок рассмотрения — около 3 месяцев, включая время, затраченное заявителями на ответы на запросы MAS (R) [S7]</w:t>
            </w:r>
          </w:p>
          <w:p>
            <w:pPr>
              <w:spacing w:before="0" w:after="20" w:line="250" w:lineRule="auto"/>
            </w:pPr>
            <w:r>
              <w:rPr>
                <w:rFonts w:ascii="Calibri" w:hAnsi="Calibri" w:eastAsia="Calibri"/>
                <w:sz w:val="17"/>
              </w:rPr>
              <w:t>- Части заявителей отказано, поскольку действующие правила уже допускали их бизнес-модели (R) [S7]</w:t>
            </w:r>
          </w:p>
          <w:p>
            <w:pPr>
              <w:spacing w:before="0" w:after="20" w:line="250" w:lineRule="auto"/>
            </w:pPr>
            <w:r>
              <w:rPr>
                <w:rFonts w:ascii="Calibri" w:hAnsi="Calibri" w:eastAsia="Calibri"/>
                <w:sz w:val="17"/>
              </w:rPr>
              <w:t>- Sandbox Plus: одобрений нет; по данным MAS, большинство заявок касалось технологий, уже применяемых в Сингапуре (R) [S7]</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Не результаты: целевые показатели, пробелы, неустраненные расхождения</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Sandbox Express: 21-дневный срок ответа — целевой показатель (T); данных MAS об использовании трека или фактических сроках не найдено [S8]</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Почему это важно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Получение лицензий по итогам тестирования отражает наличие установленного пути выхода в действующий режим лицензирования (A). Помимо объяснения MAS, причины отсутствия одобрений по Sandbox Plus не установлены. Упразднение трека денежных переводов показывает, что заранее определенный трек зависит от базового законодательства о лицензировании (A).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Вывод для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Заимствовать заранее определенные условия Sandbox Express в ограниченном объеме, привязав каждую категорию к конкретному правовому режиму и установив основание для ее пересмотра. Не вводить грантовый или стимулирующий трек, пока нет подтверждений спроса. Публиковать фактически достигнутые результаты, а не только целевые показатели.</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Проектное решение для EUz</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На основе данных мониторинга когорты 1 (М9–М12) подготовить для утверждения Советом две заранее определенные низкорисковые категории со стандартными условиями; запустить пилот Экспресс-трека после оценки результатов когорты 1 на этапе 8 (примерно с М13–М14). Решение — в течение 21 календарного дня после подачи полной заявки (плановое допущение по образцу MAS); ежеквартальный отчет о соблюдении срока. Ответственный: Секретариат песочницы; утверждение: Совет.</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Источники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[S7] ответ MAS на парламентский запрос (14 окт. 2025); [S8] MAS: консультационный документ по Sandbox Express (2018), запуск (2019), руководство (янв. 2020); [S9] пресс-релиз MAS о Sandbox Plus (нояб. 2021).</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3.3  FCA Digital Sandbox (Великобритания): по оценкам пользователей, синтетические данные ускоряют разработку; их ценность определяется качеством</w:t>
            </w:r>
          </w:p>
          <w:p>
            <w:pPr>
              <w:keepNext/>
              <w:spacing w:before="0" w:after="0" w:line="259" w:lineRule="auto"/>
            </w:pPr>
            <w:r>
              <w:rPr>
                <w:rFonts w:ascii="Calibri" w:hAnsi="Calibri" w:eastAsia="Calibri"/>
                <w:color w:val="D7EFE7"/>
                <w:sz w:val="16"/>
              </w:rPr>
              <w:t>Великобритания | FCA | пилоты в 2020–2022 гг.; на постоянной основе с авг. 2023; программы по ИИ с 2025 г. | действует</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Что было внедрено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Облачная тестовая среда с наборами синтетических данных, API и модулем наблюдения; без реальных потребителей и без освобождения от требований к получению разрешений.</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Опубликованные результаты</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DataSprint (июль–авг. 2020): около 120 участников в течение трех недель разрабатывали наборы синтетических данных для пилота (R) [S4]</w:t>
            </w:r>
          </w:p>
          <w:p>
            <w:pPr>
              <w:spacing w:before="0" w:after="20" w:line="250" w:lineRule="auto"/>
            </w:pPr>
            <w:r>
              <w:rPr>
                <w:rFonts w:ascii="Calibri" w:hAnsi="Calibri" w:eastAsia="Calibri"/>
                <w:sz w:val="17"/>
              </w:rPr>
              <w:t>- Пилот 1 (окт. 2020 — февр. 2021; финансирование МСП, мошенничество, уязвимые клиенты): 28 организаций из 94 заявок; пилот 2 (нояб. 2021 — март 2022; ESG-данные и раскрытие информации): 12 компаний из 40 (R) [S4]</w:t>
            </w:r>
          </w:p>
          <w:p>
            <w:pPr>
              <w:spacing w:before="0" w:after="20" w:line="250" w:lineRule="auto"/>
            </w:pPr>
            <w:r>
              <w:rPr>
                <w:rFonts w:ascii="Calibri" w:hAnsi="Calibri" w:eastAsia="Calibri"/>
                <w:sz w:val="17"/>
              </w:rPr>
              <w:t>- Оценка пилота 1: 84% респондентов отметили, что пилот ускорил разработку; выше всего оценены синтетические данные, однако лишь около половины сочли, что они оправдали ожидания (P, по данным FCA) [S4]</w:t>
            </w:r>
          </w:p>
          <w:p>
            <w:pPr>
              <w:spacing w:before="0" w:after="20" w:line="250" w:lineRule="auto"/>
            </w:pPr>
            <w:r>
              <w:rPr>
                <w:rFonts w:ascii="Calibri" w:hAnsi="Calibri" w:eastAsia="Calibri"/>
                <w:sz w:val="17"/>
              </w:rPr>
              <w:t>- Работает на постоянной основе с 1 авг. 2023 г., эксплуатируется поставщиком (NayaOne); в каталоге более 300 наборов данных (авг. 2026, R) [S42]</w:t>
            </w:r>
          </w:p>
          <w:p>
            <w:pPr>
              <w:spacing w:before="0" w:after="20" w:line="250" w:lineRule="auto"/>
            </w:pPr>
            <w:r>
              <w:rPr>
                <w:rFonts w:ascii="Calibri" w:hAnsi="Calibri" w:eastAsia="Calibri"/>
                <w:sz w:val="17"/>
              </w:rPr>
              <w:t>- Программы в области ИИ (только данные о приеме): Supercharged Sandbox — 23 компании из 132 заявок (окт. 2025 — янв. 2026), 21 из 199 (с июля 2026) (R) [S43]; AI Live Testing — когорты из 7 и 8 компаний (дек. 2025, апр. 2026; одна банковская группа — в обеих) (R) [S33][S44]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Не результаты: целевые показатели, пробелы, неустраненные расхождения</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Не подтверждено: итоги работы песочницы на постоянной основе (оценка FCA не найдена)</w:t>
            </w:r>
          </w:p>
          <w:p>
            <w:pPr>
              <w:spacing w:before="0" w:after="20" w:line="250" w:lineRule="auto"/>
            </w:pPr>
            <w:r>
              <w:rPr>
                <w:rFonts w:ascii="Calibri" w:hAnsi="Calibri" w:eastAsia="Calibri"/>
                <w:sz w:val="17"/>
              </w:rPr>
              <w:t>- Supercharged Sandbox: только качественные итоги — по данным оператора платформы и отраслевой прессы (P); измеренных результатов не найдено</w:t>
            </w:r>
          </w:p>
          <w:p>
            <w:pPr>
              <w:spacing w:before="0" w:after="20" w:line="250" w:lineRule="auto"/>
            </w:pPr>
            <w:r>
              <w:rPr>
                <w:rFonts w:ascii="Calibri" w:hAnsi="Calibri" w:eastAsia="Calibri"/>
                <w:sz w:val="17"/>
              </w:rPr>
              <w:t>- AI Live Testing: отчет об оценке ожидается в 1-м квартале 2027 г. (T) [S44]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Почему это важно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Компании могут тестировать решения без реальных потребителей, но ценность тестирования зависит от качества данных: удовлетворенность участников была неоднозначной, а DataSprint не дал ни одного окончательного набора данных [S4].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Вывод для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Сделать синтетические данные и защищенную тестовую среду базовой услугой с первых допусков (М6) и согласовать с участниками спецификацию качества данных.</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Проектное решение для EUz</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Со 2-го по 6-й месяц создать минимальную тестовую среду и в 6-м месяце запустить ее для первых пилотных проектов: отдельный контур для каждого участника, наборы синтетических данных для областей P1 и P3, API-шлюз и журналирование (Иллюстрация 16a). Критерий успеха определить совместно с участниками первых пилотов. Ответственный: руководитель по платформе и данным; эксплуатацию можно поручить внешнему оператору под контролем EUz, как в случае FCA.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Источники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[S4] пилоты FCA Digital Sandbox, оценка; [S42] Digital Sandbox на постоянной основе; [S43] Supercharged Sandbox; [S33] отраслевая пресса, [S44] FCA об AI Live Testing.</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3.4  Песочница ICO (Великобритания): не имея права освобождать от требований закона, регулятор все же опубликовал разъяснения</w:t>
            </w:r>
          </w:p>
          <w:p>
            <w:pPr>
              <w:keepNext/>
              <w:spacing w:before="0" w:after="0" w:line="259" w:lineRule="auto"/>
            </w:pPr>
            <w:r>
              <w:rPr>
                <w:rFonts w:ascii="Calibri" w:hAnsi="Calibri" w:eastAsia="Calibri"/>
                <w:color w:val="D7EFE7"/>
                <w:sz w:val="16"/>
              </w:rPr>
              <w:t>Великобритания | Управление Уполномоченного по информации; с 30 сент. 2026 — Комиссия по информации (S) [S47] | бета-этап в 2019 г. | действует</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Что было внедрено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Без законодательной основы: бесплатное индивидуальное взаимодействие с сотрудниками ICO по инновационным проектам с использованием персональных данных; по итогам публикуется отчет о выходе из песочницы с позицией регулятора. Освобождения от требований законодательства о защите данных нет, но предоставляется определенная защита от мер принуждения: непреднамеренные нарушения в ходе разработки не влекут немедленного применения мер регуляторного воздействия, пока участник сотрудничает с регулятором [S5]. После бета-этапа 2019 г. — непрерывный прием заявок.</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Опубликованные результаты</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Отобрано 10 организаций из 64 заявок (июль 2019; по обзору бета-этапа 2021 г. — 65) (R) [S5]</w:t>
            </w:r>
          </w:p>
          <w:p>
            <w:pPr>
              <w:spacing w:before="0" w:after="20" w:line="250" w:lineRule="auto"/>
            </w:pPr>
            <w:r>
              <w:rPr>
                <w:rFonts w:ascii="Calibri" w:hAnsi="Calibri" w:eastAsia="Calibri"/>
                <w:sz w:val="17"/>
              </w:rPr>
              <w:t>- 9 из 10 вышли из песочницы в июне 2020 — марте 2021 г., позже, чем планировалось, из-за COVID-19 (R) [S5]</w:t>
            </w:r>
          </w:p>
          <w:p>
            <w:pPr>
              <w:spacing w:before="0" w:after="20" w:line="250" w:lineRule="auto"/>
            </w:pPr>
            <w:r>
              <w:rPr>
                <w:rFonts w:ascii="Calibri" w:hAnsi="Calibri" w:eastAsia="Calibri"/>
                <w:sz w:val="17"/>
              </w:rPr>
              <w:t>- Отчет о выводах 2024 г.: 14 участников, принятых после бета-этапа (R) [S46]</w:t>
            </w:r>
          </w:p>
          <w:p>
            <w:pPr>
              <w:spacing w:before="0" w:after="20" w:line="250" w:lineRule="auto"/>
            </w:pPr>
            <w:r>
              <w:rPr>
                <w:rFonts w:ascii="Calibri" w:hAnsi="Calibri" w:eastAsia="Calibri"/>
                <w:sz w:val="17"/>
              </w:rPr>
              <w:t>- Среди более поздних — отчеты по Our Future Health (окт. 2023) и Meta (отчет о выходе, сент. 2025) (R) [S5]</w:t>
            </w:r>
          </w:p>
          <w:p>
            <w:pPr>
              <w:spacing w:before="0" w:after="20" w:line="250" w:lineRule="auto"/>
            </w:pPr>
            <w:r>
              <w:rPr>
                <w:rFonts w:ascii="Calibri" w:hAnsi="Calibri" w:eastAsia="Calibri"/>
                <w:sz w:val="17"/>
              </w:rPr>
              <w:t>- Обзор бета-этапа: участники отметили доступ к экспертизе и большую уверенность в своих готовых продуктах (P, по данным ICO) [S5]</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Не результаты: целевые показатели, пробелы, неустраненные расхождения</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Законодательный вариант: исследование ICO (июль 2026) признало осуществимой песочницу на законодательной основе с условными освобождениями от требований на ограниченный срок — при условии принятия закона и соблюдения ряда условий; это рекомендация, а не закрепленное законом полномочие [S46]</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Почему это важно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Опубликованные отчеты о выходе превращают двустороннее взаимодействие в регуляторные разъяснения, применимые и к другим случаям. Ограничения: небольшие когорты, высокие трудозатраты сотрудников; о выгодах сообщают участники и ICO, но они не измерены.</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Вывод для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Трек разъяснений не требует полномочий на освобождение от требований и может начать работу до утверждения окончательных правил. В отличие от ICO, нормы часто будут находиться не в ведении EUz: позиции по национальным требованиям должны подписываться совместно с компетентным регулятором или публиковаться как мнение EUz с пометкой об отсутствии обязательной силы.</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Проектное решение для EUz</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Каждое дело в Треке разъяснений завершается краткой письменной позицией регулятора в течение 30 рабочих дней после поступления полного запроса (плановое допущение); позиция публикуется в обезличенном виде. Проект готовит юрисконсульт по регуляторным вопросам, подписывает руководитель песочницы в соответствии с правилом о позициях Трека разъяснений (раздел 5.3). Ответственный: руководитель песочницы. Результат: публичная библиотека позиций.</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Источники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[S5] обзор бета-этапа ICO (нояб. 2021), страницы участников; [S46] отчет ICO о выводах (2024), исследование о песочнице на законодательной основе (июль 2026); [S47] обзор Lewis Silkin (сент. 2026).</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3.5  RegLab ADGM и DFSA ITL: песочницы стран Персидского залива принимают много компаний, но из 51 компании, принятой DFSA, к июню 2021 г. успешно завершили тестирование лишь 3</w:t>
            </w:r>
          </w:p>
          <w:p>
            <w:pPr>
              <w:keepNext/>
              <w:spacing w:before="0" w:after="0" w:line="259" w:lineRule="auto"/>
            </w:pPr>
            <w:r>
              <w:rPr>
                <w:rFonts w:ascii="Calibri" w:hAnsi="Calibri" w:eastAsia="Calibri"/>
                <w:color w:val="D7EFE7"/>
                <w:sz w:val="16"/>
              </w:rPr>
              <w:t>ОАЭ | FSRA ADGM (2016) и DFSA (май 2017) | действуют; официальные итоговые данные после 2019 г. (ADGM) и 2022 г. (DFSA) не найдены</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Что было внедрено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RegLab ADGM: условное разрешение на ограниченный срок для финтех-компаний, набор когортами. Лицензия DFSA на тестирование инноваций (Innovation Testing Licence, ITL): тестирование до 12 месяцев по плану тестирования; для выхода компания должна подтвердить способность выполнять требования для получения полного разрешения. В июле 2022 г. DFSA перешло от набора когортами к круглогодичному приему заявок [S14].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Опубликованные результаты</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RegLab: допущены 32 компании из 83 заявок, поступивших из 20 стран, май 2017 — авг. 2019 (итог ADGM, R); NOW Money и Pyypl названы успешно вышедшими из песочницы и работающими на рынке [S49]</w:t>
            </w:r>
          </w:p>
          <w:p>
            <w:pPr>
              <w:spacing w:before="0" w:after="20" w:line="250" w:lineRule="auto"/>
            </w:pPr>
            <w:r>
              <w:rPr>
                <w:rFonts w:ascii="Calibri" w:hAnsi="Calibri" w:eastAsia="Calibri"/>
                <w:sz w:val="17"/>
              </w:rPr>
              <w:t>- ITL: подано 105 заявок, принято 51, успешно завершили тестирование 3 (июнь 2021, R); подано 130, принято 67 (июль 2022, R) [S14]</w:t>
            </w:r>
          </w:p>
          <w:p>
            <w:pPr>
              <w:spacing w:before="0" w:after="20" w:line="250" w:lineRule="auto"/>
            </w:pPr>
            <w:r>
              <w:rPr>
                <w:rFonts w:ascii="Calibri" w:hAnsi="Calibri" w:eastAsia="Calibri"/>
                <w:sz w:val="17"/>
              </w:rPr>
              <w:t>- Первая компания, успешно завершившая тестирование в DFSA: Sarwa (робо-эдвайзер), 5 нояб. 2018 г., после почти 12 месяцев тестирования (R) [S14]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Не результаты: целевые показатели, пробелы, неустраненные расхождения</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Срок принятия решения DFSA: как правило, 10–12 недель после подачи полной заявки, срок лишь ориентировочный (май 2025, T) [S50]; данных о его соблюдении нет; срок ADGM не найден</w:t>
            </w:r>
          </w:p>
          <w:p>
            <w:pPr>
              <w:spacing w:before="0" w:after="20" w:line="250" w:lineRule="auto"/>
            </w:pPr>
            <w:r>
              <w:rPr>
                <w:rFonts w:ascii="Calibri" w:hAnsi="Calibri" w:eastAsia="Calibri"/>
                <w:sz w:val="17"/>
              </w:rPr>
              <w:t>- Не подтверждено: более поздние итоговые данные ADGM или DFSA; любые данные о доле участников RegLab, получивших лицензию</w:t>
            </w:r>
          </w:p>
          <w:p>
            <w:pPr>
              <w:spacing w:before="0" w:after="20" w:line="250" w:lineRule="auto"/>
            </w:pPr>
            <w:r>
              <w:rPr>
                <w:rFonts w:ascii="Calibri" w:hAnsi="Calibri" w:eastAsia="Calibri"/>
                <w:sz w:val="17"/>
              </w:rPr>
              <w:t>- Данные расходятся: по объявлениям ADGM о когортах, в сумме набрано 30 компаний, тогда как общий итог ADGM — 32 (Приложение B) [S13][S49]</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Почему это важно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Рост числа заявок в DFSA (строка B) свидетельствует о региональном спросе на тестирование под надзором регулятора. Число успешных выходов по данным 2021 г. — срез на дату: по сообщениям прессы, 5 компаний проходили тестирование в реальных условиях, а 7 имели предварительное одобрение (S), поэтому большинство итогов еще не было известно. Небольшое число успешных выходов согласуется с условиями выхода и сроками тестирования (A).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Вывод для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Юрисдикции Персидского залива уже привлекают заявителей. EUz необходимо выделиться за счет специализации на новых технологиях вне финансового сектора, опубликованных сроков принятия решений с отчетностью об их соблюдении (в отличие от ориентировочного срока DFSA, строка B2) и критериев выхода, определенных с самого начала.</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Проектное решение для EUz</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В каждом плане тестирования при допуске фиксируются доказательства, необходимые участнику для перехода на постоянный режим деятельности (лицензия, работа по действующим правилам или обновленный режим); переход на постоянный режим отслеживается. С лицензирующим органом консультируются при проектировании тестирования, но обязательств для него это не создает (Иллюстрация 12). Ответственный: Комитет по песочнице.</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Источники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[S13] объявления ADGM о когортах (2017–2018); [S49] ADGM, 4-я когорта (авг. 2019); [S14] пресс-релиз DFSA о Sarwa, объявление об ITL (июнь 2021); Finance Magnates об окне приема заявок ITL; [S50] руководство DFSA по ITL (май 2025).</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3.6  Песочница TradeTech (WEF и ОАЭ): межрегуляторная песочница под эгидой организатора осуществима, но ее итоги известны по данным организатора</w:t>
            </w:r>
          </w:p>
          <w:p>
            <w:pPr>
              <w:keepNext/>
              <w:spacing w:before="0" w:after="0" w:line="259" w:lineRule="auto"/>
            </w:pPr>
            <w:r>
              <w:rPr>
                <w:rFonts w:ascii="Calibri" w:hAnsi="Calibri" w:eastAsia="Calibri"/>
                <w:color w:val="D7EFE7"/>
                <w:sz w:val="16"/>
              </w:rPr>
              <w:t>ОАЭ | WEF с федеральными органами ОАЭ и органами Абу-Даби | объявление — янв. 2024; доклад WEF — окт. 2025 | результаты — по данным организатора (P)</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Что было внедрено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Песочница для технологий в сфере торговли, объявленная в Давосе (ежегодное собрание WEF, янв. 2024) в рамках меморандума о взаимопонимании между WEF, федеральным министерством ОАЭ, отвечающим за внешнюю торговлю (источники называют разные министерства), и Департаментом экономического развития Абу-Даби [S10]. Платформу предоставил поставщик NayaOne (по данным поставщика, P) [S32].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Опубликованные результаты</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- 8 стартапов протестировали решения с участием регуляторов ОАЭ; WEF упоминает четыре регулятора (доклад WEF, окт. 2025, P) [S11]</w:t>
            </w:r>
          </w:p>
          <w:p>
            <w:pPr>
              <w:spacing w:before="0" w:after="20" w:line="250" w:lineRule="auto"/>
            </w:pPr>
            <w:r>
              <w:rPr>
                <w:rFonts w:ascii="Calibri" w:hAnsi="Calibri" w:eastAsia="Calibri"/>
                <w:sz w:val="17"/>
              </w:rPr>
              <w:t>- Темы: цифровые торговые документы, самосуверенная цифровая идентичность, платежи в стейблкоинах и кредитование в сфере децентрализованных финансов (DeFi) (P) [S11]</w:t>
            </w:r>
          </w:p>
          <w:p>
            <w:pPr>
              <w:spacing w:before="0" w:after="20" w:line="250" w:lineRule="auto"/>
            </w:pPr>
            <w:r>
              <w:rPr>
                <w:rFonts w:ascii="Calibri" w:hAnsi="Calibri" w:eastAsia="Calibri"/>
                <w:sz w:val="17"/>
              </w:rPr>
              <w:t>- Около 21 месяца от подписания меморандума (янв. 2024) до доклада WEF (окт. 2025) (D) [S10][S11]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Не результаты: целевые показатели, пробелы, неустраненные расхождения</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Данные расходятся: по сообщениям, доклад WEF 2026 г. связывает с песочницей пять органов ОАЭ, а не четыре (FSRA ADGM, DFSA, Центральный банк ОАЭ, федеральное министерство торговли, Департамент экономического развития Абу-Даби); до подтверждения со стороны WEF регуляторы здесь не называются (S; Приложение B)</w:t>
            </w:r>
          </w:p>
          <w:p>
            <w:pPr>
              <w:spacing w:before="0" w:after="20" w:line="250" w:lineRule="auto"/>
            </w:pPr>
            <w:r>
              <w:rPr>
                <w:rFonts w:ascii="Calibri" w:hAnsi="Calibri" w:eastAsia="Calibri"/>
                <w:sz w:val="17"/>
              </w:rPr>
              <w:t>- Не подтверждено: итоги по каждому участнику, лицензии, объемы операций или независимая оценка; доклад WEF, еще не изученный полностью, может содержать данные по отдельным проектам</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Почему это важно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Документально подтверждена ценность координации: одна программа охватывает торговлю, платежи и цифровую идентификацию с участием нескольких органов ОАЭ (P). Коммерческие результаты в доступных источниках не задокументированы.</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Вывод для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Организатор диалога может снизить издержки координации в пилотных проектах с участием нескольких органов — при условии, что итоги раскрываются по каждому участнику, а нерешенные вопросы публикуются.</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Проектное решение для EUz</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Провести пилот 2 (электронные торговые документы с проверкой на основе ИИ, глава 7) по единому плану тестирования с одним ведущим органом, который дает согласие. Любой партнер, включая WEF, отчитывается об итогах по каждому участнику (Иллюстрация 19a); рецензия проекта со стороны WEF факультативна и не входит в критический путь. Ответственный: руководитель песочницы; условия партнерства: международное сотрудничество.</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Источники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[S10] пресс-релиз WAM о запуске (янв. 2024); [S11] WEF, Advancing Digital Trade (окт. 2025); [S32] пресс-релиз NayaOne (янв. 2025; поставщик).</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3.7  HKMA GenAI Sandbox: с расширением охвата число допущенных сценариев использования менее чем за два года выросло с 15 до 36; данных об итогах не найдено</w:t>
            </w:r>
          </w:p>
          <w:p>
            <w:pPr>
              <w:keepNext/>
              <w:spacing w:before="0" w:after="0" w:line="259" w:lineRule="auto"/>
            </w:pPr>
            <w:r>
              <w:rPr>
                <w:rFonts w:ascii="Calibri" w:hAnsi="Calibri" w:eastAsia="Calibri"/>
                <w:color w:val="D7EFE7"/>
                <w:sz w:val="16"/>
              </w:rPr>
              <w:t>Гонконг (САР) | HKMA совместно с Cyberport | запуск в 2024 г. | действует</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Что было внедрено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Песочница, в которой банки вместе с технологическими партнерами тестируют сценарии использования генеративного ИИ. GenAI Sandbox++ (первая когорта — авг. 2026) распространяется на участников рынков ценных бумаг и страхования и включает сценарии использования агентного ИИ [S21].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Опубликованные результаты</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Когорта 1 (19 дек. 2024): 15 сценариев использования, 10 банков, 4 технологических партнера; более 40 предложений (R) [S21]</w:t>
            </w:r>
          </w:p>
          <w:p>
            <w:pPr>
              <w:spacing w:before="0" w:after="20" w:line="250" w:lineRule="auto"/>
            </w:pPr>
            <w:r>
              <w:rPr>
                <w:rFonts w:ascii="Calibri" w:hAnsi="Calibri" w:eastAsia="Calibri"/>
                <w:sz w:val="17"/>
              </w:rPr>
              <w:t>- Когорта 2 (15 окт. 2025): 27 сценариев использования, 20 банков, 14 технологических партнеров; более 60 предложений (R) [S21]</w:t>
            </w:r>
          </w:p>
          <w:p>
            <w:pPr>
              <w:spacing w:before="0" w:after="20" w:line="250" w:lineRule="auto"/>
            </w:pPr>
            <w:r>
              <w:rPr>
                <w:rFonts w:ascii="Calibri" w:hAnsi="Calibri" w:eastAsia="Calibri"/>
                <w:sz w:val="17"/>
              </w:rPr>
              <w:t>- Когорта 1 Sandbox++ (27 авг. 2026): 36 сценариев использования, 30 финансовых организаций, 27 технологических партнеров; около 100 предложений; охват шире, поэтому напрямую не сопоставима с когортами, состоявшими только из банков (R) [S21]</w:t>
            </w:r>
          </w:p>
          <w:p>
            <w:pPr>
              <w:spacing w:before="0" w:after="20" w:line="250" w:lineRule="auto"/>
            </w:pPr>
            <w:r>
              <w:rPr>
                <w:rFonts w:ascii="Calibri" w:hAnsi="Calibri" w:eastAsia="Calibri"/>
                <w:sz w:val="17"/>
              </w:rPr>
              <w:t>- Более ранняя надзорная песочница HKMA для финтеха (FSS): к концу 2021 г. протестировано около 234 технологических инициатив (речь о тестах, а не о компаниях или запущенных продуктах; документ Законодательного совета со ссылкой на данные HKMA, R) [S21]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Не результаты: целевые показатели, пробелы, неустраненные расхождения</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Не подтверждено: промышленное внедрение, выявленные риски или итоги надзора; совокупные показатели FSS после 2021 г.</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Почему это важно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Повторные когорты с растущим числом предложений свидетельствуют о спросе на тестирование ИИ. Приведенные цифры отражают допуск, а не результаты; часть прироста 2026 г. объясняется более широким охватом Sandbox++ (A).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Вывод для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Начать с одной тематической когорты и расширять программу последующими раундами только по результатам анализа. Рассмотреть объединение участников в пары с технологическими партнерами, как это делает HKMA.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Проектное решение для EUz</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Провести первый раунд полноформатной песочницы как единый набор на пилотные проекты в области ИИ и данных из главы 7 (не более трех-четырех): объявление — не позднее Дня 90, открытие — с принятием Правил песочницы (М4), первые допуски — М6. Параллельно P4 реализуется как внутренний пилотный проект. Решение о более масштабном раунде 2 принять в ходе среднесрочного обзора (М9). Ответственный: Комитет по песочнице; раунд 2: Совет.</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Источники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[S21] пресс-релизы HKMA (дек. 2024, окт. 2025, авг. 2026); аналитический документ Законодательного совета Гонконга (февр. 2022).</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3.8  Песочницы ЕС: масштабный диалог дает разъяснения, но полномочий на освобождение от требований по-прежнему нет</w:t>
            </w:r>
          </w:p>
          <w:p>
            <w:pPr>
              <w:keepNext/>
              <w:spacing w:before="0" w:after="0" w:line="259" w:lineRule="auto"/>
            </w:pPr>
            <w:r>
              <w:rPr>
                <w:rFonts w:ascii="Calibri" w:hAnsi="Calibri" w:eastAsia="Calibri"/>
                <w:color w:val="D7EFE7"/>
                <w:sz w:val="16"/>
              </w:rPr>
              <w:t>Европейский союз | Европейская блокчейн-песочница (2023–2026); песочницы для ИИ по Закону ЕС об ИИ (ст. 57–59); пилот песочницы для ИИ в Испании (закрыт в июне 2026 г.) | статус различается</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Что было внедрено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Европейская блокчейн-песочница: необязывающие трансграничные диалоги проектов с регуляторами без освобождения от требований закона, до 20 сценариев использования в год [S17]. Закон ЕС об ИИ: каждое государство — член ЕС обязано создать не менее одной национальной регуляторной песочницы для ИИ; согласно комментариям юристов, пакет «Цифровой омнибус» (Digital Omnibus) в части ИИ перенес срок выполнения этого требования со 2 августа 2026 г. на 2 августа 2027 г. (S) [S18]. По запросу компетентный орган выдает письменное подтверждение проведенной деятельности и отчет о выходе из песочницы, которые органы надзора за рынком и нотифицированные органы обязаны учитывать как положительный фактор, но без презумпции соответствия (ст. 57(7) в первоначальной редакции). Испанский пилот песочницы для ИИ (Королевский декрет 817/2023), первый в ЕС, завершен 12 июня 2026 г. [S19].</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Опубликованные результаты</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Европейская блокчейн-песочница, когорта 1: 87 заявок, отобрано 20 сценариев использования, участвовали более 50 регуляторов и органов власти (R) [S17]</w:t>
            </w:r>
          </w:p>
          <w:p>
            <w:pPr>
              <w:spacing w:before="0" w:after="20" w:line="250" w:lineRule="auto"/>
            </w:pPr>
            <w:r>
              <w:rPr>
                <w:rFonts w:ascii="Calibri" w:hAnsi="Calibri" w:eastAsia="Calibri"/>
                <w:sz w:val="17"/>
              </w:rPr>
              <w:t>- Итоговый отчет о лучших практиках (11 февр. 2026): 60 сценариев использования в трех когортах (R) [S17]</w:t>
            </w:r>
          </w:p>
          <w:p>
            <w:pPr>
              <w:spacing w:before="0" w:after="20" w:line="250" w:lineRule="auto"/>
            </w:pPr>
            <w:r>
              <w:rPr>
                <w:rFonts w:ascii="Calibri" w:hAnsi="Calibri" w:eastAsia="Calibri"/>
                <w:sz w:val="17"/>
              </w:rPr>
              <w:t>- Испания: 11 систем ИИ завершили пилот и получили дипломы; среди результатов — руководства по соблюдению Закона ЕС об ИИ, опубликованные в ходе пилота, и отчет об итогах (сент. 2026) (R) [S19]</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Не результаты: целевые показатели, пробелы, неустраненные расхождения</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Испания: по данным вторичных источников, в 2025 г. было отобрано 12 систем, а завершили пилот 11; причина расхождения не найдена (S; Приложение B)</w:t>
            </w:r>
          </w:p>
          <w:p>
            <w:pPr>
              <w:spacing w:before="0" w:after="20" w:line="250" w:lineRule="auto"/>
            </w:pPr>
            <w:r>
              <w:rPr>
                <w:rFonts w:ascii="Calibri" w:hAnsi="Calibri" w:eastAsia="Calibri"/>
                <w:sz w:val="17"/>
              </w:rPr>
              <w:t>- Закон ЕС об ИИ: подтверждений того, что акт о реализации (implementing act) по ст. 58 о порядке работы песочниц принят к октябрю 2026 г., не найдено [S18]</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Почему это важно</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Структурированный диалог позволяет в широком масштабе вырабатывать единое толкование норм. Данные об измеренном влиянии на затраты на соблюдение требований или сроки выхода на рынок в доступных источниках не публиковались.</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Вывод для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Публикуемый по каждой когорте отчет о лучших практиках превращает диалоги в разъяснения, пригодные для повторного использования, и укрепляет авторитет организатора как нормотворца в сфере новых технологий. Отчеты о выходе из песочницы, которые последующие органы учитывают, но которые для них не обязательны, — образец для собственных отчетов EUz (Иллюстрация 12).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Проектное решение для EUz</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Закрепить обязательство выпускать Отчет о регуляторных выводах в течение 60 календарных дней после завершения каждой когорты (плановое допущение; для когорты 1 — около М14); отчет утверждается Советом, а его выводы используются в Треке прототипирования регулирования. Ответственный: Секретариат песочницы.</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Источники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[S17] страницы European Blockchain Sandbox, итоговый отчет (февр. 2026); [S18] юридический комментарий к Digital Omnibus; [S19] пресс-релиз Правительства Испании, отчет об итогах; Закон ЕС об ИИ (Регламент (ЕС) 2024/1689), ст. 57(7).</w:t>
            </w:r>
          </w:p>
        </w:tc>
      </w:tr>
    </w:tbl>
    <w:p>
      <w:pPr>
        <w:spacing w:before="0" w:after="100" w:line="168" w:lineRule="auto"/>
      </w:pPr>
    </w:p>
    <w:p>
      <w:pPr>
        <w:pStyle w:val="Heading1"/>
        <w:pageBreakBefore/>
        <w:pBdr>
          <w:bottom w:val="single" w:sz="12" w:space="3" w:color="009162"/>
        </w:pBdr>
      </w:pPr>
      <w:r>
        <w:rPr>
          <w:rFonts w:ascii="Calibri" w:hAnsi="Calibri" w:eastAsia="Calibri"/>
        </w:rPr>
        <w:t>4. Инновационные механизмы и кейсы: у проверенных инструментов эффект скромный, у новых он в основном не измерен</w:t>
      </w:r>
    </w:p>
    <w:p>
      <w:pPr>
        <w:pStyle w:val="Heading2"/>
      </w:pPr>
      <w:r>
        <w:rPr>
          <w:rFonts w:ascii="Calibri" w:hAnsi="Calibri" w:eastAsia="Calibri"/>
        </w:rPr>
        <w:t>4.1 Четырнадцать механизмов: лучше всего подтверждены получение лицензии по итогам тестирования и эффект финансирования в Великобритании; ускоренные треки и тестирование ИИ пока не получили независимой оценки</w:t>
      </w:r>
    </w:p>
    <w:p>
      <w:pPr>
        <w:spacing w:before="0" w:after="80" w:line="259" w:lineRule="auto"/>
      </w:pPr>
      <w:r>
        <w:rPr>
          <w:rFonts w:ascii="Calibri" w:hAnsi="Calibri" w:eastAsia="Calibri"/>
          <w:sz w:val="18"/>
        </w:rPr>
        <w:t xml:space="preserve">Условные обозначения статусов: </w:t>
      </w:r>
      <w:r>
        <w:rPr>
          <w:rFonts w:ascii="Calibri" w:hAnsi="Calibri" w:eastAsia="Calibri"/>
          <w:b/>
          <w:sz w:val="18"/>
        </w:rPr>
        <w:t>Доказан</w:t>
      </w:r>
      <w:r>
        <w:rPr>
          <w:rFonts w:ascii="Calibri" w:hAnsi="Calibri" w:eastAsia="Calibri"/>
          <w:sz w:val="18"/>
        </w:rPr>
        <w:t xml:space="preserve"> — действует, результаты задокументированы; </w:t>
      </w:r>
      <w:r>
        <w:rPr>
          <w:rFonts w:ascii="Calibri" w:hAnsi="Calibri" w:eastAsia="Calibri"/>
          <w:b/>
          <w:sz w:val="18"/>
        </w:rPr>
        <w:t>Действует без данных об эффекте</w:t>
      </w:r>
      <w:r>
        <w:rPr>
          <w:rFonts w:ascii="Calibri" w:hAnsi="Calibri" w:eastAsia="Calibri"/>
          <w:sz w:val="18"/>
        </w:rPr>
        <w:t xml:space="preserve"> — работает, но надежных данных об итогах не найдено; </w:t>
      </w:r>
      <w:r>
        <w:rPr>
          <w:rFonts w:ascii="Calibri" w:hAnsi="Calibri" w:eastAsia="Calibri"/>
          <w:b/>
          <w:sz w:val="18"/>
        </w:rPr>
        <w:t>Экспериментальный</w:t>
      </w:r>
      <w:r>
        <w:rPr>
          <w:rFonts w:ascii="Calibri" w:hAnsi="Calibri" w:eastAsia="Calibri"/>
          <w:sz w:val="18"/>
        </w:rPr>
        <w:t xml:space="preserve"> — на ранней стадии или не завершен; </w:t>
      </w:r>
      <w:r>
        <w:rPr>
          <w:rFonts w:ascii="Calibri" w:hAnsi="Calibri" w:eastAsia="Calibri"/>
          <w:b/>
          <w:sz w:val="18"/>
        </w:rPr>
        <w:t>Предложен</w:t>
      </w:r>
      <w:r>
        <w:rPr>
          <w:rFonts w:ascii="Calibri" w:hAnsi="Calibri" w:eastAsia="Calibri"/>
          <w:sz w:val="18"/>
        </w:rPr>
        <w:t xml:space="preserve"> — объявлен, но не реализован. В скобках указана причина. Инновационность сама по себе не считается свидетельством успеха.</w:t>
      </w:r>
    </w:p>
    <w:p>
      <w:pPr>
        <w:pStyle w:val="ExhibitTitle"/>
      </w:pPr>
      <w:r>
        <w:rPr>
          <w:rFonts w:ascii="Calibri" w:hAnsi="Calibri" w:eastAsia="Calibri"/>
        </w:rPr>
        <w:t>Иллюстрация 4. Карточки механизмов: международные примеры, опубликованные результаты, ценность для EUz и требования к внедрению</w:t>
      </w:r>
    </w:p>
    <w:tbl>
      <w:tblPr>
        <w:tblW w:w="9639" w:type="dxa"/>
        <w:jc w:val="center"/>
        <w:tblLayout w:type="fixed"/>
        <w:tblLook w:firstColumn="1" w:firstRow="1" w:lastColumn="0" w:lastRow="0" w:noHBand="0" w:noVBand="1" w:val="04A0"/>
      </w:tblPr>
      <w:tblGrid>
        <w:gridCol w:w="1417"/>
        <w:gridCol w:w="1587"/>
        <w:gridCol w:w="2211"/>
        <w:gridCol w:w="1417"/>
        <w:gridCol w:w="1587"/>
        <w:gridCol w:w="1417"/>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Механизм</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Международный пример</w:t>
            </w:r>
          </w:p>
        </w:tc>
        <w:tc>
          <w:tcPr>
            <w:tcW w:type="dxa" w:w="221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Опубликованный результат (тип подтверждения)</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Ценность для EUz</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Требования к внедрению</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Статус</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 Экспресс- / ускоренный трек</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Sandbox Express (2019)</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Целевой срок ответа — 21 день (T); данных об использовании и фактических сроках рассмотрения нет [S8]. Стандартный трек: медиана — около 3 месяцев с учетом времени заявителя (R) [S7]. Трек денежных переводов упразднен в янв. 2020 в преддверии нового закона о платежах (R) [S8]</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Предсказуемое решение по низкорисковым делам</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Заранее определенные категории, каждая привязана к конкретному правовому режиму и основанию пересмотра; утвержденные Советом стандартные условия; публичный отчет о соблюдении сроков</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данных об эффекте</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2 Разъяснения без освобождений</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Песочница ICO; Ofgem Innovation Link; Япония: система устранения «серых зон» (с 2014)</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Ofgem, окно 1: по 22 из 30 заявок о заинтересованности было достаточно обратной связи (R) [S6]. ICO: опубликованные отчеты о выходе из песочницы (R) [S5]. Япония: компетентное министерство отвечает, по общему правилу, примерно в течение одного месяца; ответы публикуются (R) [S20]; число ответов не подтверждено</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Полномочия на освобождение не нужны; применим до утверждения правил</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Куратор проекта; юрисконсульты; политика публикации; позиции по национальным нормам — с совместной подписью компетентного регулятора или пометкой «без обязательной силы»</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данных об эффекте (результаты работ задокументированы)</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3 Многотрековая модель</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Sandbox, Sandbox Express, Sandbox Plus; ЦБ РУз: проект обновления с тремя треками (по опубликованным данным)</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Plus: до конца сент. 2025 одобрений не было (R) [S7]; Sandbox Express: см. механизм 1. О проекте ЦБ РУз сообщалось (S) [S29]; текущий статус не проверялся</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Соразмерность усилий риску</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Четкие критерии допуска для каждого трека; начать с двух треков</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данных об эффекте (один трек не используется)</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4 Межотраслевая песочница</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Япония (2018; бессрочно с 2021); Корея: песочница ИКТ-конвергенции (2019)</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Япония: более 30 проектов одобрено к 2024 г. (МВФ) [S20]; 33 плана, 152 организации к марту 2025 г. (Офис Кабинета министров, R). Корея (ИКТ-конвергенция): число заявок за два года сократилось со 110 до 67 (пресса, авг. 2026, S); общий режим разделен между шестью министерствами (S) [S23]</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Межведомственное «единое окно» для новых технологий; оценивать по итогам, а не по числу заявок (A)</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Протоколы согласования и MoU с национальными регуляторами (без полномочий их обязывать); единые материалы дела</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данных об эффекте</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5 Временные освобождения</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Корея: статус инновационной финансовой услуги (2019); Великобритания: Digital Securities Sandbox (на основе закона, 2024)</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Корея: к марту 2024 г. статус присвоен более чем 300 услугам (R); заявленный эффект — 2 220 рабочих мест и 6,03 трлн вон инвестиций (R, FSC) [S23]. Великобритания: с 8 янв. 2024 г. подзаконный акт SI 2023/1398 позволяет Банку Англии и FCA изменять или не применять к участникам указанные в нем нормы законодательства о финансовых рынках [S45]</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Правовая определенность на срок тестирования</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Закрепленное законом полномочие изменять нормы — условие реальной гибкости (опыт Великобритании; см. Иллюстрацию 13); лимиты; порог остановки; фиксированный срок</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данных об эффекте (заявленные Кореей итоги: методика не изучалась)</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6 Прототипирование регулирования</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Межотраслевые песочницы Японии и Кореи; когорта FCA по стейблкоинам (2026)</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Япония: общее число изменений правил по итогам тестов не опубликовано [S20]. Корея: улучшение регулирования по 373 из 1 752 одобренных проектов к 2025 г., по данным исследования ICO (S; корейский источник не проверялся) [S46]. FCA: выводы по стейблкоинам будут учтены при подготовке окончательных правил (T) [S41]</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Превращает тесты в правила</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Путь нормотворчества Совета; записка о выводах для регулирования при каждом выходе</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данных об эффекте (число изменений правил не проверялось)</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7 Успешный выход из песочницы</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SAMA, DFSA (выход на лицензию по действующим правилам); отчет о выходе по Закону ЕС об ИИ (ст. 57(7))</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лицензию получили 15 из 19 принятых в песочницу компаний (конец сент. 2025; охват по трекам неясен) [S7]; SAMA: успешно завершили тестирование 18 из 45 допущенных (май 2023) [S22]; DFSA: успешно завершили тестирование 3 из 51 принятой компании (июн. 2021) [S14]; все — R. Австралия: 1 лицензия на 16 выходов (S) [S24]</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Задает критерий успеха и исключает «зависание»</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Варианты выхода и требуемые доказательства определяются при допуске; консультации с лицензирующими органами; письменный отчет о выходе, учитываемый последующими органами, но не обязательный для them (модель Закона ЕС об ИИ)</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Доказан (показатели по данным регуляторов; между программами несопоставимы)</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8 Трансграничные коридоры</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Пилот трансграничного тестирования GFIN; пилотная сделка Сингапур — Абу-Даби на основе MLETR</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GFIN: 44 заявки, 17 регуляторов, отобрано 8 компаний; на момент отчета (янв. 2020) ни одна не приступила к тестированию (R) [S15]; итоги испытаний 2020–21 гг. не подтверждены. Отраслевая пресса: первая сделка Сингапур — Абу-Даби на основе MLETR (пилот, S) [S34]</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Международный охват и авторитет</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Двусторонние MoU; взаимное признание; общий план тестирования</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Экспериментальный (завершенных трансграничных тестов не задокументировано)</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9 Цифровая песочница, синтетические данные</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FCA Digital Sandbox (пилоты 2020–2022)</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Пилот 1: 28 организаций (R); выше всего оценены синтетические данные; лишь около половины сочли, что они оправдали ожидания (P, в изложении FCA) [S4]. С авг. 2023 работает на постоянной основе, оператор — поставщик (NayaOne); в каталоге более 300 наборов данных (R) [S42]</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Снимает барьер доступа к данным</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Изолированная среда; наборы данных со спецификациями качества; API-шлюз; эксплуатация поставщиком под контролем EUz</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данных об эффекте (только опрос участников)</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10 Тесты моделей ИИ и в реальных условиях</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HKMA GenAI Sandbox; FCA AI Live Testing и Supercharged Sandbox; испанская песочница для ИИ</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HKMA: допущено 15, 27, затем 36 сценариев использования (последнее значение — при расширенном охвате, R) [S21]. FCA AI Live Testing: когорты из 7 и 8 компаний (R); оценка ожидается в 1-м кв. 2027 г. (T) [S44]. Supercharged Sandbox: только качественные итоги (P) [S43]. Испания: пилот завершили 11 систем ИИ (R) [S19]</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Соответствует теме когорты 1 EUz: ИИ и данные</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Независимый партнер по обеспечению доверия к ИИ; протоколы тестирования; оценка, закрепленная заранее</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Экспериментальный</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11 Регулятор в контуре, межрегуляторный формат</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Европейская блокчейн-песочница; TradeTech (WEF и ОАЭ)</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Блокчейн-песочница, когорта 1: более 50 регуляторов и органов власти (R) [S17]; TradeTech: четыре регулятора ОАЭ, по данным WEF (P) [S11]</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Единый план тестирования для всех органов</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Ведущий орган; протокол согласования</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данных об эффекте</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12 Допуск как сигнал для инвесторов</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Великобритания: песочница FCA (исследование BIS); гранты MAS Sandbox Plus</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После допуска привлечено примерно на 15% больше капитала (I) [S2]; Sandbox Plus: до конца сент. 2025 одобрений не было (см. механизм 3)</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Коммерческая привлекательность для участников</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Сбор данных об итогах с момента допуска; грантовый трек — только после подтверждения спроса</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Доказан (Великобритания, I); эффект грантов не доказан (MAS Sandbox Plus)</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13 Публикуемые отчеты о выходе и о выводах</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ICO; Европейская блокчейн-песочница; испанская песочница для ИИ</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ICO: отчеты о выходе; отчет о выводах 2024 г. по 14 участникам (R) [S5][S46]. Блокчейн-песочница: отчет о лучших практиках, 60 сценариев использования (февр. 2026, R) [S17]. Испания: отчет об итогах (сент. 2026, R) [S19]</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Репутация нормотворца</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Оговорки о конфиденциальности; редакционный процесс</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данных об эффекте (результаты работ задокументированы)</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14 Непрерывный прием заявок</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FCA: непрерывный прием (с авг. 2021); DFSA: круглогодичное окно приема заявок (с июл. 2022)</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DFSA: решения обычно принимаются через 10–12 недель после подачи полной заявки (ориентировочно, T) [S50]. FCA: тематические когорты с конца 2025 г. [S41]</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Без ожидания очередной когорты; параллельно возможны тематические наборы</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Постоянные ресурсы на разбор заявок</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данных об эффекте</w:t>
            </w:r>
          </w:p>
        </w:tc>
      </w:tr>
    </w:tbl>
    <w:p>
      <w:pPr>
        <w:spacing w:before="0" w:after="40" w:line="144" w:lineRule="auto"/>
      </w:pPr>
    </w:p>
    <w:p>
      <w:pPr>
        <w:spacing w:before="40" w:after="160" w:line="240" w:lineRule="auto"/>
      </w:pPr>
      <w:r>
        <w:rPr>
          <w:rFonts w:ascii="Calibri" w:hAnsi="Calibri" w:eastAsia="Calibri"/>
          <w:color w:val="6B6E70"/>
          <w:sz w:val="15"/>
        </w:rPr>
        <w:t>Результаты приведены по данным указанных источников; ни один из них пока не сверен с полным текстом первоисточника (Приложение D, шаг 2). В Иллюстрации 5 (глава 5) эти механизмы преобразованы в рекомендации для EUz.</w:t>
      </w:r>
    </w:p>
    <w:p>
      <w:pPr>
        <w:pStyle w:val="Heading2"/>
      </w:pPr>
      <w:r>
        <w:rPr>
          <w:rFonts w:ascii="Calibri" w:hAnsi="Calibri" w:eastAsia="Calibri"/>
        </w:rPr>
        <w:t>4.2 Семь кейсов: в лицензировании есть завершенные итоги; подтвержденной аудитом экономии затрат не найдено; данных об изменении правил мало</w:t>
      </w:r>
    </w:p>
    <w:p>
      <w:pPr>
        <w:spacing w:before="0" w:after="80" w:line="259" w:lineRule="auto"/>
      </w:pPr>
      <w:r>
        <w:rPr>
          <w:rFonts w:ascii="Calibri" w:hAnsi="Calibri" w:eastAsia="Calibri"/>
          <w:sz w:val="18"/>
        </w:rPr>
        <w:t>Для каждого кейса указан статус; цифры из Иллюстрации 4 и карточек главы 3 не повторяются. Последний столбец — анализ (A).</w:t>
      </w:r>
    </w:p>
    <w:tbl>
      <w:tblPr>
        <w:tblW w:w="9639" w:type="dxa"/>
        <w:jc w:val="center"/>
        <w:tblLayout w:type="fixed"/>
        <w:tblLook w:firstColumn="1" w:firstRow="1" w:lastColumn="0" w:lastRow="0" w:noHBand="0" w:noVBand="1" w:val="04A0"/>
      </w:tblPr>
      <w:tblGrid>
        <w:gridCol w:w="1587"/>
        <w:gridCol w:w="5216"/>
        <w:gridCol w:w="2835"/>
      </w:tblGrid>
      <w:tr>
        <w:trPr>
          <w:cantSplit/>
          <w:tblHeader/>
        </w:trPr>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Кейс</w:t>
            </w:r>
          </w:p>
        </w:tc>
        <w:tc>
          <w:tcPr>
            <w:tcW w:type="dxa" w:w="5216"/>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Что произошло (статус)</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Как EUz может применить этот опыт</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 От песочницы к коммерческому запуску</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Первый успешный выход из песочницы DFSA (Sarwa) и получение лицензий участниками MAS (завершено, R; карточки 3.2, 3.5).</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Засчитывать запуск только при переходе на постоянный режим деятельности; отслеживать срок от допуска до получения постоянного статуса.</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B. Снижение затрат и неопределенности</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 xml:space="preserve">Наиболее близкие данные (Иллюстрация 4, механизмы 2 и 12): эффект финансирования в Великобритании (I) [S2]; первичный разбор заявок Ofgem с выдачей только обратной связи (завершено, R) [S6]. </w:t>
            </w:r>
            <w:r>
              <w:rPr>
                <w:rFonts w:ascii="Calibri" w:hAnsi="Calibri" w:eastAsia="Calibri"/>
                <w:b/>
                <w:color w:val="39393B"/>
                <w:sz w:val="16"/>
              </w:rPr>
              <w:t>Подтвержденного аудитом снижения затрат на соблюдение требований или сроков одобрения не выявлено ни в одной из рассмотренных программ (пробел в доказательной базе).</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При допуске фиксировать базовые значения затрат и сроков по оценке участника; результаты помечать как оценочные.</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C. Цифровая песочница с синтетическими данными</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FCA Digital Sandbox: два пилота (завершены, R), затем постоянный сервис (действует, R; Иллюстрация 4, механизм 9; карточка 3.3).</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Предоставлять синтетические данные пилотам по ИИ и данным; проверять их качество вместе с пользователями.</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D. Песочница как источник регулирования</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В 2021 г. песочница Японии закреплена законом на постоянной основе (завершено, R); итоги когорты FCA по стейблкоинам будут учтены при подготовке окончательных правил о стейблкоинах (продолжается, T) [S41]. Данные о числе изменений правил отсутствуют или не проверены (Иллюстрация 4, механизм 6).</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Завершать каждый пилот запиской Совету: изменить правила, дать разъяснения или ничего не менять.</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E. Межрегуляторное тестирование</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Диалоги в рамках Европейской блокчейн-песочницы (программа 2023–2026; итоговый отчет — февр. 2026, R) и песочница TradeTech в ОАЭ под эгидой организатора диалога (доклад WEF — окт. 2025; текущий статус не подтвержден, P); карточки 3.6, 3.8.</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Единый план тестирования; один ведущий орган; установленные этапы согласования.</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F. Трансграничный эксперимент</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Первый пилот GFIN по трансграничному тестированию: завершенных тестов не задокументировано (R) [S15]; отраслевая пресса сообщает о первой пилотной сделке Сингапур — Абу-Даби на основе MLETR (S) [S34] (Иллюстрация 4, механизм 8).</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Отложить Трансграничный трек на 2-й год; начать с одного двустороннего MoU и признания решения регулятора-партнера о тестировании.</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G. Экономика новых технологий</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Песочницы для ИИ HKMA, FCA и Испании (Иллюстрация 4, механизм 10; карточки 3.3, 3.7, 3.8): испанская завершилась в июне 2026 г., остальные продолжают работу. Ofgem планирует с конца осени 2026 г. запустить 12-месячный пилот AI Technical Sandbox (решение принято в июне 2026 г., R) [S48]. В августе 2026 г. пресса сообщала об интересе к тестированию дронов и роботакси в EUz (S) [S27].</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ИИ и данные — тема когорты 1; беспилотный транспорт оставить под наблюдением с учетом полномочий органов по физической безопасности.</w:t>
            </w:r>
          </w:p>
        </w:tc>
      </w:tr>
    </w:tbl>
    <w:p>
      <w:pPr>
        <w:spacing w:before="0" w:after="40" w:line="144" w:lineRule="auto"/>
      </w:pPr>
    </w:p>
    <w:p>
      <w:pPr>
        <w:pStyle w:val="Heading1"/>
        <w:pageBreakBefore/>
        <w:pBdr>
          <w:bottom w:val="single" w:sz="12" w:space="3" w:color="009162"/>
        </w:pBdr>
      </w:pPr>
      <w:r>
        <w:rPr>
          <w:rFonts w:ascii="Calibri" w:hAnsi="Calibri" w:eastAsia="Calibri"/>
        </w:rPr>
        <w:t>5. Стратегическая архитектура песочницы EUz: целевая операционная модель — компактная на старте, расширяемая только при наличии доказательств</w:t>
      </w: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Основа главы: положения актов по опубликованным данным, еще не сверенные с официальными текстами</w:t>
            </w:r>
          </w:p>
          <w:p>
            <w:pPr>
              <w:spacing w:before="0" w:after="40" w:line="252" w:lineRule="auto"/>
            </w:pPr>
            <w:r>
              <w:rPr>
                <w:rFonts w:ascii="Calibri" w:hAnsi="Calibri" w:eastAsia="Calibri"/>
                <w:sz w:val="17"/>
              </w:rPr>
              <w:t xml:space="preserve">Проектные решения опираются на данные глав 2–4. Сведения о полномочиях Международного центра цифровых технологий (далее — Центр; по опубликованным данным, действует под названием Enterprise Uzbekistan) основаны на записях в официальных базах данных, сообщениях прессы и рабочих материалах EUz (W). </w:t>
            </w:r>
            <w:r>
              <w:rPr>
                <w:rFonts w:ascii="Calibri" w:hAnsi="Calibri" w:eastAsia="Calibri"/>
                <w:b/>
                <w:sz w:val="17"/>
              </w:rPr>
              <w:t>Официальные тексты еще не изучены (Приложение D, шаг 1).</w:t>
            </w:r>
          </w:p>
          <w:p>
            <w:pPr>
              <w:spacing w:before="0" w:after="40" w:line="252" w:lineRule="auto"/>
            </w:pPr>
            <w:r>
              <w:rPr>
                <w:rFonts w:ascii="Calibri" w:hAnsi="Calibri" w:eastAsia="Calibri"/>
                <w:b/>
                <w:sz w:val="17"/>
              </w:rPr>
              <w:t>Правовые акты.</w:t>
            </w:r>
            <w:r>
              <w:rPr>
                <w:rFonts w:ascii="Calibri" w:hAnsi="Calibri" w:eastAsia="Calibri"/>
                <w:sz w:val="17"/>
              </w:rPr>
              <w:t xml:space="preserve"> Указом УП-233 от 26 ноября 2025 г. организована деятельность Центра, впервые созданного Указом УП-25 от 1 февраля 2024 г. (запись в lex.uz) [S28]. Пресса сообщает о специальном правовом режиме, основанном на нормах общего права Англии и Уэльса или на стандартах ведущих международных финансовых центров [S27]. Закон о Центре — ЗРУ-1169 от 19 августа 2026 г. (запись в lex.uz [S57]; по сообщениям прессы, конституционный закон); одно издание сообщает о вступлении его в силу 21 января 2027 г., что необходимо сверить с заключительными положениями закона [S27]. До этой даты действующей основой, предположительно, остается нормативная база на уровне указов (подлежит подтверждению юрисконсультами).</w:t>
            </w:r>
          </w:p>
          <w:p>
            <w:pPr>
              <w:spacing w:before="0" w:after="40" w:line="252" w:lineRule="auto"/>
            </w:pPr>
            <w:r>
              <w:rPr>
                <w:rFonts w:ascii="Calibri" w:hAnsi="Calibri" w:eastAsia="Calibri"/>
                <w:b/>
                <w:sz w:val="17"/>
              </w:rPr>
              <w:t>Положения о песочнице по опубликованным данным (выдержки из прессы и результатов поиска).</w:t>
            </w:r>
            <w:r>
              <w:rPr>
                <w:rFonts w:ascii="Calibri" w:hAnsi="Calibri" w:eastAsia="Calibri"/>
                <w:sz w:val="17"/>
              </w:rPr>
              <w:t xml:space="preserve"> Регуляторная песочница может вводиться (согласно одной из выдержек — Администрацией Центра) на срок до 12 месяцев, если Управляющий совет не установит иной срок (в ряде сообщений — «Правление»; предположительно, имеется в виду Совет; подлежит подтверждению, Приложение D, шаг 1). Участники временно освобождаются от некоторых требований законодательства; отдельные издания упоминают также упрощенное лицензирование и доступ к инфраструктуре Центра. Детальный порядок, как ожидается, будет установлен решениями Совета и подзаконными актами; на 20 октября 2026 г. ни один из них не опубликован [S27]. Обязательный или дискреционный характер режима, а также роль Администрации Центра пока не определены.</w:t>
            </w:r>
          </w:p>
          <w:p>
            <w:pPr>
              <w:spacing w:before="0" w:after="40" w:line="252" w:lineRule="auto"/>
            </w:pPr>
            <w:r>
              <w:rPr>
                <w:rFonts w:ascii="Calibri" w:hAnsi="Calibri" w:eastAsia="Calibri"/>
                <w:b/>
                <w:sz w:val="17"/>
              </w:rPr>
              <w:t>Система управления по опубликованным данным.</w:t>
            </w:r>
            <w:r>
              <w:rPr>
                <w:rFonts w:ascii="Calibri" w:hAnsi="Calibri" w:eastAsia="Calibri"/>
                <w:sz w:val="17"/>
              </w:rPr>
              <w:t xml:space="preserve"> Управляющий совет возглавляет Президент, который утверждает его состав; исполнительные функции выполняет Администрация Центра; споры участников рассматривает Ташкентский международный коммерческий суд [S27][S57]. В рабочих материалах EUz допуск предусмотрен в форме решения Совета, ограниченного указанными в нем продуктом, клиентами, территорией, сроком и объемом, без автоматического права на коммерческий запуск; тестирование в финансовой сфере проводится по решению компетентного регулятора (W) [S31].</w:t>
            </w:r>
          </w:p>
          <w:p>
            <w:pPr>
              <w:spacing w:before="0" w:after="40" w:line="252" w:lineRule="auto"/>
            </w:pPr>
            <w:r>
              <w:rPr>
                <w:rFonts w:ascii="Calibri" w:hAnsi="Calibri" w:eastAsia="Calibri"/>
                <w:b/>
                <w:sz w:val="17"/>
              </w:rPr>
              <w:t>Вывод для проектирования (A).</w:t>
            </w:r>
            <w:r>
              <w:rPr>
                <w:rFonts w:ascii="Calibri" w:hAnsi="Calibri" w:eastAsia="Calibri"/>
                <w:sz w:val="17"/>
              </w:rPr>
              <w:t xml:space="preserve"> Модель, при которой Совет делегирует полномочия Комитету по песочнице, действующему по установленным Советом требованиям при организационном обеспечении Администрации Центра, согласуется с формулировками, известными по опубликованным данным, но ее должны подтвердить юрисконсульты (мера 2); запасной вариант — решение по каждому делу принимает Совет. </w:t>
            </w:r>
            <w:r>
              <w:rPr>
                <w:rFonts w:ascii="Calibri" w:hAnsi="Calibri" w:eastAsia="Calibri"/>
                <w:b/>
                <w:sz w:val="17"/>
              </w:rPr>
              <w:t>Модель не исходит из того, что EUz вправе освобождать от требований какого-либо национального регулятора.</w:t>
            </w:r>
          </w:p>
        </w:tc>
      </w:tr>
    </w:tbl>
    <w:p>
      <w:pPr>
        <w:spacing w:before="0" w:after="40" w:line="144" w:lineRule="auto"/>
      </w:pPr>
    </w:p>
    <w:p>
      <w:pPr>
        <w:pStyle w:val="Heading3"/>
      </w:pPr>
      <w:r>
        <w:rPr>
          <w:rFonts w:ascii="Calibri" w:hAnsi="Calibri" w:eastAsia="Calibri"/>
        </w:rPr>
        <w:t>Что EUz заимствует из международной практики</w:t>
      </w:r>
    </w:p>
    <w:p>
      <w:pPr>
        <w:spacing w:before="0" w:after="80" w:line="259" w:lineRule="auto"/>
      </w:pPr>
      <w:r>
        <w:rPr>
          <w:rFonts w:ascii="Calibri" w:hAnsi="Calibri" w:eastAsia="Calibri"/>
          <w:sz w:val="18"/>
        </w:rPr>
        <w:t>В Иллюстрации 5 четырнадцать механизмов из Иллюстрации 4 преобразованы в меры EUz с указанием ответственных и сроков начала (День запуска: цель — День 90, около М3; последовательность запуска — раздел 5.9).</w:t>
      </w:r>
    </w:p>
    <w:p>
      <w:pPr>
        <w:pStyle w:val="ExhibitTitle"/>
      </w:pPr>
      <w:r>
        <w:rPr>
          <w:rFonts w:ascii="Calibri" w:hAnsi="Calibri" w:eastAsia="Calibri"/>
        </w:rPr>
        <w:t>Иллюстрация 5. Матрица: от международных механизмов к рекомендациям для EUz</w:t>
      </w:r>
    </w:p>
    <w:tbl>
      <w:tblPr>
        <w:tblW w:w="9639" w:type="dxa"/>
        <w:jc w:val="center"/>
        <w:tblLayout w:type="fixed"/>
        <w:tblLook w:firstColumn="1" w:firstRow="1" w:lastColumn="0" w:lastRow="0" w:noHBand="0" w:noVBand="1" w:val="04A0"/>
      </w:tblPr>
      <w:tblGrid>
        <w:gridCol w:w="2041"/>
        <w:gridCol w:w="5216"/>
        <w:gridCol w:w="2381"/>
      </w:tblGrid>
      <w:tr>
        <w:trPr>
          <w:cantSplit/>
          <w:tblHeader/>
        </w:trPr>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Механизм</w:t>
            </w:r>
          </w:p>
        </w:tc>
        <w:tc>
          <w:tcPr>
            <w:tcW w:type="dxa" w:w="5216"/>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Рекомендация для EUz (мера, ответственный)</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Сроки</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Разъяснения без освобождений</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Трек разъяснений — точка первичного обращения; публикуемые позиции. Юрисконсульт по регуляторным вопросам.</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День запуска</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Публикуемые отчеты о выходе и о выводах</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Один Отчет о регуляторных выводах на когорту, утверждаемый Советом. Секретариат.</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Первый отчет — около М14 (через 60 календарных дней после завершения когорты 1)</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Успешный выход из песочницы</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Доказательства для выхода — в каждом плане тестирования. Комитет по песочнице.</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 первых допусков (М6)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Цифровая песочница, синтетические данные</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Минимально жизнеспособная среда для пилотов по ИИ и данным. Руководитель по платформе и данным.</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Создание MVP — М2–М6; запуск для первых пилотов — М6</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Временные освобождения</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Только от требований в ведении EUz; по остальным — согласие. Совет, регуляторы.</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 М6, в пределах категорий освобождений, установленных Правилами песочницы</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Регулятор в контуре, межрегуляторное тестирование</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Единый план тестирования, назначенный ведущий орган. Комитет по песочнице.</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М6, только пилот 2</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Экспресс- / ускоренный трек</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Экспресс-трек: две заранее определенные низкорисковые категории, разработанные на основе данных когорты 1. Совет.</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Разработка условий — М9–М12; пилот — примерно с М13–М14</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Непрерывный прием заявок</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Трек разъяснений: непрерывный прием. Полноформатная песочница: один набор в 1-й год; непрерывный прием рассматривается при ежегодном обзоре. Секретариат.</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Разъяснения: День запуска; полноформатная песочница: 2-й год</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Тесты моделей ИИ и в реальных условиях</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Первая когорта по теме ИИ и данных (P1–P3; параллельно внутренний пилот P4). Комитет по песочнице.</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Допуск когорты 1 — М6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Прототипирование регулирования</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Сначала записки о выводах для регулирования; трек прототипирования — после обзора. Совет.</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Записки — при выходе когорты 1; пилот — примерно с М13–М14</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Допуск как сигнал для инвесторов</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Демо-дни (A; данных не найдено); без грантового трека до подтверждения спроса (MAS Sandbox Plus). Развитие бизнеса.</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После 6-го месяца</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Межотраслевая песочница</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«Единое окно»; протоколы согласования и MoU с национальными регуляторами (без полномочий их обязывать). Совет, регуляторы.</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День запуска (заложено в модели)</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Многотрековая модель</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Сначала два трека; остальные — согласно разделу 5.3. Совет.</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Поэтапно</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Трансграничные коридоры</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Трансграничный трек: в 1-й год только MoU, без тестов. Международное сотрудничество.</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2-й год</w:t>
            </w:r>
          </w:p>
        </w:tc>
      </w:tr>
    </w:tbl>
    <w:p>
      <w:pPr>
        <w:spacing w:before="0" w:after="40" w:line="144" w:lineRule="auto"/>
      </w:pPr>
    </w:p>
    <w:p>
      <w:pPr>
        <w:spacing w:before="40" w:after="160" w:line="240" w:lineRule="auto"/>
      </w:pPr>
      <w:r>
        <w:rPr>
          <w:rFonts w:ascii="Calibri" w:hAnsi="Calibri" w:eastAsia="Calibri"/>
          <w:color w:val="6B6E70"/>
          <w:sz w:val="15"/>
        </w:rPr>
        <w:t>Рекомендация аналитика (A) на основе Иллюстрации 4. Ответственные — подразделения EUz; национальные регуляторы участвуют только там, где требуется их согласие.</w:t>
      </w:r>
    </w:p>
    <w:p>
      <w:pPr>
        <w:pStyle w:val="Heading2"/>
      </w:pPr>
      <w:r>
        <w:rPr>
          <w:rFonts w:ascii="Calibri" w:hAnsi="Calibri" w:eastAsia="Calibri"/>
        </w:rPr>
        <w:t>5.1 Институциональная архитектура: ответственность, полномочия по принятию решений и этапы согласования</w:t>
      </w:r>
    </w:p>
    <w:p>
      <w:pPr>
        <w:pStyle w:val="ExhibitTitle"/>
      </w:pPr>
      <w:r>
        <w:rPr>
          <w:rFonts w:ascii="Calibri" w:hAnsi="Calibri" w:eastAsia="Calibri"/>
        </w:rPr>
        <w:t>Иллюстрация 6. Предлагаемая архитектура песочницы EUz</w:t>
      </w:r>
    </w:p>
    <w:p>
      <w:pPr>
        <w:keepNext/>
        <w:spacing w:before="0" w:after="40" w:line="259" w:lineRule="auto"/>
        <w:jc w:val="center"/>
      </w:pPr>
      <w:r>
        <w:drawing>
          <wp:inline xmlns:a="http://schemas.openxmlformats.org/drawingml/2006/main" xmlns:pic="http://schemas.openxmlformats.org/drawingml/2006/picture">
            <wp:extent cx="5616000" cy="5518416"/>
            <wp:docPr id="2" name="Picture 2"/>
            <wp:cNvGraphicFramePr>
              <a:graphicFrameLocks noChangeAspect="1"/>
            </wp:cNvGraphicFramePr>
            <a:graphic>
              <a:graphicData uri="http://schemas.openxmlformats.org/drawingml/2006/picture">
                <pic:pic>
                  <pic:nvPicPr>
                    <pic:cNvPr id="0" name="f2_architecture.png"/>
                    <pic:cNvPicPr/>
                  </pic:nvPicPr>
                  <pic:blipFill>
                    <a:blip r:embed="rId10"/>
                    <a:stretch>
                      <a:fillRect/>
                    </a:stretch>
                  </pic:blipFill>
                  <pic:spPr>
                    <a:xfrm>
                      <a:off x="0" y="0"/>
                      <a:ext cx="5616000" cy="5518416"/>
                    </a:xfrm>
                    <a:prstGeom prst="rect"/>
                  </pic:spPr>
                </pic:pic>
              </a:graphicData>
            </a:graphic>
          </wp:inline>
        </w:drawing>
      </w:r>
    </w:p>
    <w:p>
      <w:pPr>
        <w:spacing w:before="40" w:after="160" w:line="240" w:lineRule="auto"/>
      </w:pPr>
      <w:r>
        <w:rPr>
          <w:rFonts w:ascii="Calibri" w:hAnsi="Calibri" w:eastAsia="Calibri"/>
          <w:color w:val="6B6E70"/>
          <w:sz w:val="15"/>
        </w:rPr>
        <w:t>Разработка аналитика (A). Роль Регистратора и компетенция национальных регуляторов подлежат сверке с официальными текстами.</w:t>
      </w:r>
    </w:p>
    <w:p>
      <w:pPr>
        <w:pStyle w:val="ExhibitTitle"/>
      </w:pPr>
      <w:r>
        <w:rPr>
          <w:rFonts w:ascii="Calibri" w:hAnsi="Calibri" w:eastAsia="Calibri"/>
        </w:rPr>
        <w:t>Иллюстрация 7. Система управления и полномочия по принятию решений</w:t>
      </w:r>
    </w:p>
    <w:tbl>
      <w:tblPr>
        <w:tblW w:w="9639" w:type="dxa"/>
        <w:jc w:val="center"/>
        <w:tblLayout w:type="fixed"/>
        <w:tblLook w:firstColumn="1" w:firstRow="1" w:lastColumn="0" w:lastRow="0" w:noHBand="0" w:noVBand="1" w:val="04A0"/>
      </w:tblPr>
      <w:tblGrid>
        <w:gridCol w:w="1757"/>
        <w:gridCol w:w="3231"/>
        <w:gridCol w:w="2211"/>
        <w:gridCol w:w="2438"/>
      </w:tblGrid>
      <w:tr>
        <w:trPr>
          <w:cantSplit/>
          <w:tblHeader/>
        </w:trPr>
        <w:tc>
          <w:tcPr>
            <w:tcW w:type="dxa" w:w="175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Субъект</w:t>
            </w:r>
          </w:p>
        </w:tc>
        <w:tc>
          <w:tcPr>
            <w:tcW w:type="dxa" w:w="32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Принимает решения</w:t>
            </w:r>
          </w:p>
        </w:tc>
        <w:tc>
          <w:tcPr>
            <w:tcW w:type="dxa" w:w="221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Рекомендует / консультирует</w:t>
            </w:r>
          </w:p>
        </w:tc>
        <w:tc>
          <w:tcPr>
            <w:tcW w:type="dxa" w:w="243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Ограничения полномочий</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Управляющий совет</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Правила песочницы; стандартные условия тестирования; перечень треков и сроки их открытия; категории освобождений от требований в пределах собственных полномочий EUz (решения об индивидуальных освобождениях делегированы Комитету); апелляции (коллегия из трех членов, раздел 5.5); ежегодная оценка</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Изменения правил — национальным органам</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 вправе освобождать от требований национального регулятора</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Председатель</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Поручает провести правовую верификацию (D4a); утверждает внешнее распространение английской редакции (D11); подписывает соглашения с партнерами после решения Совета по D8</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Нет</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Не вправе допускать, приостанавливать или выводить участников либо изменять условия тестирования</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Администрация Центра (Исполнительный директор)</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Штат и расходы Секретариата в пределах утвержденной Советом сметы; выбор способа закупки платформы; назначение исполняющего обязанности руководителя песочницы; заключение о готовности к первому допуску (раздел 5.9)</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Операционная модель, бюджет, кандидатуры в состав Комитета и Правила песочницы — Совету</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 вправе допускать, приостанавливать или выводить участников либо изменять условия тестирования</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Комитет по песочнице (по делегированию Совета, при условии подтверждения юрисконсультами)</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Допуск; условия тестирования; индивидуальные освобождения от требований EUz в пределах утвержденных Советом категорий; продление в пределах установленного Советом срока; приостановление; вариант выхода</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Изменения стандартных условий — Совету</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Не вправе допускать без записки о регуляторном картировании и требуемого согласия</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Секретариат песочницы</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Предварительная проверка на соответствие критериям допуска; позиции Трека разъяснений (подписывает руководитель песочницы); меры мониторинга в рамках Правил (например, запросы информации)</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Рекомендации о допуске и выходе; отчеты об оценке результатов</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 вправе предоставлять освобождения от требований или одобрять тестирование; его руководитель не голосует по рекомендациям Секретариата</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Независимые эксперты (пул)</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Только в лице двух членов Комитета с правом голоса; в остальном — совещательная роль</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Оценка рисков и консультации по проектированию тестов: безопасность ИИ, кибербезопасность, защита данных, право, отрасль</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Самоотвод в соответствии с порядком работы Комитета (см. ниже)</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Регистратор</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Только записи в реестре: статус участника песочницы, условия и исключение из нее (роль подлежит подтверждению, W) [S31]</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Проверка статуса</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 вправе допускать или выводить участников</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Национальные регуляторы</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Согласие, если они вправе освободить от требования</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Условия тестирования в их компетенции</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Без права голоса в Комитете; решения EUz обязательны для них только с их согласия</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Участник</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Принимать ли условия</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Проектирование тестирования</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 вправе выходить за утвержденные рамки</w:t>
            </w:r>
          </w:p>
        </w:tc>
      </w:tr>
    </w:tbl>
    <w:p>
      <w:pPr>
        <w:spacing w:before="0" w:after="40" w:line="144" w:lineRule="auto"/>
      </w:pPr>
    </w:p>
    <w:p>
      <w:pPr>
        <w:spacing w:before="40" w:after="160" w:line="240" w:lineRule="auto"/>
      </w:pPr>
      <w:r>
        <w:rPr>
          <w:rFonts w:ascii="Calibri" w:hAnsi="Calibri" w:eastAsia="Calibri"/>
          <w:color w:val="6B6E70"/>
          <w:sz w:val="15"/>
        </w:rPr>
        <w:t>Разработка аналитика (A); подлежит подтверждению в рамках меры 2 путем сверки с полномочиями Совета, указанными в рабочих материалах EUz (ст. 15–17, W) [S31]. Общие службы (главный юрисконсульт, кадровая служба, закупки, коммуникации, развитие бизнеса, международное сотрудничество) поддерживают работу песочницы по поручению Исполнительного директора и не принимают решений о допуске; исключение — главный юрисконсульт (или его представитель), который голосует как член Комитета по песочнице.</w:t>
      </w:r>
    </w:p>
    <w:p>
      <w:pPr>
        <w:spacing w:before="0" w:after="80" w:line="259" w:lineRule="auto"/>
      </w:pPr>
      <w:r>
        <w:rPr>
          <w:rFonts w:ascii="Calibri" w:hAnsi="Calibri" w:eastAsia="Calibri"/>
          <w:b/>
          <w:sz w:val="18"/>
        </w:rPr>
        <w:t>Состав Управляющего совета (по опубликованным данным).</w:t>
      </w:r>
      <w:r>
        <w:rPr>
          <w:rFonts w:ascii="Calibri" w:hAnsi="Calibri" w:eastAsia="Calibri"/>
          <w:sz w:val="18"/>
        </w:rPr>
        <w:t xml:space="preserve"> Согласно поисковой сводке по Приложению 1 к Указу УП-233 (текст еще не изучен), под председательством Президента в Совет входят Премьер-министр, министр экономики и финансов, министры цифровых технологий и юстиции, Председатель Центрального банка и директор NAPP; секретарь — руководитель департамента Администрации Президента [S28]. Подлежит сверке с приложением и составом, утвержденным в соответствии с ЗРУ-1169. Если эти сведения подтвердятся, Центральный банк и NAPP окажутся в составе органа, устанавливающего требования к песочнице. Это полезно для координации и перенаправления заявителей, однако членство в Совете не означает согласия по конкретному делу, и членам Совета следует воздерживаться от участия в рассмотрении дел, апелляций и в принятии решений, относящихся к компетенции их собственного ведомства (A).</w:t>
      </w:r>
    </w:p>
    <w:p>
      <w:pPr>
        <w:pStyle w:val="Heading3"/>
      </w:pPr>
      <w:r>
        <w:rPr>
          <w:rFonts w:ascii="Calibri" w:hAnsi="Calibri" w:eastAsia="Calibri"/>
        </w:rPr>
        <w:t>Комитет по песочнице: состав и порядок работы</w:t>
      </w:r>
    </w:p>
    <w:p>
      <w:pPr>
        <w:numPr>
          <w:ilvl w:val="0"/>
          <w:numId w:val="90"/>
        </w:numPr>
        <w:spacing w:before="0" w:after="40" w:line="259" w:lineRule="auto"/>
      </w:pPr>
      <w:r>
        <w:rPr>
          <w:rFonts w:ascii="Calibri" w:hAnsi="Calibri" w:eastAsia="Calibri"/>
          <w:b/>
          <w:sz w:val="18"/>
        </w:rPr>
        <w:t>Состав (A; аналогов с внешними членами, имеющими право голоса, не найдено).</w:t>
      </w:r>
      <w:r>
        <w:rPr>
          <w:rFonts w:ascii="Calibri" w:hAnsi="Calibri" w:eastAsia="Calibri"/>
          <w:sz w:val="18"/>
        </w:rPr>
        <w:t xml:space="preserve"> С правом голоса: председатель, назначаемый Советом из числа членов руководства EUz (решающий голос), главный юрисконсульт или его представитель и два независимых эксперта. Кворум: председатель и два члена с правом голоса, в том числе не менее одного независимого эксперта. Без права голоса: руководитель песочницы (докладывает дела), представитель Регистратора и профильный национальный регулятор (правила о согласии: раздел 5.8).</w:t>
      </w:r>
    </w:p>
    <w:p>
      <w:pPr>
        <w:numPr>
          <w:ilvl w:val="0"/>
          <w:numId w:val="90"/>
        </w:numPr>
        <w:spacing w:before="0" w:after="40" w:line="259" w:lineRule="auto"/>
      </w:pPr>
      <w:r>
        <w:rPr>
          <w:rFonts w:ascii="Calibri" w:hAnsi="Calibri" w:eastAsia="Calibri"/>
          <w:b/>
          <w:sz w:val="18"/>
        </w:rPr>
        <w:t>Порядок работы (утверждается вместе с Решением D2).</w:t>
      </w:r>
      <w:r>
        <w:rPr>
          <w:rFonts w:ascii="Calibri" w:hAnsi="Calibri" w:eastAsia="Calibri"/>
          <w:sz w:val="18"/>
        </w:rPr>
        <w:t xml:space="preserve"> У каждого независимого эксперта есть назначенный заместитель и фиксированный двухлетний срок полномочий с возможностью однократного продления (плановое допущение). Члены, имеющие конфликт интересов (заявленный и зафиксированный; см. врезку ниже), и эксперты, проводившие экспертизу дела на этапе 4, не голосуют; вместо них участвует заместитель, не рассматривавший это дело. Решения и их обоснования вносятся в обезличенный реестр дел. Все решения, кроме решений о прекращении тестирования, могут приниматься в заочном порядке; решение считается принятым, если в течение 3 р. д. ни один член Комитета с правом голоса не потребует провести заседание (плановое допущение).</w:t>
      </w:r>
    </w:p>
    <w:p>
      <w:pPr>
        <w:numPr>
          <w:ilvl w:val="0"/>
          <w:numId w:val="90"/>
        </w:numPr>
        <w:spacing w:before="0" w:after="40" w:line="259" w:lineRule="auto"/>
      </w:pPr>
      <w:r>
        <w:rPr>
          <w:rFonts w:ascii="Calibri" w:hAnsi="Calibri" w:eastAsia="Calibri"/>
          <w:b/>
          <w:sz w:val="18"/>
        </w:rPr>
        <w:t>Срочное приостановление.</w:t>
      </w:r>
      <w:r>
        <w:rPr>
          <w:rFonts w:ascii="Calibri" w:hAnsi="Calibri" w:eastAsia="Calibri"/>
          <w:sz w:val="18"/>
        </w:rPr>
        <w:t xml:space="preserve"> Председатель Комитета вправе немедленно приостановить тестирование по представлению руководителя песочницы или руководителя по рискам, кибербезопасности и комплаенсу либо по запросу национального регулятора в пределах его компетенции; Комитет подтверждает или отменяет приостановление в течение 2 р. д. (плановое допущение).</w:t>
      </w:r>
    </w:p>
    <w:p>
      <w:pPr>
        <w:pStyle w:val="Heading3"/>
      </w:pPr>
      <w:r>
        <w:rPr>
          <w:rFonts w:ascii="Calibri" w:hAnsi="Calibri" w:eastAsia="Calibri"/>
        </w:rPr>
        <w:t>Ответственность за песочницу и ее Секретариат</w:t>
      </w:r>
    </w:p>
    <w:p>
      <w:pPr>
        <w:spacing w:before="0" w:after="60" w:line="259" w:lineRule="auto"/>
      </w:pPr>
      <w:r>
        <w:rPr>
          <w:rFonts w:ascii="Calibri" w:hAnsi="Calibri" w:eastAsia="Calibri"/>
          <w:b/>
          <w:sz w:val="18"/>
        </w:rPr>
        <w:t>Ответственный.</w:t>
      </w:r>
      <w:r>
        <w:rPr>
          <w:rFonts w:ascii="Calibri" w:hAnsi="Calibri" w:eastAsia="Calibri"/>
          <w:sz w:val="18"/>
        </w:rPr>
        <w:t xml:space="preserve"> За песочницу отвечает Администрация Центра; работу ведет специально созданный Секретариат песочницы во главе с руководителем песочницы (основной состав: Иллюстрация 7a). Решения о соответствии критериям допуска, ведение дел, регуляторное картирование, мониторинг рисков, публикация информации и взаимодействие с регуляторами остаются в ведении EUz.</w:t>
      </w:r>
    </w:p>
    <w:p>
      <w:pPr>
        <w:pStyle w:val="ExhibitTitle"/>
      </w:pPr>
      <w:r>
        <w:rPr>
          <w:rFonts w:ascii="Calibri" w:hAnsi="Calibri" w:eastAsia="Calibri"/>
        </w:rPr>
        <w:t>Иллюстрация 7a. Должности и компетенции в Секретариате (плановое допущение: около шести сотрудников, расширение после когорты 1)</w:t>
      </w:r>
    </w:p>
    <w:tbl>
      <w:tblPr>
        <w:tblW w:w="9639" w:type="dxa"/>
        <w:jc w:val="center"/>
        <w:tblLayout w:type="fixed"/>
        <w:tblLook w:firstColumn="1" w:firstRow="1" w:lastColumn="0" w:lastRow="0" w:noHBand="0" w:noVBand="1" w:val="04A0"/>
      </w:tblPr>
      <w:tblGrid>
        <w:gridCol w:w="1927"/>
        <w:gridCol w:w="4082"/>
        <w:gridCol w:w="3628"/>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Должность</w:t>
            </w:r>
          </w:p>
        </w:tc>
        <w:tc>
          <w:tcPr>
            <w:tcW w:type="dxa" w:w="408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Обязанности</w:t>
            </w:r>
          </w:p>
        </w:tc>
        <w:tc>
          <w:tcPr>
            <w:tcW w:type="dxa" w:w="36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Необходимые компетенции</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Руководитель песочницы</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Нормативные сроки рассмотрения и их соблюдение; секретарь Комитета (докладывает дела); председательствует на ежеквартальном форуме регуляторов; подписывает позиции Трека разъяснений</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Руководящий опыт в сфере регулирования или надзора; опыт взаимодействия с национальными регуляторами</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Два куратора проектов</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Единое контактное лицо для заявителя; подготовка планов тестирования; мониторинг тестов в реальных условиях</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Понимание продуктов и технологий; подготовка планов тестирования</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Юрисконсульт по регуляторным вопросам</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Записки о регуляторном картировании; позиции Трека разъяснений; заключения о вариантах выхода</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Право в сфере финансовых услуг, защиты данных и технологий</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Руководитель по рискам, кибербезопасности и комплаенсу</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Мониторинг; инциденты; пороги остановки; проверка благонадежности и по санкционным спискам</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Операционные и киберриски; ПОД/ФТ и проверка по санкционным спискам; управление инцидентами</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Руководитель по платформе и данным</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MVP платформы; синтетические данные; управление поставщиками</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Защищенные среды; синтетические данные; управление поставщиками</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Внешние подрядчики под контролем EUz</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Эксплуатация тестовой среды; профильная экспертиза; независимая оценка результатов когорты 1</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Независимость: экспертов и специалистов по оценке всегда назначает и оплачивает EUz, а не участник, тест которого они оценивают</w:t>
            </w:r>
          </w:p>
        </w:tc>
      </w:tr>
    </w:tbl>
    <w:p>
      <w:pPr>
        <w:spacing w:before="0" w:after="40" w:line="144" w:lineRule="auto"/>
      </w:pPr>
    </w:p>
    <w:p>
      <w:pPr>
        <w:spacing w:before="40" w:after="160" w:line="240" w:lineRule="auto"/>
      </w:pPr>
      <w:r>
        <w:rPr>
          <w:rFonts w:ascii="Calibri" w:hAnsi="Calibri" w:eastAsia="Calibri"/>
          <w:color w:val="6B6E70"/>
          <w:sz w:val="15"/>
        </w:rPr>
        <w:t>Плановое допущение (A), а не эталонное значение. Рабочие языки: английский и языки национальных нормативных актов (узбекский и русский). Каждая общая служба (главный юрисконсульт, закупки, коммуникации, кадровая служба, информационная безопасность, финансы) не позднее Дня 30 назначает контактное лицо и письменно подтверждает объем выделяемого времени. Трудозатраты в часах учитываются по каждому делу начиная с первого; любому повышению лимита приема в полноформатную песочницу предшествует обзор на 9-м месяце, в ходе которого фактические трудозатраты на одно дело Трека разъяснений и на одно дело полноформатной песочницы сопоставляются с этим допущением.</w:t>
      </w:r>
    </w:p>
    <w:p>
      <w:pPr>
        <w:pStyle w:val="Heading3"/>
      </w:pPr>
      <w:r>
        <w:rPr>
          <w:rFonts w:ascii="Calibri" w:hAnsi="Calibri" w:eastAsia="Calibri"/>
        </w:rPr>
        <w:t>Регуляторы и надзор за тестированием в реальных условиях</w:t>
      </w:r>
    </w:p>
    <w:p>
      <w:pPr>
        <w:numPr>
          <w:ilvl w:val="0"/>
          <w:numId w:val="90"/>
        </w:numPr>
        <w:spacing w:before="0" w:after="40" w:line="259" w:lineRule="auto"/>
      </w:pPr>
      <w:r>
        <w:rPr>
          <w:rFonts w:ascii="Calibri" w:hAnsi="Calibri" w:eastAsia="Calibri"/>
          <w:b/>
          <w:sz w:val="18"/>
        </w:rPr>
        <w:t>Участие национальных регуляторов обязательно</w:t>
      </w:r>
      <w:r>
        <w:rPr>
          <w:rFonts w:ascii="Calibri" w:hAnsi="Calibri" w:eastAsia="Calibri"/>
          <w:sz w:val="18"/>
        </w:rPr>
        <w:t xml:space="preserve"> во всех случаях, когда тестирование затрагивает требования, за применение которых они отвечают (например, в сфере финансовых услуг, ценных бумаг, персональных данных, торговли или транспорта); компетенция подлежит подтверждению в каждом случае отдельно, а согласие никогда не презюмируется (раздел 5.8).</w:t>
      </w:r>
    </w:p>
    <w:p>
      <w:pPr>
        <w:numPr>
          <w:ilvl w:val="0"/>
          <w:numId w:val="90"/>
        </w:numPr>
        <w:spacing w:before="0" w:after="40" w:line="259" w:lineRule="auto"/>
      </w:pPr>
      <w:r>
        <w:rPr>
          <w:rFonts w:ascii="Calibri" w:hAnsi="Calibri" w:eastAsia="Calibri"/>
          <w:b/>
          <w:sz w:val="18"/>
        </w:rPr>
        <w:t>Надзор за тестированием в реальных условиях</w:t>
      </w:r>
      <w:r>
        <w:rPr>
          <w:rFonts w:ascii="Calibri" w:hAnsi="Calibri" w:eastAsia="Calibri"/>
          <w:sz w:val="18"/>
        </w:rPr>
        <w:t xml:space="preserve"> осуществляется в соответствии с Иллюстрацией 7b. Комитет ежемесячно рассматривает сводку по всем тестам в реальных условиях и ежеквартально отчитывается перед Советом (A).</w:t>
      </w:r>
    </w:p>
    <w:p>
      <w:pPr>
        <w:pStyle w:val="ExhibitTitle"/>
      </w:pPr>
      <w:r>
        <w:rPr>
          <w:rFonts w:ascii="Calibri" w:hAnsi="Calibri" w:eastAsia="Calibri"/>
        </w:rPr>
        <w:t>Иллюстрация 7b. Протокол надзора и мониторинга (рекомендация, A)</w:t>
      </w:r>
    </w:p>
    <w:tbl>
      <w:tblPr>
        <w:tblW w:w="9639" w:type="dxa"/>
        <w:jc w:val="center"/>
        <w:tblLayout w:type="fixed"/>
        <w:tblLook w:firstColumn="1" w:firstRow="1" w:lastColumn="0" w:lastRow="0" w:noHBand="0" w:noVBand="1" w:val="04A0"/>
      </w:tblPr>
      <w:tblGrid>
        <w:gridCol w:w="1417"/>
        <w:gridCol w:w="2494"/>
        <w:gridCol w:w="1474"/>
        <w:gridCol w:w="1814"/>
        <w:gridCol w:w="2438"/>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Направление</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Предмет проверки</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Срок</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Исполнитель</w:t>
            </w:r>
          </w:p>
        </w:tc>
        <w:tc>
          <w:tcPr>
            <w:tcW w:type="dxa" w:w="243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Триггер и эскалация</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Лимиты тестирования</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Соответствие решению: клиенты, стоимость или объем операций, территория и срок</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Оповещение платформы при нарушении; ежемесячная проверка</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по рискам, кибербезопасности и комплаенсу</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 нарушении — Комитету в течение 2 р. д. (плановое допущение); приостановление теста или изменение условий</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Кибербезопасность</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Проверка безопасности до начала тестирования (этап 6); инциденты; журналы доступа к тестовой среде</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До тестирования; при инциденте</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по рискам, кибербезопасности и комплаенсу с экспертом из пула</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 существенном инциденте — Комитету в течение 2 р. д.; председатель вправе немедленно приостановить тест</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Защита данных</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Соблюдение плана обработки данных; синтетические или реальные данные; тесты на повторную идентификацию (P3)</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До тестирования; ежеквартально</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Регуляторный юрисконсульт с экспертом пула по защите данных; в соответствующих случаях — национальный орган по защите персональных данных</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Использование персональных данных вне плана: остановка теста, уведомление уполномоченного органа</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Комплаенс</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Проверка по санкционным спискам; смена контроля; меры ПОД/ФТ в тестах с переводом денег, ценностей или товарораспорядительных документов</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При допуске; при смене контроля; ежемесячно</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по рискам, кибербезопасности и комплаенсу</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Подтвержденное совпадение с санкционными списками или сомнения в благонадежности: срочное приостановление; информирование компетентного органа</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Правовой и поведенческий надзор</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Условия тестирования; информирование пользователей; жалобы и возмещение ущерба</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Жалобы — ежемесячно; условия — ежеквартально</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Юрисконсульт по регуляторным вопросам</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Нарушение: корректирующие меры или прекращение тестирования (Иллюстрация 12)</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Поведение ИИ (P1, P4)</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Журнал действий ИИ-агентов; отмена решений человеком; ложные срабатывания и пропуски</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Ежемесячно</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Эксперт пула по ИИ</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Порог остановки, установленный в плане тестирования</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Вопросы в компетенции национального регулятора</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Инциденты в его компетенции</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При возникновении</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Секретариат (куратор проекта)</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Уведомление регулятора в течение тех же 2 р. д.</w:t>
            </w:r>
          </w:p>
        </w:tc>
      </w:tr>
    </w:tbl>
    <w:p>
      <w:pPr>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Правила в отношении конфликта интересов (минимальное содержание политики по мере 6)</w:t>
            </w:r>
          </w:p>
          <w:p>
            <w:pPr>
              <w:spacing w:before="0" w:after="40" w:line="252" w:lineRule="auto"/>
            </w:pPr>
            <w:r>
              <w:rPr>
                <w:rFonts w:ascii="Calibri" w:hAnsi="Calibri" w:eastAsia="Calibri"/>
                <w:sz w:val="17"/>
              </w:rPr>
              <w:t>(1) Участие в песочнице не дает преимуществ в закупках EUz.</w:t>
            </w:r>
          </w:p>
          <w:p>
            <w:pPr>
              <w:spacing w:before="0" w:after="40" w:line="252" w:lineRule="auto"/>
            </w:pPr>
            <w:r>
              <w:rPr>
                <w:rFonts w:ascii="Calibri" w:hAnsi="Calibri" w:eastAsia="Calibri"/>
                <w:sz w:val="17"/>
              </w:rPr>
              <w:t>(2) Поставщик платформы, внешние операторы и их аффилированные лица не могут быть участниками той же когорты и обрабатывают данные участников только на основании договора.</w:t>
            </w:r>
          </w:p>
          <w:p>
            <w:pPr>
              <w:spacing w:before="0" w:after="40" w:line="252" w:lineRule="auto"/>
            </w:pPr>
            <w:r>
              <w:rPr>
                <w:rFonts w:ascii="Calibri" w:hAnsi="Calibri" w:eastAsia="Calibri"/>
                <w:sz w:val="17"/>
              </w:rPr>
              <w:t>(3) Сотрудники, имеющие целевые показатели по привлечению компаний (развитие бизнеса), не участвуют в предварительной проверке и в принятии решений Комитетом.</w:t>
            </w:r>
          </w:p>
          <w:p>
            <w:pPr>
              <w:spacing w:before="0" w:after="40" w:line="252" w:lineRule="auto"/>
            </w:pPr>
            <w:r>
              <w:rPr>
                <w:rFonts w:ascii="Calibri" w:hAnsi="Calibri" w:eastAsia="Calibri"/>
                <w:sz w:val="17"/>
              </w:rPr>
              <w:t>(4) Сотрудники и члены Комитета декларируют свои интересы при назначении и ежегодно, не имеют интересов, связанных с заявителями или участниками, и декларируют подарки; перейти на работу к участнику, за которым они осуществляли надзор, можно только по истечении 12-месячного «периода охлаждения» (плановое допущение).</w:t>
            </w:r>
          </w:p>
          <w:p>
            <w:pPr>
              <w:spacing w:before="0" w:after="40" w:line="252" w:lineRule="auto"/>
            </w:pPr>
            <w:r>
              <w:rPr>
                <w:rFonts w:ascii="Calibri" w:hAnsi="Calibri" w:eastAsia="Calibri"/>
                <w:sz w:val="17"/>
              </w:rPr>
              <w:t>(5) Эксперты получают фиксированное вознаграждение, не зависящее от результатов.</w:t>
            </w:r>
          </w:p>
        </w:tc>
      </w:tr>
    </w:tbl>
    <w:p>
      <w:pPr>
        <w:spacing w:before="0" w:after="40" w:line="144" w:lineRule="auto"/>
      </w:pPr>
    </w:p>
    <w:p>
      <w:pPr>
        <w:pStyle w:val="Heading3"/>
      </w:pPr>
      <w:r>
        <w:rPr>
          <w:rFonts w:ascii="Calibri" w:hAnsi="Calibri" w:eastAsia="Calibri"/>
        </w:rPr>
        <w:t>Действующие национальные режимы: перенаправлять, а не конкурировать</w:t>
      </w:r>
    </w:p>
    <w:p>
      <w:pPr>
        <w:spacing w:before="0" w:after="60" w:line="259" w:lineRule="auto"/>
      </w:pPr>
      <w:r>
        <w:rPr>
          <w:rFonts w:ascii="Calibri" w:hAnsi="Calibri" w:eastAsia="Calibri"/>
          <w:sz w:val="18"/>
        </w:rPr>
        <w:t xml:space="preserve">В Узбекистане уже существует несколько режимов по типу песочницы, о которых нам известно лишь по названиям, записям в базах данных и сводкам прессы (Приложение C); </w:t>
      </w:r>
      <w:r>
        <w:rPr>
          <w:rFonts w:ascii="Calibri" w:hAnsi="Calibri" w:eastAsia="Calibri"/>
          <w:b/>
          <w:sz w:val="18"/>
        </w:rPr>
        <w:t>ни один из этих текстов еще не изучен</w:t>
      </w:r>
      <w:r>
        <w:rPr>
          <w:rFonts w:ascii="Calibri" w:hAnsi="Calibri" w:eastAsia="Calibri"/>
          <w:sz w:val="18"/>
        </w:rPr>
        <w:t>.</w:t>
      </w:r>
    </w:p>
    <w:p>
      <w:pPr>
        <w:numPr>
          <w:ilvl w:val="0"/>
          <w:numId w:val="90"/>
        </w:numPr>
        <w:spacing w:before="0" w:after="40" w:line="259" w:lineRule="auto"/>
      </w:pPr>
      <w:r>
        <w:rPr>
          <w:rFonts w:ascii="Calibri" w:hAnsi="Calibri" w:eastAsia="Calibri"/>
          <w:b/>
          <w:sz w:val="18"/>
        </w:rPr>
        <w:t>Центральный банк Республики Узбекистан:</w:t>
      </w:r>
      <w:r>
        <w:rPr>
          <w:rFonts w:ascii="Calibri" w:hAnsi="Calibri" w:eastAsia="Calibri"/>
          <w:sz w:val="18"/>
        </w:rPr>
        <w:t xml:space="preserve"> специальный правовой режим «Регуляторная песочница» в сфере финансовых услуг (Закон «О Центральном банке Республики Узбекистан», ст. 67-1; Положение 2022 г., которое юридическая пресса цитирует как рег. № 3391 от 4 октября 2022 г.); срок тестирования — до трех лет (по обзору юридической фирмы); по опубликованным данным, подготовлен проект обновления с тремя треками, статус не проверялся [S29].</w:t>
      </w:r>
    </w:p>
    <w:p>
      <w:pPr>
        <w:numPr>
          <w:ilvl w:val="0"/>
          <w:numId w:val="90"/>
        </w:numPr>
        <w:spacing w:before="0" w:after="40" w:line="259" w:lineRule="auto"/>
      </w:pPr>
      <w:r>
        <w:rPr>
          <w:rFonts w:ascii="Calibri" w:hAnsi="Calibri" w:eastAsia="Calibri"/>
          <w:b/>
          <w:sz w:val="18"/>
        </w:rPr>
        <w:t>NAPP</w:t>
      </w:r>
      <w:r>
        <w:rPr>
          <w:rFonts w:ascii="Calibri" w:hAnsi="Calibri" w:eastAsia="Calibri"/>
          <w:sz w:val="18"/>
        </w:rPr>
        <w:t xml:space="preserve"> (по опубликованным данным, регулятор рынка капитала с 2023 г.): Положение о специальном правовом режиме «Регуляторная песочница» в сфере рынка капитала (рег. № 3493 от 29 января 2024 г.; с изменениями от 3 апреля 2026 г.) и положение 2022 г. о специальном режиме в сфере оборота криптоактивов (рег. № 3409; статус не проверялся) [S60]. ПП-255 (21 августа 2025 г.): на инвестиционные платформы распространяется режим песочницы с 1 октября 2025 г. по 1 октября 2026 г.; песочницу рынка капитала это постановление не создавало, а порядок, действующий после указанной даты, не подтвержден [S30]. ПП-359 (27 ноября 2025 г.): специальный правовой режим для стабильных токенов как средства платежа (по данным прессы, с 1 января 2026 г.; режим реализует NAPP совместно с Центральным банком) [S29].</w:t>
      </w:r>
    </w:p>
    <w:p>
      <w:pPr>
        <w:numPr>
          <w:ilvl w:val="0"/>
          <w:numId w:val="90"/>
        </w:numPr>
        <w:spacing w:before="0" w:after="40" w:line="259" w:lineRule="auto"/>
      </w:pPr>
      <w:r>
        <w:rPr>
          <w:rFonts w:ascii="Calibri" w:hAnsi="Calibri" w:eastAsia="Calibri"/>
          <w:b/>
          <w:sz w:val="18"/>
        </w:rPr>
        <w:t>Межотраслевые режимы и режимы для ИИ:</w:t>
      </w:r>
      <w:r>
        <w:rPr>
          <w:rFonts w:ascii="Calibri" w:hAnsi="Calibri" w:eastAsia="Calibri"/>
          <w:sz w:val="18"/>
        </w:rPr>
        <w:t xml:space="preserve"> УП-244 (9 ноября 2022 г.) ввел межотраслевой специальный правовой режим «Регуляторная песочница»: тестирование проводится по соглашению между компетентным уполномоченным органом и инициатором сроком до 3 лет на проект (текущий статус не проверялся) [S58]; 29 ноября 2023 г. Kun.uz сообщил об утверждении порядка его введения (номер и содержание акта не подтверждены) [S37]. Постановлением № 717 от 29 ноября 2021 г. утвержден специальный режим поддержки технологий искусственного интеллекта (орган, принявший акт, — вероятно, Кабинет Министров; статус не проверялся) [S61].</w:t>
      </w:r>
    </w:p>
    <w:p>
      <w:pPr>
        <w:numPr>
          <w:ilvl w:val="0"/>
          <w:numId w:val="90"/>
        </w:numPr>
        <w:spacing w:before="0" w:after="40" w:line="259" w:lineRule="auto"/>
      </w:pPr>
      <w:r>
        <w:rPr>
          <w:rFonts w:ascii="Calibri" w:hAnsi="Calibri" w:eastAsia="Calibri"/>
          <w:b/>
          <w:sz w:val="18"/>
        </w:rPr>
        <w:t>Закон «О правовом эксперименте»</w:t>
      </w:r>
      <w:r>
        <w:rPr>
          <w:rFonts w:ascii="Calibri" w:hAnsi="Calibri" w:eastAsia="Calibri"/>
          <w:sz w:val="18"/>
        </w:rPr>
        <w:t xml:space="preserve"> (ЗРУ-1127 от 27 марта 2026 г.; по опубликованным данным, вступил в силу 29 июня 2026 г.): согласно сводкам прессы, государственный «уполномоченный орган» апробирует нормативно-правовой акт на ограниченной территории или в отношении ограниченного круга лиц на срок от 6 месяцев до 3 лет с внесением в реестр Министерства юстиции и представлением отчета о результатах в течение 30 рабочих дней [S59][S38]. Наш вывод (A): это государственный инструмент апробации норм, а не режим допуска отдельных компаний; связь с EUz не установлена (вопрос к юрисконсультам).</w:t>
      </w:r>
    </w:p>
    <w:p>
      <w:pPr>
        <w:spacing w:before="0" w:after="40" w:line="259" w:lineRule="auto"/>
      </w:pPr>
      <w:r>
        <w:rPr>
          <w:rFonts w:ascii="Calibri" w:hAnsi="Calibri" w:eastAsia="Calibri"/>
          <w:b/>
          <w:sz w:val="18"/>
        </w:rPr>
        <w:t>Правила перенаправления.</w:t>
      </w:r>
      <w:r>
        <w:rPr>
          <w:rFonts w:ascii="Calibri" w:hAnsi="Calibri" w:eastAsia="Calibri"/>
          <w:sz w:val="18"/>
        </w:rPr>
        <w:t xml:space="preserve"> EUz не будет конкурировать с этими режимами в отношении одной и той же деятельности. До изучения текстов юрисконсультами действуют пять правил:</w:t>
      </w:r>
    </w:p>
    <w:p>
      <w:pPr>
        <w:numPr>
          <w:ilvl w:val="0"/>
          <w:numId w:val="90"/>
        </w:numPr>
        <w:spacing w:before="0" w:after="40" w:line="259" w:lineRule="auto"/>
      </w:pPr>
      <w:r>
        <w:rPr>
          <w:rFonts w:ascii="Calibri" w:hAnsi="Calibri" w:eastAsia="Calibri"/>
          <w:b/>
          <w:sz w:val="18"/>
        </w:rPr>
        <w:t>Декларирование.</w:t>
      </w:r>
      <w:r>
        <w:rPr>
          <w:rFonts w:ascii="Calibri" w:hAnsi="Calibri" w:eastAsia="Calibri"/>
          <w:sz w:val="18"/>
        </w:rPr>
        <w:t xml:space="preserve"> Заявитель указывает все прежние и находящиеся на рассмотрении заявки в другие песочницы в Узбекистане или за рубежом и их итоги.</w:t>
      </w:r>
    </w:p>
    <w:p>
      <w:pPr>
        <w:numPr>
          <w:ilvl w:val="0"/>
          <w:numId w:val="90"/>
        </w:numPr>
        <w:spacing w:before="0" w:after="40" w:line="259" w:lineRule="auto"/>
      </w:pPr>
      <w:r>
        <w:rPr>
          <w:rFonts w:ascii="Calibri" w:hAnsi="Calibri" w:eastAsia="Calibri"/>
          <w:b/>
          <w:sz w:val="18"/>
        </w:rPr>
        <w:t>Один допуск на один вид деятельности.</w:t>
      </w:r>
      <w:r>
        <w:rPr>
          <w:rFonts w:ascii="Calibri" w:hAnsi="Calibri" w:eastAsia="Calibri"/>
          <w:sz w:val="18"/>
        </w:rPr>
        <w:t xml:space="preserve"> Ни одна компания не может одновременно иметь два допуска в песочницы для одной и той же деятельности.</w:t>
      </w:r>
    </w:p>
    <w:p>
      <w:pPr>
        <w:numPr>
          <w:ilvl w:val="0"/>
          <w:numId w:val="90"/>
        </w:numPr>
        <w:spacing w:before="0" w:after="40" w:line="259" w:lineRule="auto"/>
      </w:pPr>
      <w:r>
        <w:rPr>
          <w:rFonts w:ascii="Calibri" w:hAnsi="Calibri" w:eastAsia="Calibri"/>
          <w:b/>
          <w:sz w:val="18"/>
        </w:rPr>
        <w:t>Приоритет лицензирующего органа.</w:t>
      </w:r>
      <w:r>
        <w:rPr>
          <w:rFonts w:ascii="Calibri" w:hAnsi="Calibri" w:eastAsia="Calibri"/>
          <w:sz w:val="18"/>
        </w:rPr>
        <w:t xml:space="preserve"> Если для деятельности нужна лицензия национального органа, у которого есть собственная песочница, EUz проводит тестирование у себя только с письменного согласия этого органа; в противном случае EUz предлагает перенаправление с передачей материалов дела (с согласия заявителя), а вопросы в своей компетенции рассматривает в Треке разъяснений.</w:t>
      </w:r>
    </w:p>
    <w:p>
      <w:pPr>
        <w:numPr>
          <w:ilvl w:val="0"/>
          <w:numId w:val="90"/>
        </w:numPr>
        <w:spacing w:before="0" w:after="40" w:line="259" w:lineRule="auto"/>
      </w:pPr>
      <w:r>
        <w:rPr>
          <w:rFonts w:ascii="Calibri" w:hAnsi="Calibri" w:eastAsia="Calibri"/>
          <w:b/>
          <w:sz w:val="18"/>
        </w:rPr>
        <w:t>Отказы в других режимах</w:t>
      </w:r>
      <w:r>
        <w:rPr>
          <w:rFonts w:ascii="Calibri" w:hAnsi="Calibri" w:eastAsia="Calibri"/>
          <w:sz w:val="18"/>
        </w:rPr>
        <w:t xml:space="preserve"> по основаниям безопасности, благонадежности или защиты прав потребителей — существенное обстоятельство при предварительной проверке.</w:t>
      </w:r>
    </w:p>
    <w:p>
      <w:pPr>
        <w:numPr>
          <w:ilvl w:val="0"/>
          <w:numId w:val="90"/>
        </w:numPr>
        <w:spacing w:before="0" w:after="40" w:line="259" w:lineRule="auto"/>
      </w:pPr>
      <w:r>
        <w:rPr>
          <w:rFonts w:ascii="Calibri" w:hAnsi="Calibri" w:eastAsia="Calibri"/>
          <w:b/>
          <w:sz w:val="18"/>
        </w:rPr>
        <w:t>Обмен информацией.</w:t>
      </w:r>
      <w:r>
        <w:rPr>
          <w:rFonts w:ascii="Calibri" w:hAnsi="Calibri" w:eastAsia="Calibri"/>
          <w:sz w:val="18"/>
        </w:rPr>
        <w:t xml:space="preserve"> С согласия заявителя EUz и оператор другой песочницы до принятия решения обмениваются сведениями о статусе допуска.</w:t>
      </w:r>
    </w:p>
    <w:p>
      <w:pPr>
        <w:spacing w:before="0" w:after="80" w:line="259" w:lineRule="auto"/>
      </w:pPr>
      <w:r>
        <w:rPr>
          <w:rFonts w:ascii="Calibri" w:hAnsi="Calibri" w:eastAsia="Calibri"/>
          <w:sz w:val="18"/>
        </w:rPr>
        <w:t>В протоколе перенаправления в первую очередь названы Центральный банк и NAPP (вопросы для юрисконсультов — Иллюстрация 13). Совет утверждает эти правила вместе с правилами о согласии регуляторов (раздел 5.8) как единую политику (Решение D12).</w:t>
      </w:r>
    </w:p>
    <w:p>
      <w:pPr>
        <w:pStyle w:val="Heading2"/>
      </w:pPr>
      <w:r>
        <w:rPr>
          <w:rFonts w:ascii="Calibri" w:hAnsi="Calibri" w:eastAsia="Calibri"/>
        </w:rPr>
        <w:t>5.2 Путь участника: девять этапов, у каждого — ответственный, решение и срок</w:t>
      </w:r>
    </w:p>
    <w:p>
      <w:pPr>
        <w:pStyle w:val="ExhibitTitle"/>
      </w:pPr>
      <w:r>
        <w:rPr>
          <w:rFonts w:ascii="Calibri" w:hAnsi="Calibri" w:eastAsia="Calibri"/>
        </w:rPr>
        <w:t>Иллюстрация 8. Сквозной путь участника</w:t>
      </w:r>
    </w:p>
    <w:p>
      <w:pPr>
        <w:keepNext/>
        <w:spacing w:before="0" w:after="40" w:line="259" w:lineRule="auto"/>
        <w:jc w:val="center"/>
      </w:pPr>
      <w:r>
        <w:drawing>
          <wp:inline xmlns:a="http://schemas.openxmlformats.org/drawingml/2006/main" xmlns:pic="http://schemas.openxmlformats.org/drawingml/2006/picture">
            <wp:extent cx="5760000" cy="4789157"/>
            <wp:docPr id="3" name="Picture 3"/>
            <wp:cNvGraphicFramePr>
              <a:graphicFrameLocks noChangeAspect="1"/>
            </wp:cNvGraphicFramePr>
            <a:graphic>
              <a:graphicData uri="http://schemas.openxmlformats.org/drawingml/2006/picture">
                <pic:pic>
                  <pic:nvPicPr>
                    <pic:cNvPr id="0" name="f3_journey.png"/>
                    <pic:cNvPicPr/>
                  </pic:nvPicPr>
                  <pic:blipFill>
                    <a:blip r:embed="rId11"/>
                    <a:stretch>
                      <a:fillRect/>
                    </a:stretch>
                  </pic:blipFill>
                  <pic:spPr>
                    <a:xfrm>
                      <a:off x="0" y="0"/>
                      <a:ext cx="5760000" cy="4789157"/>
                    </a:xfrm>
                    <a:prstGeom prst="rect"/>
                  </pic:spPr>
                </pic:pic>
              </a:graphicData>
            </a:graphic>
          </wp:inline>
        </w:drawing>
      </w:r>
    </w:p>
    <w:p>
      <w:pPr>
        <w:spacing w:before="40" w:after="160" w:line="240" w:lineRule="auto"/>
      </w:pPr>
      <w:r>
        <w:rPr>
          <w:rFonts w:ascii="Calibri" w:hAnsi="Calibri" w:eastAsia="Calibri"/>
          <w:color w:val="6B6E70"/>
          <w:sz w:val="15"/>
        </w:rPr>
        <w:t>р. д. — рабочие дни. В заголовках блоков указаны нормативные сроки рассмотрения EUz (плановые допущения, а не эталонные значения); отсчет срока приостанавливается, пока EUz ожидает ответа заявителя или регулятора. «Срок теста» — продолжительность теста; «Ежемесячно» — периодичность отчетности. *Срок предоставления согласия регулятором будет установлен меморандумом о взаимопонимании. Экспресс-трек: решение в течение 21 календарного дня после подачи полной заявки (плановое допущение по образцу 21-дневного целевого срока, заявленного MAS для Sandbox Express) [S8].</w:t>
      </w:r>
    </w:p>
    <w:p>
      <w:pPr>
        <w:pStyle w:val="ExhibitTitle"/>
      </w:pPr>
      <w:r>
        <w:rPr>
          <w:rFonts w:ascii="Calibri" w:hAnsi="Calibri" w:eastAsia="Calibri"/>
        </w:rPr>
        <w:t>Иллюстрация 9. Результаты этапов и функции цифровой платформы</w:t>
      </w:r>
    </w:p>
    <w:tbl>
      <w:tblPr>
        <w:tblW w:w="9639" w:type="dxa"/>
        <w:jc w:val="center"/>
        <w:tblLayout w:type="fixed"/>
        <w:tblLook w:firstColumn="1" w:firstRow="1" w:lastColumn="0" w:lastRow="0" w:noHBand="0" w:noVBand="1" w:val="04A0"/>
      </w:tblPr>
      <w:tblGrid>
        <w:gridCol w:w="1417"/>
        <w:gridCol w:w="3061"/>
        <w:gridCol w:w="2608"/>
        <w:gridCol w:w="2551"/>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Этап</w:t>
            </w:r>
          </w:p>
        </w:tc>
        <w:tc>
          <w:tcPr>
            <w:tcW w:type="dxa" w:w="30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Необходимые материалы</w:t>
            </w:r>
          </w:p>
        </w:tc>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Результат</w:t>
            </w:r>
          </w:p>
        </w:tc>
        <w:tc>
          <w:tcPr>
            <w:tcW w:type="dxa" w:w="255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Функции платформы</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1 Заявка</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Профиль компании; описание технологии; постановка проблемы; контрольный перечень готовности; заявки в другие песочницы и их итоги</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Полная заявка, номер дела</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Онлайн-форма; загрузка документов; автоматическая проверка комплектности</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2 Предварительная проверка</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Заявка; критерии допуска (подлинная новизна, польза для пользователей, потребность в тестировании, готовность); декларации о владельцах и директорах; результат проверки по санкционным спискам; отказы или меры принуждения в других режимах</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Допуск к оценке или перенаправление в Трек разъяснений</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Контрольный перечень «да/нет» без баллов; причины фиксируются</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3 Регуляторная оценка</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Описание продукта; библиотека правил</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Записка о регуляторном картировании: применимые нормы, кто вправе освободить от их соблюдения, необходимые согласия</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Библиотека правил; трекер согласований по каждому органу</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4 Проектирование тестирования</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Записка о картировании; план участника</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План тестирования: рамки, лимиты, меры защиты, KPI, доказательства для выхода, план свертывания</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Шаблон плана тестирования; контроль версий</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5 Одобрение</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План тестирования; отчет о рисках; письма-согласия</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Решение Комитета с опубликованным обоснованием</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Журнал решений; ЭЦП</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6 Тестирование</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Утвержденные условия; подписанное соглашение о тестировании; пройденная проверка безопасности</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Тест в реальных условиях или на синтетических данных в пределах лимитов</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Защищенная среда; шлюз API; журналирование</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7 Мониторинг</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Ежемесячные данные; отчеты об инцидентах</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Отчет по мониторингу; меры реагирования, включая срочное приостановление председателем Комитета</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Панель мониторинга; форма уведомления об инциденте; сигналы о превышении лимитов</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8 Оценка результатов</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Данные теста; KPI; итоги для пользователей</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Отчет об оценке; регуляторные выводы</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Шаблон отчета; фиксация итогов</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9 Выход</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Оценка результатов; статус лицензии или разрешения</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Решение о выходе; обновление реестра; материалы для отчета о выводах; возврат или удаление данных</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Интерфейс реестра; последующие опросы через 12 и 24 месяца после допуска</w:t>
            </w:r>
          </w:p>
        </w:tc>
      </w:tr>
    </w:tbl>
    <w:p>
      <w:pPr>
        <w:spacing w:before="0" w:after="40" w:line="144" w:lineRule="auto"/>
      </w:pPr>
    </w:p>
    <w:p>
      <w:pPr>
        <w:spacing w:before="40" w:after="160" w:line="240" w:lineRule="auto"/>
      </w:pPr>
      <w:r>
        <w:rPr>
          <w:rFonts w:ascii="Calibri" w:hAnsi="Calibri" w:eastAsia="Calibri"/>
          <w:color w:val="6B6E70"/>
          <w:sz w:val="15"/>
        </w:rPr>
        <w:t>Минимальные требования к платформе, включая нефункциональные, — Иллюстрация 16a.</w:t>
      </w:r>
    </w:p>
    <w:p>
      <w:pPr>
        <w:spacing w:before="0" w:after="80" w:line="259" w:lineRule="auto"/>
      </w:pPr>
      <w:r>
        <w:rPr>
          <w:rFonts w:ascii="Calibri" w:hAnsi="Calibri" w:eastAsia="Calibri"/>
          <w:b/>
          <w:sz w:val="18"/>
        </w:rPr>
        <w:t>Опубликованные сроки принятия решений.</w:t>
      </w:r>
      <w:r>
        <w:rPr>
          <w:rFonts w:ascii="Calibri" w:hAnsi="Calibri" w:eastAsia="Calibri"/>
          <w:sz w:val="18"/>
        </w:rPr>
        <w:t xml:space="preserve"> Плановое допущение: 50 рабочих дней от подачи полной заявки до решения Комитета по делу полноформатной песочницы (этапы 2–5); отсчет срока приостанавливается, как указано в примечании к Иллюстрации 8. Это цель, а не достигнутый результат; ее нельзя сравнивать с медианным сроком MAS около 3 месяцев (по опубликованным данным, на конец сентября 2025 г.), который включает время ответа заявителя (R) [S7]. EUz следует публиковать достигнутую медиану и в рабочих днях на стороне EUz, и в общем числе фактических календарных дней. Для когорты 1 набор открывается в 4-м месяце, а первые допуски запланированы на 6-й месяц — это меньше, чем предусматривают нормативные сроки рассмотрения на этапах 1–5 (5 р. д. + 50 р. д.); поэтому график с допуском в 6-м месяце исходит из того, что проектирование пилотов с 3-го месяца (глава 7) и консультации до подачи заявок (раздел 5.9) позволят в основном завершить регуляторное картирование и проектирование тестирования до открытия набора. В противном случае применяется запасной вариант фазы 2 (Иллюстрация 23: более поздний допуск пилота).</w:t>
      </w:r>
    </w:p>
    <w:p>
      <w:pPr>
        <w:pStyle w:val="Heading2"/>
      </w:pPr>
      <w:r>
        <w:rPr>
          <w:rFonts w:ascii="Calibri" w:hAnsi="Calibri" w:eastAsia="Calibri"/>
        </w:rPr>
        <w:t>5.3 Рабочие треки: два запустить, еще два опробовать в пилотном режиме после оценки когорты 1, один отложить</w:t>
      </w:r>
    </w:p>
    <w:p>
      <w:pPr>
        <w:pStyle w:val="ExhibitTitle"/>
      </w:pPr>
      <w:r>
        <w:rPr>
          <w:rFonts w:ascii="Calibri" w:hAnsi="Calibri" w:eastAsia="Calibri"/>
        </w:rPr>
        <w:t>Иллюстрация 10. Сравнение треков песочницы и очередность их запуска</w:t>
      </w:r>
    </w:p>
    <w:tbl>
      <w:tblPr>
        <w:tblW w:w="9639" w:type="dxa"/>
        <w:jc w:val="center"/>
        <w:tblLayout w:type="fixed"/>
        <w:tblLook w:firstColumn="1" w:firstRow="1" w:lastColumn="0" w:lastRow="0" w:noHBand="0" w:noVBand="1" w:val="04A0"/>
      </w:tblPr>
      <w:tblGrid>
        <w:gridCol w:w="1360"/>
        <w:gridCol w:w="1474"/>
        <w:gridCol w:w="1927"/>
        <w:gridCol w:w="1927"/>
        <w:gridCol w:w="1077"/>
        <w:gridCol w:w="1871"/>
      </w:tblGrid>
      <w:tr>
        <w:trPr>
          <w:cantSplit/>
          <w:tblHeader/>
        </w:trPr>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Трек</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Суть</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Международный опыт</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Правовая реализуемость (подлежит проверке)</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Объем требуемых ресурсов</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Рекомендация</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 Трек разъяснений</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Письменная позиция регулятора; без освобождения от требований</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Ofgem, окно 1: 22 из 30 — только обратная связь (R) [S6]; отчеты ICO о выходе из песочницы [S5]; Япония, система устранения «серых зон»: ответы по общему правилу примерно в течение одного месяца, публикуются (R) [S20]</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Высокая для собственных правил EUz; для национальных требований — без обязательной силы, если нет совместной подписи компетентного регулятора (врезка ниже). Основание пока не найдено (Иллюстрация 13)</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Низкий</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День запуска</w:t>
            </w:r>
            <w:r>
              <w:rPr>
                <w:rFonts w:ascii="Calibri" w:hAnsi="Calibri" w:eastAsia="Calibri"/>
                <w:color w:val="39393B"/>
                <w:sz w:val="14"/>
              </w:rPr>
              <w:t xml:space="preserve"> (цель — День 90)</w:t>
            </w:r>
          </w:p>
        </w:tc>
      </w:tr>
      <w:tr>
        <w:trPr>
          <w:cantSplit/>
        </w:trPr>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2 Трек полноформатной песочницы</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Тест в реальных условиях с лимитами и условиями; согласие — при необходимости</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MAS: 15 из 19 принятых компаний получили лицензию (до конца сент. 2025); охват по трекам неясен (R) [S7]; эффект финансирования в Великобритании (I) [S2]</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Сообщается, что предусмотрено законом; объем освобождений подлежит проверке [S27]</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Средний</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Набор — после принятия Правил (М4); первые допуски — М6</w:t>
            </w:r>
            <w:r>
              <w:rPr>
                <w:rFonts w:ascii="Calibri" w:hAnsi="Calibri" w:eastAsia="Calibri"/>
                <w:color w:val="39393B"/>
                <w:sz w:val="14"/>
              </w:rPr>
              <w:t>; не более трех–четырех пилотных проектов, в каждом — несколько участвующих организаций (глава 7)</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3 Экспресс-трек</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Заранее определенные низкорисковые категории со стандартными условиями</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Sandbox Express: целевой срок 21 день; данных о соблюдении не найдено (T) [S8]</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Требуются стандартные условия, утвержденные Советом</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Средний</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Разработать две категории по данным мониторинга когорты 1 (М9–М12); пилотный запуск — примерно с М13–М14</w:t>
            </w:r>
          </w:p>
        </w:tc>
      </w:tr>
      <w:tr>
        <w:trPr>
          <w:cantSplit/>
        </w:trPr>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4 Трек прототипирования регулирования</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Тестирование проектов правил с участниками до их принятия</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Корея: улучшение регулирования по 373 из 1 752 одобренных проектов к 2025 г., по данным, приводимым ICO (S) [S46]; Япония: общее число реформ не опубликовано [S20]</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Требуется путь нормотворчества Совета; только в отношении правил EUz</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Выше среднего</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Записки о выводах для регулирования — при выходе когорты 1; пилотный запуск трека прототипирования — примерно с М13–М14</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5 Трансграничный трек</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Единый тест в нескольких юрисдикциях</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Пилот GFIN: на момент подготовки отчета ни одна из 8 отобранных компаний не начала трансграничное тестирование (R) [S15]</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Требуются MoU и согласие регуляторов-партнеров</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Высокий</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2-й год</w:t>
            </w:r>
            <w:r>
              <w:rPr>
                <w:rFonts w:ascii="Calibri" w:hAnsi="Calibri" w:eastAsia="Calibri"/>
                <w:color w:val="39393B"/>
                <w:sz w:val="14"/>
              </w:rPr>
              <w:t>; в 1-й год — только MoU</w:t>
            </w:r>
          </w:p>
        </w:tc>
      </w:tr>
    </w:tbl>
    <w:p>
      <w:pPr>
        <w:spacing w:before="0" w:after="40" w:line="144" w:lineRule="auto"/>
      </w:pPr>
    </w:p>
    <w:p>
      <w:pPr>
        <w:spacing w:before="40" w:after="160" w:line="240" w:lineRule="auto"/>
      </w:pPr>
      <w:r>
        <w:rPr>
          <w:rFonts w:ascii="Calibri" w:hAnsi="Calibri" w:eastAsia="Calibri"/>
          <w:color w:val="6B6E70"/>
          <w:sz w:val="15"/>
        </w:rPr>
        <w:t>Названия треков предлагается закрепить в Правилах песочницы, и они используются во всем отчете; «Sandbox Express» и «Sandbox Plus» обозначают только программы MAS. Экспресс-трек и трек прототипирования запускаются после оценки результатов когорты 1 на этапе 8 (примерно М13–М14).</w:t>
      </w:r>
    </w:p>
    <w:p>
      <w:pPr>
        <w:spacing w:before="0" w:after="80" w:line="259" w:lineRule="auto"/>
      </w:pPr>
      <w:r>
        <w:rPr>
          <w:rFonts w:ascii="Calibri" w:hAnsi="Calibri" w:eastAsia="Calibri"/>
          <w:b/>
          <w:sz w:val="18"/>
        </w:rPr>
        <w:t>Обоснование.</w:t>
      </w:r>
      <w:r>
        <w:rPr>
          <w:rFonts w:ascii="Calibri" w:hAnsi="Calibri" w:eastAsia="Calibri"/>
          <w:sz w:val="18"/>
        </w:rPr>
        <w:t xml:space="preserve"> Данные говорят в пользу запуска Трека разъяснений, не требующего освобождения от требований закона, и Трека полноформатной песочницы, который, по опубликованным данным, наиболее прямо предусмотрен положениями закона [S27]. Для Экспресс-трека нужны данные первой когорты о том, что действительно относится к низкому риску; кроме того, трек с расширенными возможностями может остаться невостребованным (Sandbox Plus регулятора MAS: на конец сентября 2025 г. ни одного одобрения; Иллюстрация 14) [S7]. Для трека прототипирования нужны завершенные тесты; трансграничные тесты зависят от партнеров, которых EUz не контролирует (первый пилот GFIN — единственный с опубликованными показателями: Иллюстрация 10) (R) [S15].</w:t>
      </w: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Правило о позициях Трека разъяснений (для Правил песочницы)</w:t>
            </w:r>
          </w:p>
          <w:p>
            <w:pPr>
              <w:spacing w:before="0" w:after="40" w:line="252" w:lineRule="auto"/>
            </w:pPr>
            <w:r>
              <w:rPr>
                <w:rFonts w:ascii="Calibri" w:hAnsi="Calibri" w:eastAsia="Calibri"/>
                <w:b/>
                <w:sz w:val="17"/>
              </w:rPr>
              <w:t>Предмет.</w:t>
            </w:r>
            <w:r>
              <w:rPr>
                <w:rFonts w:ascii="Calibri" w:hAnsi="Calibri" w:eastAsia="Calibri"/>
                <w:sz w:val="17"/>
              </w:rPr>
              <w:t xml:space="preserve"> Применение правил EUz к продукту или деятельности, описанным заявителем. Позиция по национальному требованию подписывается совместно с компетентным регулятором либо публикуется с пометкой о том, что это мнение EUz, не имеющее обязательной силы.</w:t>
            </w:r>
          </w:p>
          <w:p>
            <w:pPr>
              <w:spacing w:before="0" w:after="40" w:line="252" w:lineRule="auto"/>
            </w:pPr>
            <w:r>
              <w:rPr>
                <w:rFonts w:ascii="Calibri" w:hAnsi="Calibri" w:eastAsia="Calibri"/>
                <w:b/>
                <w:sz w:val="17"/>
              </w:rPr>
              <w:t>Утверждение.</w:t>
            </w:r>
            <w:r>
              <w:rPr>
                <w:rFonts w:ascii="Calibri" w:hAnsi="Calibri" w:eastAsia="Calibri"/>
                <w:sz w:val="17"/>
              </w:rPr>
              <w:t xml:space="preserve"> Проект готовит юрисконсульт по регуляторным вопросам; если позиция содержит толкование законодательства EUz, ее согласовывает главный юрисконсульт; подписывает руководитель песочницы в течение 30 рабочих дней после поступления полного запроса (плановое допущение); позиция публикуется в обезличенном виде (карточка 3.4).</w:t>
            </w:r>
          </w:p>
          <w:p>
            <w:pPr>
              <w:spacing w:before="0" w:after="40" w:line="252" w:lineRule="auto"/>
            </w:pPr>
            <w:r>
              <w:rPr>
                <w:rFonts w:ascii="Calibri" w:hAnsi="Calibri" w:eastAsia="Calibri"/>
                <w:b/>
                <w:sz w:val="17"/>
              </w:rPr>
              <w:t>Правовые последствия.</w:t>
            </w:r>
            <w:r>
              <w:rPr>
                <w:rFonts w:ascii="Calibri" w:hAnsi="Calibri" w:eastAsia="Calibri"/>
                <w:sz w:val="17"/>
              </w:rPr>
              <w:t xml:space="preserve"> Пока позиция действует, EUz не принимает в отношении участника мер, противоречащих ей, по описанным фактам, если юрисконсульты подтвердят, что официальные тексты это допускают; в противном случае позиции помечаются как не имеющие обязательной силы.</w:t>
            </w:r>
          </w:p>
          <w:p>
            <w:pPr>
              <w:spacing w:before="0" w:after="40" w:line="252" w:lineRule="auto"/>
            </w:pPr>
            <w:r>
              <w:rPr>
                <w:rFonts w:ascii="Calibri" w:hAnsi="Calibri" w:eastAsia="Calibri"/>
                <w:b/>
                <w:sz w:val="17"/>
              </w:rPr>
              <w:t>Отзыв.</w:t>
            </w:r>
            <w:r>
              <w:rPr>
                <w:rFonts w:ascii="Calibri" w:hAnsi="Calibri" w:eastAsia="Calibri"/>
                <w:sz w:val="17"/>
              </w:rPr>
              <w:t xml:space="preserve"> Только на будущее, с уведомлением за 30 рабочих дней (плановое допущение).</w:t>
            </w:r>
          </w:p>
          <w:p>
            <w:pPr>
              <w:spacing w:before="0" w:after="40" w:line="252" w:lineRule="auto"/>
            </w:pPr>
            <w:r>
              <w:rPr>
                <w:rFonts w:ascii="Calibri" w:hAnsi="Calibri" w:eastAsia="Calibri"/>
                <w:b/>
                <w:sz w:val="17"/>
              </w:rPr>
              <w:t>Оговорка.</w:t>
            </w:r>
            <w:r>
              <w:rPr>
                <w:rFonts w:ascii="Calibri" w:hAnsi="Calibri" w:eastAsia="Calibri"/>
                <w:sz w:val="17"/>
              </w:rPr>
              <w:t xml:space="preserve"> Позиция не является юридической консультацией или одобрением и не имеет обязательной силы для национальных органов.</w:t>
            </w:r>
          </w:p>
        </w:tc>
      </w:tr>
    </w:tbl>
    <w:p>
      <w:pPr>
        <w:spacing w:before="0" w:after="40" w:line="144" w:lineRule="auto"/>
      </w:pPr>
    </w:p>
    <w:p>
      <w:pPr>
        <w:pStyle w:val="Heading2"/>
      </w:pPr>
      <w:r>
        <w:rPr>
          <w:rFonts w:ascii="Calibri" w:hAnsi="Calibri" w:eastAsia="Calibri"/>
        </w:rPr>
        <w:t>5.4 Услуги и аргументы в пользу EUz: конкурировать охватом новых технологий и опубликованными сроками принятия решений, а не числом финтех-проектов</w:t>
      </w:r>
    </w:p>
    <w:p>
      <w:pPr>
        <w:spacing w:before="0" w:after="60" w:line="259" w:lineRule="auto"/>
      </w:pPr>
      <w:r>
        <w:rPr>
          <w:rFonts w:ascii="Calibri" w:hAnsi="Calibri" w:eastAsia="Calibri"/>
          <w:sz w:val="18"/>
        </w:rPr>
        <w:t>Сингапур, Великобритания и ОАЭ уже предлагают песочницы с документально подтвержденными результатами работы. С учетом имеющихся данных (Иллюстрация 11a) EUz не следует ни заявлять о превосходстве над ними, ни конкурировать с ними за поток финтех-проектов. Реалистичное предложение EUz — более узкое: тестирование нефинансовых решений в области ИИ, данных и торговых технологий с опубликованными сроками принятия решений; спрос на него еще предстоит проверить у потенциальных участников (мера 10, раздел 8.1). Тесты в сфере финансовых услуг направляются в профильный национальный режим (правила перенаправления, раздел 5.1).</w:t>
      </w:r>
    </w:p>
    <w:p>
      <w:pPr>
        <w:pStyle w:val="ExhibitTitle"/>
      </w:pPr>
      <w:r>
        <w:rPr>
          <w:rFonts w:ascii="Calibri" w:hAnsi="Calibri" w:eastAsia="Calibri"/>
        </w:rPr>
        <w:t>Иллюстрация 11. Услуги и сроки их запуска</w:t>
      </w:r>
    </w:p>
    <w:tbl>
      <w:tblPr>
        <w:tblW w:w="9639" w:type="dxa"/>
        <w:jc w:val="center"/>
        <w:tblLayout w:type="fixed"/>
        <w:tblLook w:firstColumn="1" w:firstRow="1" w:lastColumn="0" w:lastRow="0" w:noHBand="0" w:noVBand="1" w:val="04A0"/>
      </w:tblPr>
      <w:tblGrid>
        <w:gridCol w:w="2664"/>
        <w:gridCol w:w="2381"/>
        <w:gridCol w:w="2324"/>
        <w:gridCol w:w="2268"/>
      </w:tblGrid>
      <w:tr>
        <w:trPr>
          <w:cantSplit/>
          <w:tblHeader/>
        </w:trPr>
        <w:tc>
          <w:tcPr>
            <w:tcW w:type="dxa" w:w="266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Услуга</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При запуске (обязательно)</w:t>
            </w:r>
          </w:p>
        </w:tc>
        <w:tc>
          <w:tcPr>
            <w:tcW w:type="dxa" w:w="232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Позже (конкурентное отличие)</w:t>
            </w:r>
          </w:p>
        </w:tc>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Данные или обоснование</w:t>
            </w:r>
          </w:p>
        </w:tc>
      </w:tr>
      <w:tr>
        <w:trPr>
          <w:cantSplit/>
        </w:trPr>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Четкие регуляторные разъяснения, опубликованные позиции</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Да</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ICO, Ofgem [S5][S6]</w:t>
            </w:r>
          </w:p>
        </w:tc>
      </w:tr>
      <w:tr>
        <w:trPr>
          <w:cantSplit/>
        </w:trPr>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Быстрая оценка соответствия критериям допуска</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Да: предварительная проверка — 10 р. д. (плановое допущение)</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Решения по Экспресс-треку в течение 21 календарного дня (плановое допущение)</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Целевой срок MAS [S8]</w:t>
            </w:r>
          </w:p>
        </w:tc>
      </w:tr>
      <w:tr>
        <w:trPr>
          <w:cantSplit/>
        </w:trPr>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Закрепленный куратор проекта</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Да</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Единое контактное лицо сокращает число передач дела (A)</w:t>
            </w:r>
          </w:p>
        </w:tc>
      </w:tr>
      <w:tr>
        <w:trPr>
          <w:cantSplit/>
        </w:trPr>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Установленные условия тестирования и меры защиты</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Да, в проекте Правил песочницы</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Инструменты FCA [S1]; ограничения ICO [S5]</w:t>
            </w:r>
          </w:p>
        </w:tc>
      </w:tr>
      <w:tr>
        <w:trPr>
          <w:cantSplit/>
        </w:trPr>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Контролируемая регуляторная гибкость</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 первых допусков в М6; только требования в ведении EUz</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Расширение на основе протоколов согласования с регуляторами</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Полномочия Совета подлежат проверке [S27]</w:t>
            </w:r>
          </w:p>
        </w:tc>
      </w:tr>
      <w:tr>
        <w:trPr>
          <w:cantSplit/>
        </w:trPr>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Инфраструктура тестирования, API, синтетические данные</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Платформа приема заявок — при запуске; тестовая среда — М6</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Больше данных, вычислительные ресурсы</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FCA Digital Sandbox [S4][S42]</w:t>
            </w:r>
          </w:p>
        </w:tc>
      </w:tr>
      <w:tr>
        <w:trPr>
          <w:cantSplit/>
        </w:trPr>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Консультации по кибербезопасности и защите данных</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Да, силами пула экспертов</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Постоянная лаборатория</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Риски тестов в реальных условиях (A)</w:t>
            </w:r>
          </w:p>
        </w:tc>
      </w:tr>
      <w:tr>
        <w:trPr>
          <w:cantSplit/>
        </w:trPr>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Привлечение международных экспертов</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Экспертная рецензия проекта Правил операторами песочниц (Иллюстрация 19a)</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Постоянная консультативная группа</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WEF и другие (глава 6)</w:t>
            </w:r>
          </w:p>
        </w:tc>
      </w:tr>
      <w:tr>
        <w:trPr>
          <w:cantSplit/>
        </w:trPr>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Поддержка выхода на рынок и путь коммерциализации</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Организация контактов с лицензирующими органами</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Демо-дни, доступ к инвесторам</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Эффект финансирования в Великобритании (I) [S2]; MAS Sandbox Plus: одобрений нет [S7]</w:t>
            </w:r>
          </w:p>
        </w:tc>
      </w:tr>
    </w:tbl>
    <w:p>
      <w:pPr>
        <w:spacing w:before="0" w:after="40" w:line="144" w:lineRule="auto"/>
      </w:pPr>
    </w:p>
    <w:p>
      <w:pPr>
        <w:pStyle w:val="ExhibitTitle"/>
      </w:pPr>
      <w:r>
        <w:rPr>
          <w:rFonts w:ascii="Calibri" w:hAnsi="Calibri" w:eastAsia="Calibri"/>
        </w:rPr>
        <w:t>Иллюстрация 11a. EUz в сравнении с давно действующими песочницами (только опубликованные данные)</w:t>
      </w:r>
    </w:p>
    <w:tbl>
      <w:tblPr>
        <w:tblW w:w="9639" w:type="dxa"/>
        <w:jc w:val="center"/>
        <w:tblLayout w:type="fixed"/>
        <w:tblLook w:firstColumn="1" w:firstRow="1" w:lastColumn="0" w:lastRow="0" w:noHBand="0" w:noVBand="1" w:val="04A0"/>
      </w:tblPr>
      <w:tblGrid>
        <w:gridCol w:w="1417"/>
        <w:gridCol w:w="1814"/>
        <w:gridCol w:w="2041"/>
        <w:gridCol w:w="1927"/>
        <w:gridCol w:w="2438"/>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Параметр</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Сингапур (MAS)</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Великобритания (FCA, ICO, Ofgem)</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ОАЭ (ADGM, DFSA)</w:t>
            </w:r>
          </w:p>
        </w:tc>
        <w:tc>
          <w:tcPr>
            <w:tcW w:type="dxa" w:w="243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EUz (предлагаемая модель)</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Сфера охвата</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Финансовые услуги; три трека [S7][S8][S9]</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Отдельная песочница у каждого регулятора: финансы (FCA, а также Digital Sandbox), персональные данные (ICO), энергетика (Ofgem) [S3][S4][S5][S6]</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Финансовые услуги [S13][S14]</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«Единое окно» для ИИ, данных, торговых технологий и цифровой идентификации в рамках межотраслевого мандата (по опубликованным данным; S [S27]; A). Межотраслевые песочницы есть и в других странах (Япония; Корея — песочница ИКТ), поэтому ценность предложения — в сочетании, а не в одном лишь охвате</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Результаты работы</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15 из 19 принятых компаний получили лицензию (с 2016 по конец сент. 2025); охват по трекам неясен (R) [S7]</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FCA: принято 172 из 629 по дек. 2023 (R) [S3]; в 2025 г. принято 13% (R) [S40]; около +15% к привлеченному капиталу после допуска (I) [S2]</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ADGM: допущено 32 из 83 заявок, по авг. 2019 (R) [S49]; DFSA: принято 67 из 130, июл. 2022 (R) [S14]</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Пока нет</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Опубликованный срок рассмотрения</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Медиана — около 3 месяцев с учетом времени заявителя (R) [S7]; Express: целевой срок 21 день; данных о соблюдении срока не найдено (T) [S8]</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FCA, ориентировочно: проверка соответствия критериям допуска — около 2–3 недель; полная оценка — около 8–12 недель (T) [S39]</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DFSA: обычно 10–12 недель после подачи полной заявки (ориентировочно, T) [S50]; ADGM: Не подтверждено</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50 р. д. в зоне контроля EUz (плановое допущение, раздел 5.2); данные о соблюдении срока публикуются ежеквартально (A). Целевой срок, несопоставимый с фактическими медианами</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Выход</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Переход в действующий режим лицензирования [S7]</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FCA: через ограниченное разрешение [S1]</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DFSA: компания должна выполнить требования к получению полного разрешения [S14]</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Варианты выхода определяются при допуске; лицензирующий орган ими не связан (Иллюстрация 12)</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Пока не доказано</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Результаты работы; правовая основа (официальные тексты еще не изучены) [S27]; MoU о признании; спрос (мера 10). Сведения о судебном и налоговом режиме расходятся (Приложение B); в продвижении не используются</w:t>
            </w:r>
          </w:p>
        </w:tc>
      </w:tr>
    </w:tbl>
    <w:p>
      <w:pPr>
        <w:spacing w:before="0" w:after="40" w:line="144" w:lineRule="auto"/>
      </w:pPr>
    </w:p>
    <w:p>
      <w:pPr>
        <w:spacing w:before="40" w:after="160" w:line="240" w:lineRule="auto"/>
      </w:pPr>
      <w:r>
        <w:rPr>
          <w:rFonts w:ascii="Calibri" w:hAnsi="Calibri" w:eastAsia="Calibri"/>
          <w:color w:val="6B6E70"/>
          <w:sz w:val="15"/>
        </w:rPr>
        <w:t>Цифры — по опубликованным данным каждой программы, с указанием дат; определения различаются, поэтому столбцы напрямую не сопоставимы. ICO — Управление Уполномоченного по информации Великобритании; с 30 сентября 2026 г. заменено Комиссией по информации (S) [S47].</w:t>
      </w:r>
    </w:p>
    <w:p>
      <w:pPr>
        <w:pStyle w:val="Heading2"/>
      </w:pPr>
      <w:r>
        <w:rPr>
          <w:rFonts w:ascii="Calibri" w:hAnsi="Calibri" w:eastAsia="Calibri"/>
        </w:rPr>
        <w:t>5.5 Выход из песочницы, в том числе успешный: положительный итог тестирования не дает лицензии автоматически</w:t>
      </w:r>
    </w:p>
    <w:p>
      <w:pPr>
        <w:pStyle w:val="ExhibitTitle"/>
      </w:pPr>
      <w:r>
        <w:rPr>
          <w:rFonts w:ascii="Calibri" w:hAnsi="Calibri" w:eastAsia="Calibri"/>
        </w:rPr>
        <w:t>Иллюстрация 12. Варианты выхода</w:t>
      </w:r>
    </w:p>
    <w:tbl>
      <w:tblPr>
        <w:tblW w:w="9639" w:type="dxa"/>
        <w:jc w:val="center"/>
        <w:tblLayout w:type="fixed"/>
        <w:tblLook w:firstColumn="1" w:firstRow="1" w:lastColumn="0" w:lastRow="0" w:noHBand="0" w:noVBand="1" w:val="04A0"/>
      </w:tblPr>
      <w:tblGrid>
        <w:gridCol w:w="1871"/>
        <w:gridCol w:w="2268"/>
        <w:gridCol w:w="2778"/>
        <w:gridCol w:w="2721"/>
      </w:tblGrid>
      <w:tr>
        <w:trPr>
          <w:cantSplit/>
          <w:tblHeader/>
        </w:trPr>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Вариант</w:t>
            </w:r>
          </w:p>
        </w:tc>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Когда применяется</w:t>
            </w:r>
          </w:p>
        </w:tc>
        <w:tc>
          <w:tcPr>
            <w:tcW w:type="dxa" w:w="277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Кто принимает решение</w:t>
            </w:r>
          </w:p>
        </w:tc>
        <w:tc>
          <w:tcPr>
            <w:tcW w:type="dxa" w:w="272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Правовое примечание (подлежит проверке)</w:t>
            </w:r>
          </w:p>
        </w:tc>
      </w:tr>
      <w:tr>
        <w:trPr>
          <w:cantSplit/>
        </w:trPr>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Продолжение работы по действующим правилам</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Тест показал, что деятельность правомерна без лицензии</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Комитет, при необходимости с подтверждением регулятора</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Письменное подтверждение; EUz не освобождает от внешних норм</w:t>
            </w:r>
          </w:p>
        </w:tc>
      </w:tr>
      <w:tr>
        <w:trPr>
          <w:cantSplit/>
        </w:trPr>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Заявка на лицензию или разрешение на постоянной основе</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Для деятельности требуется разрешение EUz или национального регулятора</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Лицензирующий орган, а не Комитет</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Данные Комитета и отчет EUz о выходе из песочницы служат обоснованием, но для органа не обязательны</w:t>
            </w:r>
          </w:p>
        </w:tc>
      </w:tr>
      <w:tr>
        <w:trPr>
          <w:cantSplit/>
        </w:trPr>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Переход на обновленный режим</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 итогам теста введено новое правило или стандарт</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Совет (правила EUz) или национальные органы</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Требуется нормотворчество; могут понадобиться поправки</w:t>
            </w:r>
          </w:p>
        </w:tc>
      </w:tr>
      <w:tr>
        <w:trPr>
          <w:cantSplit/>
        </w:trPr>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Продление или дополнительное тестирование</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Существенный пробел в доказательной базе; допустимо по закону</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Комитет, в пределах установленного Советом срока</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 опубликованным данным: до 12 месяцев, если Совет не установит иной срок (S) [S27]</w:t>
            </w:r>
          </w:p>
        </w:tc>
      </w:tr>
      <w:tr>
        <w:trPr>
          <w:cantSplit/>
        </w:trPr>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Коммерческое расширение</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За пределами одобренного круга клиентов, территории или объема</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Комитет, по новой заявке</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Допуск не дает автоматического права на коммерческий запуск (W) [S31]</w:t>
            </w:r>
          </w:p>
        </w:tc>
      </w:tr>
      <w:tr>
        <w:trPr>
          <w:cantSplit/>
        </w:trPr>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Прекращение или корректирующие меры</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Нарушение, ущерб, порог остановки, несоответствие критериям допуска</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Комитет прекращает статус участника песочницы (председатель Комитета вправе немедленно приостановить тест, раздел 5.1); санкции применяет только орган EUz, наделенный полномочиями по применению мер воздействия, по представлению Комитета (орган подлежит подтверждению, Иллюстрация 13)</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Меры воздействия, по сообщениям, включают предупреждение, предписание, лишение льгот, санкции и приостановление (W) [S31]; решение о прекращении можно пересмотреть и обжаловать в апелляционном порядке (врезка ниже)</w:t>
            </w:r>
          </w:p>
        </w:tc>
      </w:tr>
    </w:tbl>
    <w:p>
      <w:pPr>
        <w:spacing w:before="0" w:after="40" w:line="144" w:lineRule="auto"/>
      </w:pPr>
    </w:p>
    <w:p>
      <w:pPr>
        <w:spacing w:before="0" w:after="80" w:line="259" w:lineRule="auto"/>
      </w:pPr>
      <w:r>
        <w:rPr>
          <w:rFonts w:ascii="Calibri" w:hAnsi="Calibri" w:eastAsia="Calibri"/>
          <w:b/>
          <w:sz w:val="18"/>
        </w:rPr>
        <w:t>Отчет о выходе из песочницы.</w:t>
      </w:r>
      <w:r>
        <w:rPr>
          <w:rFonts w:ascii="Calibri" w:hAnsi="Calibri" w:eastAsia="Calibri"/>
          <w:sz w:val="18"/>
        </w:rPr>
        <w:t xml:space="preserve"> Каждый тест завершается письменным отчетом Комитета о выходе: что тестировалось, на каких условиях, какие получены доказательства и какой выбран вариант выхода. По аналогии с отчетом о выходе по Закону ЕС об ИИ, который органы надзора за рынком и нотифицированные органы обязаны учитывать как положительный фактор, но без презумпции соответствия (Регламент (ЕС) 2024/1689, ст. 57(7) в первоначальной редакции; карточка 3.8), такой отчет должен служить обоснованием для решения лицензирующего органа, но не быть для него обязательным (A).</w:t>
      </w: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Пересмотр и апелляция (для Правил песочницы)</w:t>
            </w:r>
          </w:p>
          <w:p>
            <w:pPr>
              <w:spacing w:before="0" w:after="40" w:line="252" w:lineRule="auto"/>
            </w:pPr>
            <w:r>
              <w:rPr>
                <w:rFonts w:ascii="Calibri" w:hAnsi="Calibri" w:eastAsia="Calibri"/>
                <w:b/>
                <w:sz w:val="17"/>
              </w:rPr>
              <w:t>Могут быть оспорены:</w:t>
            </w:r>
            <w:r>
              <w:rPr>
                <w:rFonts w:ascii="Calibri" w:hAnsi="Calibri" w:eastAsia="Calibri"/>
                <w:sz w:val="17"/>
              </w:rPr>
              <w:t xml:space="preserve"> отказ на этапе одобрения; установленные условия; приостановление; прекращение; отказ в продлении; вариант выхода. </w:t>
            </w:r>
            <w:r>
              <w:rPr>
                <w:rFonts w:ascii="Calibri" w:hAnsi="Calibri" w:eastAsia="Calibri"/>
                <w:b/>
                <w:sz w:val="17"/>
              </w:rPr>
              <w:t>Не могут быть оспорены в EUz:</w:t>
            </w:r>
            <w:r>
              <w:rPr>
                <w:rFonts w:ascii="Calibri" w:hAnsi="Calibri" w:eastAsia="Calibri"/>
                <w:sz w:val="17"/>
              </w:rPr>
              <w:t xml:space="preserve"> возврат неполного комплекта документов (заявитель подает его повторно); перенаправление в Трек разъяснений (по запросу — однократное рассмотрение Комитетом); любые решения национальных регуляторов (применяются их собственные процедуры).</w:t>
            </w:r>
          </w:p>
          <w:p>
            <w:pPr>
              <w:spacing w:before="0" w:after="40" w:line="252" w:lineRule="auto"/>
            </w:pPr>
            <w:r>
              <w:rPr>
                <w:rFonts w:ascii="Calibri" w:hAnsi="Calibri" w:eastAsia="Calibri"/>
                <w:b/>
                <w:sz w:val="17"/>
              </w:rPr>
              <w:t>Шаг 1, пересмотр:</w:t>
            </w:r>
            <w:r>
              <w:rPr>
                <w:rFonts w:ascii="Calibri" w:hAnsi="Calibri" w:eastAsia="Calibri"/>
                <w:sz w:val="17"/>
              </w:rPr>
              <w:t xml:space="preserve"> проводит Комитет при появлении новых доказательств или выявлении фактической ошибки; заявление подается в течение 10 р. д., решение принимается в течение 15 р. д.</w:t>
            </w:r>
          </w:p>
          <w:p>
            <w:pPr>
              <w:spacing w:before="0" w:after="40" w:line="252" w:lineRule="auto"/>
            </w:pPr>
            <w:r>
              <w:rPr>
                <w:rFonts w:ascii="Calibri" w:hAnsi="Calibri" w:eastAsia="Calibri"/>
                <w:b/>
                <w:sz w:val="17"/>
              </w:rPr>
              <w:t>Шаг 2, апелляция:</w:t>
            </w:r>
            <w:r>
              <w:rPr>
                <w:rFonts w:ascii="Calibri" w:hAnsi="Calibri" w:eastAsia="Calibri"/>
                <w:sz w:val="17"/>
              </w:rPr>
              <w:t xml:space="preserve"> подается в течение 15 р. д. в коллегию из трех членов Совета, не участвовавших в рассмотрении дела, в связи с процедурным нарушением, фактической ошибкой, несоразмерностью условий или несоответствием Правилам; решение принимается в течение 30 р. д. Коллегия может оставить решение в силе, отменить его и направить на новое рассмотрение или изменить условия, но не вправе допустить тест, по которому не получено требуемое согласие. Если первоначальное решение принимал Совет (запасной вариант по D2), апелляцию рассматривает коллегия Совета в ином составе — при условии подтверждения юрисконсультами.</w:t>
            </w:r>
          </w:p>
          <w:p>
            <w:pPr>
              <w:spacing w:before="0" w:after="40" w:line="252" w:lineRule="auto"/>
            </w:pPr>
            <w:r>
              <w:rPr>
                <w:rFonts w:ascii="Calibri" w:hAnsi="Calibri" w:eastAsia="Calibri"/>
                <w:b/>
                <w:sz w:val="17"/>
              </w:rPr>
              <w:t>На время оспаривания:</w:t>
            </w:r>
            <w:r>
              <w:rPr>
                <w:rFonts w:ascii="Calibri" w:hAnsi="Calibri" w:eastAsia="Calibri"/>
                <w:sz w:val="17"/>
              </w:rPr>
              <w:t xml:space="preserve"> решение о приостановлении или прекращении, принятое для предотвращения ущерба, остается в силе. Все сроки — плановые допущения.</w:t>
            </w:r>
          </w:p>
          <w:p>
            <w:pPr>
              <w:spacing w:before="0" w:after="40" w:line="252" w:lineRule="auto"/>
            </w:pPr>
            <w:r>
              <w:rPr>
                <w:rFonts w:ascii="Calibri" w:hAnsi="Calibri" w:eastAsia="Calibri"/>
                <w:b/>
                <w:sz w:val="17"/>
              </w:rPr>
              <w:t>Обращение в суд:</w:t>
            </w:r>
            <w:r>
              <w:rPr>
                <w:rFonts w:ascii="Calibri" w:hAnsi="Calibri" w:eastAsia="Calibri"/>
                <w:sz w:val="17"/>
              </w:rPr>
              <w:t xml:space="preserve"> возможность дальнейшего судебного обжалования зависит от официальных текстов (Приложение D, шаг 1); по сообщению одного издания, решения Администрации Центра могут быть обжалованы в независимом суде [S27]. Обезличенные итоги рассмотрения жалоб приводятся в годовом отчете.</w:t>
            </w:r>
          </w:p>
        </w:tc>
      </w:tr>
    </w:tbl>
    <w:p>
      <w:pPr>
        <w:spacing w:before="0" w:after="40" w:line="144" w:lineRule="auto"/>
      </w:pPr>
    </w:p>
    <w:p>
      <w:pPr>
        <w:pStyle w:val="Heading2"/>
      </w:pPr>
      <w:r>
        <w:rPr>
          <w:rFonts w:ascii="Calibri" w:hAnsi="Calibri" w:eastAsia="Calibri"/>
        </w:rPr>
        <w:t>5.6 Правовой анализ соответствия и пробелов: контрольный перечень для юристов, а не юридическое заключение</w:t>
      </w:r>
    </w:p>
    <w:p>
      <w:pPr>
        <w:spacing w:before="0" w:after="80" w:line="259" w:lineRule="auto"/>
      </w:pPr>
      <w:r>
        <w:rPr>
          <w:rFonts w:ascii="Calibri" w:hAnsi="Calibri" w:eastAsia="Calibri"/>
          <w:sz w:val="18"/>
        </w:rPr>
        <w:t xml:space="preserve">Категории: </w:t>
      </w:r>
      <w:r>
        <w:rPr>
          <w:rFonts w:ascii="Calibri" w:hAnsi="Calibri" w:eastAsia="Calibri"/>
          <w:b/>
          <w:sz w:val="18"/>
        </w:rPr>
        <w:t>Проверка</w:t>
      </w:r>
      <w:r>
        <w:rPr>
          <w:rFonts w:ascii="Calibri" w:hAnsi="Calibri" w:eastAsia="Calibri"/>
          <w:sz w:val="18"/>
        </w:rPr>
        <w:t xml:space="preserve"> — подтвердить по официальному тексту; </w:t>
      </w:r>
      <w:r>
        <w:rPr>
          <w:rFonts w:ascii="Calibri" w:hAnsi="Calibri" w:eastAsia="Calibri"/>
          <w:b/>
          <w:sz w:val="18"/>
        </w:rPr>
        <w:t>Подзак. акт</w:t>
      </w:r>
      <w:r>
        <w:rPr>
          <w:rFonts w:ascii="Calibri" w:hAnsi="Calibri" w:eastAsia="Calibri"/>
          <w:sz w:val="18"/>
        </w:rPr>
        <w:t xml:space="preserve"> — требуется подзаконный акт (решение Совета или Правила песочницы); </w:t>
      </w:r>
      <w:r>
        <w:rPr>
          <w:rFonts w:ascii="Calibri" w:hAnsi="Calibri" w:eastAsia="Calibri"/>
          <w:b/>
          <w:sz w:val="18"/>
        </w:rPr>
        <w:t>Нац. регулятор</w:t>
      </w:r>
      <w:r>
        <w:rPr>
          <w:rFonts w:ascii="Calibri" w:hAnsi="Calibri" w:eastAsia="Calibri"/>
          <w:sz w:val="18"/>
        </w:rPr>
        <w:t xml:space="preserve"> — требуется одобрение национального регулятора; </w:t>
      </w:r>
      <w:r>
        <w:rPr>
          <w:rFonts w:ascii="Calibri" w:hAnsi="Calibri" w:eastAsia="Calibri"/>
          <w:b/>
          <w:sz w:val="18"/>
        </w:rPr>
        <w:t>Поправки</w:t>
      </w:r>
      <w:r>
        <w:rPr>
          <w:rFonts w:ascii="Calibri" w:hAnsi="Calibri" w:eastAsia="Calibri"/>
          <w:sz w:val="18"/>
        </w:rPr>
        <w:t xml:space="preserve"> — может потребоваться изменение закона. Графа «Действующая основа» опирается на сообщения прессы (S), записи в официальных базах данных или рабочие материалы EUz (W), а не на официальные тексты. Последняя графа — запасной проектный вариант, если юрисконсульты не подтвердят эту основу (A).</w:t>
      </w:r>
    </w:p>
    <w:p>
      <w:pPr>
        <w:pStyle w:val="ExhibitTitle"/>
      </w:pPr>
      <w:r>
        <w:rPr>
          <w:rFonts w:ascii="Calibri" w:hAnsi="Calibri" w:eastAsia="Calibri"/>
        </w:rPr>
        <w:t>Иллюстрация 13. Правовая матрица соответствия и пробелов</w:t>
      </w:r>
    </w:p>
    <w:tbl>
      <w:tblPr>
        <w:tblW w:w="9639" w:type="dxa"/>
        <w:jc w:val="center"/>
        <w:tblLayout w:type="fixed"/>
        <w:tblLook w:firstColumn="1" w:firstRow="1" w:lastColumn="0" w:lastRow="0" w:noHBand="0" w:noVBand="1" w:val="04A0"/>
      </w:tblPr>
      <w:tblGrid>
        <w:gridCol w:w="1474"/>
        <w:gridCol w:w="2154"/>
        <w:gridCol w:w="850"/>
        <w:gridCol w:w="1984"/>
        <w:gridCol w:w="1304"/>
        <w:gridCol w:w="1871"/>
      </w:tblGrid>
      <w:tr>
        <w:trPr>
          <w:cantSplit/>
          <w:tblHeader/>
        </w:trPr>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Предлагаемый механизм</w:t>
            </w:r>
          </w:p>
        </w:tc>
        <w:tc>
          <w:tcPr>
            <w:tcW w:type="dxa" w:w="215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Действующая основа в EUz (статус)</w:t>
            </w:r>
          </w:p>
        </w:tc>
        <w:tc>
          <w:tcPr>
            <w:tcW w:type="dxa" w:w="85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Категория</w:t>
            </w:r>
          </w:p>
        </w:tc>
        <w:tc>
          <w:tcPr>
            <w:tcW w:type="dxa" w:w="198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Необходимые дополнительные действия</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Ответственный орган</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Если не подтверждено (запасной вариант, A)</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Песочница с временным освобождением от требований</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 опубликованным данным: временное освобождение от отдельных требований законодательства (S) [S27]; упрощенное лицензирование (одно издание, S). Рабочие материалы EUz: ст. 39–43 (W) [S31]</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 подзак. акт</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Изучить текст; определить, кто вводит песочницу — Администрация Центра или Совет; установить в Правилах категории освобождений</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Совет; главный юрисконсульт</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Полноформатная песочница — только если освобождение не требуется или компетентный регулятор дал согласие; Трек разъяснений не затрагивается</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Срок тестирования до 12 месяцев</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 опубликованным данным, если Управляющий совет не установит иной срок (S) [S27]</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Подтвердить, в том числе какой орган устанавливает срок; установить сроки для каждого трека</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Совет</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Сроки по трекам — в Правилах; срок тестирования всех четырех пилотных проектов — не более шести месяцев</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Полномочия по допуску делегированы Комитету по песочнице</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Рабочие материалы EUz: решение о допуске принимает Управляющий совет; ст. 15–17 (W) [S31]</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 подзак. акт</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Подтвердить право Совета делегировать полномочия; иначе — утверждение Советом в заочном порядке</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Совет; главный юрисконсульт</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Совет принимает решение по каждому делу в заочном порядке (альтернатива по D2)</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Решения Совета до вступления закона в силу</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найдено; текст УП-233 еще не изучен [S28]</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Подтвердить, какие акты (операционная модель, делегирование, назначение членов Комитета, Правила песочницы) Совет вправе принять до вступления закона в силу (по опубликованным данным, 21 янв. 2027) и на каком основании</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Решения к Дню 30 — только в принципе, с повторным принятием на первом заседании Совета после вступления закона в силу</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Трек разъяснений</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найдено. Возможное основание: положения об услугах, ст. 66–70 (W, не подтверждено) [S31]</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 подзак. акт</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Подтвердить мандат; правило о юридической силе позиций; протокол совместной подписи с национальными регуляторами</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Совет</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Письменные мнения сотрудников без обязательной силы, с оговоркой</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Стандартные условия Экспресс-трека</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найдено. По опубликованным данным, подробный порядок будет установлен решениями Совета (S) [S27]</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Подзак. акт</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Совет утверждает перечень стандартных условий</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Совет</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Отложить Экспресс-трек</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Гибкость в отношении национальных требований</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Рабочие материалы EUz: тестирование в финансовой сфере — по решению компетентного регулятора (W) [S31]</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Нац. регулятор</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Протокол согласования с каждым регулятором; перечень требований, не подлежащих освобождению</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Национальные регуляторы; Совет</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Тестировать только требования в ведении EUz; остальное перенаправлять в профильный национальный режим (раздел 5.1)</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Меры защиты участников (лимиты, информирование, возмещение ущерба, порог остановки)</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 доступных источниках не найдено</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 подзак. акт</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Включить в Правила песочницы; сверить с нормами о защите прав потребителей и об ответственности</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Совет; главный юрисконсульт</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Договорные условия в каждом соглашении о тестировании</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Ответственность EUz и его сотрудников за решения и заявления в рамках песочницы</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найдено</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 подзак. акт</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Подтвердить наличие законодательной защиты EUz и его должностных лиц при добросовестных действиях; в противном случае опираться на Правила, оговорки и соглашение о тестировании</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Ответственность участника и возмещение им убытков — в каждом соглашении о тестировании; оговорки ко всем позициям</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Цифровая песочница и синтетические данные</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 опубликованным данным: доступ к инфраструктуре Центра (одно издание, S) [S27]</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 нац. регулятор</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Правила обработки данных; сверить с законом о персональных данных</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Администрация Центра; орган по защите персональных данных</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Только синтетические данные, без персональных данных</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Место хранения и трансграничная передача данных платформы</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оценивалось</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 нац. регулятор</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Подтвердить, предусматривает ли законодательство о персональных данных условия локального хранения или передачи; ответ учитывается в техническом задании тендера по D7</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 орган по защите персональных данных</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До подтверждения персональные данные на платформе не размещаются</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Трек прототипирования регулирования</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найдено</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Подзак. акт, поправки</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Правило Совета о записках по итогам прототипирования; рекомендации национальным органам</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Совет; национальные органы</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Только собственные правила EUz; рекомендации национальным органам</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Роль Регистратора в песочнице</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Рабочие материалы EUz: роль не определена (W) [S31]</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Подзак. акт</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Определить порядок фиксации и снятия статуса</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Совет; Регистратор</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До определения роли реестр песочницы ведет Секретариат</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Меры воздействия в отношении участников</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Рабочие материалы EUz: ст. 78–79, от предупреждения до приостановления (W) [S31]</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Подтвердить применимость к участникам песочницы и орган EUz, обладающий этими полномочиями</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Приостановление и прекращение по условиям соглашения о тестировании</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Подсудность споров по соглашениям о тестировании</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 опубликованным данным: Ташкентский международный коммерческий суд (три издания, S) [S27]; в публикации на этапе указа (дек. 2025) назван другой суд</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Применимое право и подсудность — в соглашении о тестировании</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Оговорка о применимом праве и подсудности готовится после подтверждения суда</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Координация с национальными режимами песочниц</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Режимы по опубликованным данным (раздел 5.1): Центральный банк [S29]; NAPP [S60]; ПП-255 [S30]; ПП-359 [S29]; УП-244 [S58]; № 717 [S61] (только названия или сообщения прессы)</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 нац. регулятор</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Изучить тексты; протокол перенаправления с Центральным банком и NAPP; исключить двойной допуск; выяснить, распространяются ли на резидентов EUz режимы по УП-244 и в сфере ИИ</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Администрация Центра; Центральный банк; NAPP; главный юрисконсульт</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допускать компанию, уже участвующую в другом режиме по тому же виду деятельности</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Соотношение с Законом «О правовом эксперименте»</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 опубликованным данным: ЗРУ-1127 позволяет государственному органу апробировать нормативно-правовой акт; реестр Минюста (S) [S59][S38]</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Подтвердить, как тестирование в EUz соотносится с законом и подлежит ли оно внесению в Единый реестр правовых экспериментов</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Запросить позицию Минюста до первого допуска; при необходимости вносить тесты в реестр</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Трансграничная песочница</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найдено</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Поправки, нац. регулятор</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MoU; признание решений партнеров</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Совет; регуляторы-партнеры</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Отложить (по плану — 2-й год)</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Публикация реестра дел и отчетов о выходе</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найдено</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Подзак. акт</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Положения о конфиденциальности и согласии</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Совет</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Публиковать только на основании положений о согласии участника</w:t>
            </w:r>
          </w:p>
        </w:tc>
      </w:tr>
    </w:tbl>
    <w:p>
      <w:pPr>
        <w:spacing w:before="0" w:after="40" w:line="144" w:lineRule="auto"/>
      </w:pPr>
    </w:p>
    <w:p>
      <w:pPr>
        <w:spacing w:before="0" w:after="80" w:line="259" w:lineRule="auto"/>
      </w:pPr>
      <w:r>
        <w:rPr>
          <w:rFonts w:ascii="Calibri" w:hAnsi="Calibri" w:eastAsia="Calibri"/>
          <w:b/>
          <w:sz w:val="18"/>
        </w:rPr>
        <w:t>Сохраняются даже при отрицательном правовом выводе:</w:t>
      </w:r>
      <w:r>
        <w:rPr>
          <w:rFonts w:ascii="Calibri" w:hAnsi="Calibri" w:eastAsia="Calibri"/>
          <w:sz w:val="18"/>
        </w:rPr>
        <w:t xml:space="preserve"> Трек разъяснений (в форме мнений без обязательной силы), Комитет (с решениями Совета в качестве запасного варианта) и договорные меры защиты. </w:t>
      </w:r>
      <w:r>
        <w:rPr>
          <w:rFonts w:ascii="Calibri" w:hAnsi="Calibri" w:eastAsia="Calibri"/>
          <w:b/>
          <w:sz w:val="18"/>
        </w:rPr>
        <w:t>Зависят от подтверждения:</w:t>
      </w:r>
      <w:r>
        <w:rPr>
          <w:rFonts w:ascii="Calibri" w:hAnsi="Calibri" w:eastAsia="Calibri"/>
          <w:sz w:val="18"/>
        </w:rPr>
        <w:t xml:space="preserve"> освобождения от требований, Экспресс-трек и трек прототипирования.</w:t>
      </w:r>
    </w:p>
    <w:p>
      <w:pPr>
        <w:spacing w:before="0" w:after="80" w:line="259" w:lineRule="auto"/>
      </w:pPr>
      <w:r>
        <w:rPr>
          <w:rFonts w:ascii="Calibri" w:hAnsi="Calibri" w:eastAsia="Calibri"/>
          <w:b/>
          <w:sz w:val="18"/>
        </w:rPr>
        <w:t>Международный опыт: реальная правовая гибкость требует полномочий, закрепленных законом.</w:t>
      </w:r>
      <w:r>
        <w:rPr>
          <w:rFonts w:ascii="Calibri" w:hAnsi="Calibri" w:eastAsia="Calibri"/>
          <w:sz w:val="18"/>
        </w:rPr>
        <w:t xml:space="preserve"> FCA может освобождать от применения или изменять лишь собственные правила, но не нормы национального законодательства [S1]. Британская песочница Digital Securities Sandbox, созданная подзаконным актом (вступил в силу 8 января 2024 г.) на основании Закона о финансовых услугах и рынках 2023 г., позволяет Банку Англии и FCA изменять или не применять к участникам указанные в этом акте положения законодательства о финансовых рынках [S45] (Иллюстрация 4, механизм 5). Предоставляет ли ЗРУ-1169 EUz сопоставимые полномочия — первый вопрос к юрисконсультам (строка 1).</w:t>
      </w:r>
    </w:p>
    <w:p>
      <w:pPr>
        <w:pStyle w:val="Heading2"/>
      </w:pPr>
      <w:r>
        <w:rPr>
          <w:rFonts w:ascii="Calibri" w:hAnsi="Calibri" w:eastAsia="Calibri"/>
        </w:rPr>
        <w:t>5.7 Критерии допуска и меры защиты: допускать только тесты с указанием конкретного регуляторного барьера и закреплять в каждом решении лимиты, информирование пользователей и порог остановки</w:t>
      </w:r>
    </w:p>
    <w:p>
      <w:pPr>
        <w:spacing w:before="0" w:after="80" w:line="259" w:lineRule="auto"/>
      </w:pPr>
      <w:r>
        <w:rPr>
          <w:rFonts w:ascii="Calibri" w:hAnsi="Calibri" w:eastAsia="Calibri"/>
          <w:sz w:val="18"/>
        </w:rPr>
        <w:t>Секретариат проводит оценку, а Комитет принимает решения на основе этих критериев. Критерии рекомендуется включить в Правила песочницы (о наличии таких норм в законе не сообщалось); они составляют базовые требования в части мер защиты, ответственности и комплаенса, предлагаемые для Решения D5.</w:t>
      </w:r>
    </w:p>
    <w:p>
      <w:pPr>
        <w:pStyle w:val="ExhibitTitle"/>
      </w:pPr>
      <w:r>
        <w:rPr>
          <w:rFonts w:ascii="Calibri" w:hAnsi="Calibri" w:eastAsia="Calibri"/>
        </w:rPr>
        <w:t>Иллюстрация 14. Критерии допуска и стандартные меры защиты</w:t>
      </w:r>
    </w:p>
    <w:tbl>
      <w:tblPr>
        <w:tblW w:w="9639" w:type="dxa"/>
        <w:jc w:val="center"/>
        <w:tblLayout w:type="fixed"/>
        <w:tblLook w:firstColumn="1" w:firstRow="1" w:lastColumn="0" w:lastRow="0" w:noHBand="0" w:noVBand="1" w:val="04A0"/>
      </w:tblPr>
      <w:tblGrid>
        <w:gridCol w:w="1587"/>
        <w:gridCol w:w="4989"/>
        <w:gridCol w:w="3061"/>
      </w:tblGrid>
      <w:tr>
        <w:trPr>
          <w:cantSplit/>
          <w:tblHeader/>
        </w:trPr>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Элемент</w:t>
            </w:r>
          </w:p>
        </w:tc>
        <w:tc>
          <w:tcPr>
            <w:tcW w:type="dxa" w:w="4989"/>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Требование</w:t>
            </w:r>
          </w:p>
        </w:tc>
        <w:tc>
          <w:tcPr>
            <w:tcW w:type="dxa" w:w="30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Обоснование (данные или доводы)</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Подлинная новизна</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Технология или бизнес-модель, новая для Узбекистана или существенно превосходящая имеющиеся решения</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по Sandbox Plus одобрений не было, так как большинство заявок касалось технологий, уже применяемых в Сингапуре (R) [S7]</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Необходимость тестирования</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Выявлена конкретная регуляторная неопределенность или барьер; в противном случае — перенаправление в Трек разъяснений</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Ofgem, окно 1: 22 из 30 не указали конкретного барьера (R) [S6]; MAS отказало части заявителей, чьи модели уже допускались действующими правилами (R) [S7]</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Польза пользователям или экономике</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Обоснованно ожидаемая польза для пользователей, торговли или экономики данных</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Данные по Великобритании касаются финансирования, а не итогов для потребителей [S2]</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Готовность</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Работающий прототип, система управления, базовые меры безопасности и ресурсы для завершения теста и выполнения условий выхода</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 DFSA выход зависит от выполнения требований к получению полного разрешения [S14]</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Соответствие приоритетам</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 рамках мандата EUz в области новых технологий</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Охват — по опубликованным данным [S27]</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Проверка благонадежности</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Проверяется личность заявителя, бенефициарных собственников и директоров. Проверка по санкционным спискам при подаче заявки, допуске и любой смене контроля; применяются списки, обязательность которых в Узбекистане подтвердят юрисконсульты, а также любые списки, которые Совет решит применять в рамках своей политики. Заявитель сообщает обо всех отказах регуляторов и мерах принуждения в любой юрисдикции. При подтвержденных сомнениях в благонадежности — отказ</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Допуск — знак тщательной проверки (карточка 3.1) (A)</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Лимиты</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Максимальное число клиентов, сумма или объем операций, территория и срок устанавливаются в решении</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Модель допуска в рабочих материалах EUz (W) [S31]</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Информирование и возмещение ущерба</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Стандартное уведомление пользователей: услуга тестируется в песочнице EUz в установленных пределах; допуск не означает одобрения и не является лицензией; жалобы направляются сначала участнику, затем в Секретариат. Ответственность перед пользователями несет только участник; он также возмещает EUz убытки и до начала тестирования в реальных условиях подтверждает наличие страхования, гарантии или обособленных средств, достаточных для компенсации ущерба пользователям в пределах лимитов (форму и сумму на этапе проектирования тестирования определяет руководитель по рискам, кибербезопасности и комплаенсу). Компенсационный фонд за счет EUz не создается</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FCA: меры защиты потребителей согласуются индивидуально; письма о неприменении мер принуждения не ограничивают ответственность перед потребителями [S1] (A)</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План свертывания деятельности</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Порядок обслуживания, возврата средств или передачи пользователей при досрочной остановке теста или несостоятельности участника; утверждается при проектировании тестирования</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Австралия: 12 из 16 вышедших из песочницы компаний закрылись (S) [S24]; Иллюстрация 3a (A)</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Пороги остановки и инциденты</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Заранее согласованные пороги остановки; информирование Секретариата об инцидентах в течение двух рабочих дней (плановое допущение)</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Контроль рисков при тестировании в реальных условиях (A)</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Данные и кибербезопасность</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План обработки данных с указанием контролера и обработчика каждого набора данных (участник, платформа EUz, внешний оператор). До использования любых реальных персональных данных эксперт из пула проверяет оценку воздействия на защиту данных; сначала используются синтетические или обезличенные данные; проводится экспертная проверка безопасности. О нарушениях безопасности данных сообщается по правилу уведомления об инцидентах, а также компетентному органу в соответствии с требованиями закона. Данные удаляются или возвращаются в течение 30 р. д. после выхода (плановое допущение) с оформлением подтверждающего акта. Информация об участнике используется только для надзора и оценки результатов; передается национальному регулятору, только если он назван в записке о регуляторном картировании (на условиях конфиденциальности по MoU); публикуется только в обезличенном виде и после рассмотрения участником</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Модель FCA Digital Sandbox [S4]; законодательство о персональных данных еще не изучено (A)</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Меры против финансовых преступлений в тестах</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Тесты с переводом денег, ценностей, цифровых активов или товарораспорядительных документов проводятся через организацию, на которую уже распространяются обязанности по ПОД/ФТ, либо с письменного согласия компетентного органа. В каждой записке о регуляторном картировании обязанности по ПОД/ФТ, санкционные требования и обязанности по отчетности указываются как не подлежащие освобождению. ИИ-инструменты комплаенса дополняют, но никогда не заменяют предусмотренные законом меры контроля и решение человека; результат работы ИИ не может снять совпадение с санкционным списком</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Делает презумпцию недопустимости освобождения применимой на практике; меру контроля не тестируют путем ее отмены (A)</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Базовые требования, не подлежащие освобождению</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Краткий перечень, согласованный с юрисконсультами и каждым регулятором. Презумпция: санкционные обязанности, обязанности по противодействию финансовой преступности, базовая защита персональных данных и критически важные требования безопасности освобождению не подлежат</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Рекомендация (A); подлежит подтверждению путем сверки с официальными текстами</w:t>
            </w:r>
          </w:p>
        </w:tc>
      </w:tr>
    </w:tbl>
    <w:p>
      <w:pPr>
        <w:spacing w:before="0" w:after="40" w:line="144" w:lineRule="auto"/>
      </w:pPr>
    </w:p>
    <w:p>
      <w:pPr>
        <w:spacing w:before="40" w:after="160" w:line="240" w:lineRule="auto"/>
      </w:pPr>
      <w:r>
        <w:rPr>
          <w:rFonts w:ascii="Calibri" w:hAnsi="Calibri" w:eastAsia="Calibri"/>
          <w:color w:val="6B6E70"/>
          <w:sz w:val="15"/>
        </w:rPr>
        <w:t>Типовое соглашение о тестировании (минимальный набор условий): перечисленные выше меры защиты, в том числе рамки теста и лимиты, ответственность участника и его обязанность возместить убытки EUz, способность выплатить компенсацию, информирование пользователей, рассмотрение жалоб, план свертывания деятельности, обмен информацией с регуляторами, названными в записке о регуляторном картировании, а также обработка и удаление данных при выходе; кроме того, отчетность и данные об итогах; интеллектуальная собственность и публикация; приостановление и прекращение; применимое право и подсудность; отсутствие права на получение лицензии или на коммерческий запуск.</w:t>
      </w:r>
    </w:p>
    <w:p>
      <w:pPr>
        <w:pStyle w:val="Heading2"/>
      </w:pPr>
      <w:r>
        <w:rPr>
          <w:rFonts w:ascii="Calibri" w:hAnsi="Calibri" w:eastAsia="Calibri"/>
        </w:rPr>
        <w:t>5.8 Взаимодействие регуляторов, экспертов и компаний: согласие регулятора получают до одобрения, а не после</w:t>
      </w:r>
    </w:p>
    <w:p>
      <w:pPr>
        <w:pStyle w:val="ExhibitTitle"/>
      </w:pPr>
      <w:r>
        <w:rPr>
          <w:rFonts w:ascii="Calibri" w:hAnsi="Calibri" w:eastAsia="Calibri"/>
        </w:rPr>
        <w:t>Иллюстрация 15. Протокол взаимодействия на протяжении жизненного цикла участника</w:t>
      </w:r>
    </w:p>
    <w:tbl>
      <w:tblPr>
        <w:tblW w:w="9639" w:type="dxa"/>
        <w:jc w:val="center"/>
        <w:tblLayout w:type="fixed"/>
        <w:tblLook w:firstColumn="1" w:firstRow="1" w:lastColumn="0" w:lastRow="0" w:noHBand="0" w:noVBand="1" w:val="04A0"/>
      </w:tblPr>
      <w:tblGrid>
        <w:gridCol w:w="1701"/>
        <w:gridCol w:w="2835"/>
        <w:gridCol w:w="2268"/>
        <w:gridCol w:w="2835"/>
      </w:tblGrid>
      <w:tr>
        <w:trPr>
          <w:cantSplit/>
          <w:tblHeader/>
        </w:trPr>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Этап</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Регуляторы</w:t>
            </w:r>
          </w:p>
        </w:tc>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Независимые эксперты</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Технологическая компания</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До подачи заявки</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Публикуют сведения о контактных лицах и о том, на что готовы и не готовы дать согласие; как соподписанты комментируют позиции Трека разъяснений, затрагивающие их требования</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Нет</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Пользуется Треком разъяснений, контрольным перечнем готовности и помощью куратора проекта</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Регуляторное картирование (этап 3)</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Подтверждают, какие требования относятся к их ведению и готовы ли они дать согласие; письменный ответ в срок, установленный MoU</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Консультируют по классификации технических рисков</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Предоставляет описание продукта и потоков данных</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Проектирование тестирования (этап 4)</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Согласуют условия в пределах своей компетенции; могут быть наблюдателями</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Оценивают риски ИИ, кибербезопасности и конфиденциальности; предлагают протоколы тестов</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Совместно определяет рамки теста, KPI, доказательства для выхода и план свертывания</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Одобрение (этап 5)</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При рассмотрении вопросов их компетенции — место в Комитете без права голоса (правила о согласии — ниже)</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Два места в Комитете с правом голоса (самоотвод — раздел 5.1)</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Представляет проект; письменно принимает условия</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Тестирование и мониторинг (6–7)</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Получают уведомления об инцидентах в пределах своей компетенции; ежеквартальный форум регуляторов</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На связи в случае инцидентов</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Ежемесячно отчитывается; об инцидентах — по правилу уведомления (Иллюстрация 14)</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Оценка результатов и выход (8–9)</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Подтверждают вариант выхода в пределах своей компетенции; при необходимости соподписывают выводы</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Рассматривают результаты оценки</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Предоставляет данные об итогах (финансирование, статус лицензии, выживаемость) в течение 24 месяцев после допуска</w:t>
            </w:r>
          </w:p>
        </w:tc>
      </w:tr>
    </w:tbl>
    <w:p>
      <w:pPr>
        <w:spacing w:before="0" w:after="40" w:line="144" w:lineRule="auto"/>
      </w:pPr>
    </w:p>
    <w:p>
      <w:pPr>
        <w:spacing w:before="0" w:after="80" w:line="259" w:lineRule="auto"/>
      </w:pPr>
      <w:r>
        <w:rPr>
          <w:rFonts w:ascii="Calibri" w:hAnsi="Calibri" w:eastAsia="Calibri"/>
          <w:sz w:val="18"/>
        </w:rPr>
        <w:t>Ежеквартальный форум регуляторов (Иллюстрация 7a) рассматривает текущие дела, сроки предоставления согласий (KPI 15) и предложения по изменению правил. Европейская блокчейн-песочница сообщает об участии более 50 регуляторов и органов власти в ее первой когорте (R) [S17]; EUz следует ориентироваться на значительно более узкий круг конкретно названных регуляторов.</w:t>
      </w:r>
    </w:p>
    <w:p>
      <w:pPr>
        <w:pStyle w:val="Heading3"/>
      </w:pPr>
      <w:r>
        <w:rPr>
          <w:rFonts w:ascii="Calibri" w:hAnsi="Calibri" w:eastAsia="Calibri"/>
        </w:rPr>
        <w:t>Если национальный регулятор отказывает в согласии, задерживает или отзывает его</w:t>
      </w:r>
    </w:p>
    <w:p>
      <w:pPr>
        <w:spacing w:before="0" w:after="40" w:line="259" w:lineRule="auto"/>
      </w:pPr>
      <w:r>
        <w:rPr>
          <w:rFonts w:ascii="Calibri" w:hAnsi="Calibri" w:eastAsia="Calibri"/>
          <w:sz w:val="18"/>
        </w:rPr>
        <w:t>Политику согласия и перенаправления, предлагаемую для Решения D12, дополняют три правила (правила перенаправления — раздел 5.1).</w:t>
      </w:r>
    </w:p>
    <w:p>
      <w:pPr>
        <w:numPr>
          <w:ilvl w:val="0"/>
          <w:numId w:val="90"/>
        </w:numPr>
        <w:spacing w:before="0" w:after="40" w:line="259" w:lineRule="auto"/>
      </w:pPr>
      <w:r>
        <w:rPr>
          <w:rFonts w:ascii="Calibri" w:hAnsi="Calibri" w:eastAsia="Calibri"/>
          <w:b/>
          <w:sz w:val="18"/>
        </w:rPr>
        <w:t>Согласие не презюмируется.</w:t>
      </w:r>
      <w:r>
        <w:rPr>
          <w:rFonts w:ascii="Calibri" w:hAnsi="Calibri" w:eastAsia="Calibri"/>
          <w:sz w:val="18"/>
        </w:rPr>
        <w:t xml:space="preserve"> Молчание никогда не означает согласия, даже если меморандум о взаимопонимании устанавливает срок ответа.</w:t>
      </w:r>
    </w:p>
    <w:p>
      <w:pPr>
        <w:numPr>
          <w:ilvl w:val="0"/>
          <w:numId w:val="90"/>
        </w:numPr>
        <w:spacing w:before="0" w:after="40" w:line="259" w:lineRule="auto"/>
      </w:pPr>
      <w:r>
        <w:rPr>
          <w:rFonts w:ascii="Calibri" w:hAnsi="Calibri" w:eastAsia="Calibri"/>
          <w:b/>
          <w:sz w:val="18"/>
        </w:rPr>
        <w:t>Регулируемый элемент — только после согласия.</w:t>
      </w:r>
      <w:r>
        <w:rPr>
          <w:rFonts w:ascii="Calibri" w:hAnsi="Calibri" w:eastAsia="Calibri"/>
          <w:sz w:val="18"/>
        </w:rPr>
        <w:t xml:space="preserve"> Ни один элемент теста, требующий согласия регулятора, не допускается и не запускается, пока письменное согласие не приобщено к делу. Остальные элементы теста можно проводить, только если план тестирования сохраняет смысл и без регулируемого элемента.</w:t>
      </w:r>
    </w:p>
    <w:p>
      <w:pPr>
        <w:numPr>
          <w:ilvl w:val="0"/>
          <w:numId w:val="90"/>
        </w:numPr>
        <w:spacing w:before="0" w:after="40" w:line="259" w:lineRule="auto"/>
      </w:pPr>
      <w:r>
        <w:rPr>
          <w:rFonts w:ascii="Calibri" w:hAnsi="Calibri" w:eastAsia="Calibri"/>
          <w:b/>
          <w:sz w:val="18"/>
        </w:rPr>
        <w:t>Обжалование решений регулятора в рамках EUz не предусмотрено.</w:t>
      </w:r>
      <w:r>
        <w:rPr>
          <w:rFonts w:ascii="Calibri" w:hAnsi="Calibri" w:eastAsia="Calibri"/>
          <w:sz w:val="18"/>
        </w:rPr>
        <w:t xml:space="preserve"> Заявитель пользуется процедурами самого регулятора; повторяющиеся отказы можно выносить на рассмотрение национальных органов в виде предложений об изменении правил.</w:t>
      </w:r>
    </w:p>
    <w:p>
      <w:pPr>
        <w:pStyle w:val="ExhibitTitle"/>
      </w:pPr>
      <w:r>
        <w:rPr>
          <w:rFonts w:ascii="Calibri" w:hAnsi="Calibri" w:eastAsia="Calibri"/>
        </w:rPr>
        <w:t>Иллюстрация 15a. Итоги запроса о согласии и действия EUz</w:t>
      </w:r>
    </w:p>
    <w:tbl>
      <w:tblPr>
        <w:tblW w:w="9639" w:type="dxa"/>
        <w:jc w:val="center"/>
        <w:tblLayout w:type="fixed"/>
        <w:tblLook w:firstColumn="1" w:firstRow="1" w:lastColumn="0" w:lastRow="0" w:noHBand="0" w:noVBand="1" w:val="04A0"/>
      </w:tblPr>
      <w:tblGrid>
        <w:gridCol w:w="1871"/>
        <w:gridCol w:w="4195"/>
        <w:gridCol w:w="1701"/>
        <w:gridCol w:w="1871"/>
      </w:tblGrid>
      <w:tr>
        <w:trPr>
          <w:cantSplit/>
          <w:tblHeader/>
        </w:trPr>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Ситуация</w:t>
            </w:r>
          </w:p>
        </w:tc>
        <w:tc>
          <w:tcPr>
            <w:tcW w:type="dxa" w:w="419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Действия EUz</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Исполнитель</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Заявитель получает</w:t>
            </w:r>
          </w:p>
        </w:tc>
      </w:tr>
      <w:tr>
        <w:trPr>
          <w:cantSplit/>
        </w:trPr>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1 Письменное согласие, с условиями или без</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Фиксируется в записке о регуляторном картировании; условия дословно переносятся в план тестирования; Комитет вправе добавлять условия, но не смягчать их</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Юрисконсульт по регуляторным вопросам; Комитет</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Уведомление о следующем шаге; условия в решении</w:t>
            </w:r>
          </w:p>
        </w:tc>
      </w:tr>
      <w:tr>
        <w:trPr>
          <w:cantSplit/>
        </w:trPr>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2 Отказ или регулятор указывает, что надлежащий путь — его собственный режим</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 течение 5 р. д. (плановое допущение) — письменное предложение вариантов: изменение рамок теста с исключением регулируемого элемента; позиция Трека разъяснений по вопросам в ведении EUz; перенаправление в собственный режим регулятора (например, в песочницу Центрального банка или NAPP) по правилам перенаправления (раздел 5.1); либо закрытие дела. С согласия регулятора причина фиксируется для Отчета о регуляторных выводах</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песочницы</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Письмо с вариантами действий</w:t>
            </w:r>
          </w:p>
        </w:tc>
      </w:tr>
      <w:tr>
        <w:trPr>
          <w:cantSplit/>
        </w:trPr>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3 Нет ответа в срок, установленный MoU</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Трехступенчатая эскалация: куратор проекта — к закрепленному контактному лицу регулятора; руководитель песочницы — письмом или на ежеквартальном форуме; Исполнительный директор — к руководителю регулятора. Дело приостанавливается или закрывается по выбору заявителя</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песочницы; Исполнительный директор</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Уведомление о статусе на каждом шаге</w:t>
            </w:r>
          </w:p>
        </w:tc>
      </w:tr>
      <w:tr>
        <w:trPr>
          <w:cantSplit/>
        </w:trPr>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4 Согласие отозвано или регулятор требует остановки в ходе тестирования</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Регулируемый элемент останавливается немедленно или в порядке, указанном регулятором; применяется план свертывания; Комитет подтверждает остановку в течение 2 р. д. (плановое допущение)</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Председатель Комитета; руководитель по рискам, кибербезопасности и комплаенсу</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Мотивированное уведомление о приостановлении</w:t>
            </w:r>
          </w:p>
        </w:tc>
      </w:tr>
    </w:tbl>
    <w:p>
      <w:pPr>
        <w:spacing w:before="0" w:after="40" w:line="144" w:lineRule="auto"/>
      </w:pPr>
    </w:p>
    <w:p>
      <w:pPr>
        <w:spacing w:before="40" w:after="160" w:line="240" w:lineRule="auto"/>
      </w:pPr>
      <w:r>
        <w:rPr>
          <w:rFonts w:ascii="Calibri" w:hAnsi="Calibri" w:eastAsia="Calibri"/>
          <w:color w:val="6B6E70"/>
          <w:sz w:val="15"/>
        </w:rPr>
        <w:t>Во всех случаях действует правило приостановления отсчета срока (примечание к Иллюстрации 8). Каждый протокол согласования или MoU определяет как минимум: закрепленное контактное лицо; требования в ведении органа; срок ответа; форму согласия (письменное, с условиями, ограниченное сроком); конфиденциальность и обмен информацией; уведомления об инцидентах в пределах компетенции органа; право потребовать остановки; порядок отзыва согласия; ежегодный пересмотр.</w:t>
      </w:r>
    </w:p>
    <w:p>
      <w:pPr>
        <w:pStyle w:val="Heading2"/>
      </w:pPr>
      <w:r>
        <w:rPr>
          <w:rFonts w:ascii="Calibri" w:hAnsi="Calibri" w:eastAsia="Calibri"/>
        </w:rPr>
        <w:t>5.9 Порядок запуска: на старте — разъяснения, с 6-го месяца — тестирование в реальных условиях, остальное — при подтверждении данными</w:t>
      </w:r>
    </w:p>
    <w:p>
      <w:pPr>
        <w:spacing w:before="0" w:after="80" w:line="259" w:lineRule="auto"/>
      </w:pPr>
      <w:r>
        <w:rPr>
          <w:rFonts w:ascii="Calibri" w:hAnsi="Calibri" w:eastAsia="Calibri"/>
          <w:b/>
          <w:sz w:val="18"/>
        </w:rPr>
        <w:t>Что открывается на старте (вопрос руководства 10).</w:t>
      </w:r>
      <w:r>
        <w:rPr>
          <w:rFonts w:ascii="Calibri" w:hAnsi="Calibri" w:eastAsia="Calibri"/>
          <w:sz w:val="18"/>
        </w:rPr>
        <w:t xml:space="preserve"> День запуска (около 3-го месяца): прием заявок в Трек разъяснений и платформа приема заявок; публикация нормативных сроков рассмотрения; вынесение проекта Правил песочницы на обсуждение. 4-й месяц: принятие Правил; набор в полноформатную песочницу. 6-й месяц: первые допуски; тестовая среда на синтетических данных для P1 и P3. Полная последовательность — в Иллюстрации 16.</w:t>
      </w:r>
    </w:p>
    <w:p>
      <w:pPr>
        <w:spacing w:before="0" w:after="80" w:line="259" w:lineRule="auto"/>
      </w:pPr>
      <w:r>
        <w:rPr>
          <w:rFonts w:ascii="Calibri" w:hAnsi="Calibri" w:eastAsia="Calibri"/>
          <w:b/>
          <w:sz w:val="18"/>
        </w:rPr>
        <w:t>Контрольная точка перед первым допуском.</w:t>
      </w:r>
      <w:r>
        <w:rPr>
          <w:rFonts w:ascii="Calibri" w:hAnsi="Calibri" w:eastAsia="Calibri"/>
          <w:sz w:val="18"/>
        </w:rPr>
        <w:t xml:space="preserve"> Если юрисконсульты не подтвердят наличие иной правовой основы, EUz не допускает участников, не предоставляет освобождений от требований и не подписывает соглашений о тестировании до вступления в силу Конституционного закона и принятия Правил песочницы; консультации до подачи заявки, проводимые до этого момента, обозначаются как не имеющие юридической силы. До первого допуска в полноформатную песочницу Исполнительный директор представляет Совету заключение о готовности, в котором подтверждается, что: юрисконсульты выдали заключение о делегировании полномочий и пределах освобождения от требований; Комитет назначен, заместители определены, декларации о конфликте интересов поданы; приняты типовая форма соглашения о тестировании и правило об инцидентах и порогах остановки; протокол согласования одобрен каждым органом, чье согласие необходимо для первых дел; реестр дел запущен, в нем ведется журнал аудита; руководитель песочницы (или исполняющий обязанности руководителя), куратор проекта и юрисконсульт по регуляторным вопросам приступили к работе.</w:t>
      </w:r>
    </w:p>
    <w:p>
      <w:pPr>
        <w:pStyle w:val="ExhibitTitle"/>
      </w:pPr>
      <w:r>
        <w:rPr>
          <w:rFonts w:ascii="Calibri" w:hAnsi="Calibri" w:eastAsia="Calibri"/>
        </w:rPr>
        <w:t>Иллюстрация 16. Возможности на старте и последующее расширение</w:t>
      </w:r>
    </w:p>
    <w:tbl>
      <w:tblPr>
        <w:tblW w:w="9639" w:type="dxa"/>
        <w:jc w:val="center"/>
        <w:tblLayout w:type="fixed"/>
        <w:tblLook w:firstColumn="1" w:firstRow="1" w:lastColumn="0" w:lastRow="0" w:noHBand="0" w:noVBand="1" w:val="04A0"/>
      </w:tblPr>
      <w:tblGrid>
        <w:gridCol w:w="2608"/>
        <w:gridCol w:w="1814"/>
        <w:gridCol w:w="1701"/>
        <w:gridCol w:w="1871"/>
        <w:gridCol w:w="1644"/>
      </w:tblGrid>
      <w:tr>
        <w:trPr>
          <w:cantSplit/>
          <w:tblHeader/>
        </w:trPr>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Возможность</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День запуска (около М3)</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После 6-го месяца</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После 12-го месяца</w:t>
            </w:r>
          </w:p>
        </w:tc>
        <w:tc>
          <w:tcPr>
            <w:tcW w:type="dxa" w:w="164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Обоснование</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Трек разъяснений с публикацией позиций</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Да</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ICO, Ofgem [S5][S6]</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Полноформатная песочница, не более трех–четырех пилотов (Иллюстрация 10)</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Набор после принятия Правил (М4); первые допуски — М6</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Данные о пропускной способности, глава 2</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Комитет по песочнице с независимыми экспертами</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Назначен (D2); действует с момента принятия Правил</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Раздел 5.1</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Записка о регуляторном картировании и протокол согласования</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Протокол согласован не менее чем с двумя органами</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Пилот GFIN [S15]; раздел 5.8</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Цифровая платформа и тестовая среда (Иллюстрация 16a)</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Платформа приема заявок: форма, материалы дела, журнал решений</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Тестовая среда для P1 и P3 запущена (М6)</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Расширение на другие области</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Операционная необходимость для этапов 1–5 пути участника (A)</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Нормативные сроки рассмотрения: публикация и ежеквартальный отчет о соблюдении</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Сроки опубликованы</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Отчет о соблюдении сроков</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MAS: данных о соблюдении сроков Express не найдено [S8]</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Отслеживание итогов через 12 и 24 месяца после допуска</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Условия в соглашениях о тестировании</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Базовые значения фиксируются при допуске</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Данные о выходе — начиная с годового отчета за 2-й год; первый опрос через 12 месяцев — около М18</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Данные BIS [S2]</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Экспресс-трек</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Подготовка стандартных условий (М9–М12)</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Пилот по двум категориям (примерно с М13–М14); расширение при соблюдении сроков</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MAS Sandbox Express [S8]</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Трек прототипирования регулирования</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Пилот (примерно с М13–М14)</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Иллюстрация 10</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Демо-дни и встречи с инвесторами</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Да</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Ежегодная программа</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Прямых данных в пользу демо-дней нет (A)</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Трансграничные пилоты и взаимное признание</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Только переговоры о MoU</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Переговоры о MoU</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2-й год, если выполнено условие раздела 8.3</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Пилот GFIN [S15]</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Постоянная группа экспертов и развитая инфраструктура тестирования</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При подтверждении спроса (раздел 8.3)</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Долгосрочно (раздел 8.3)</w:t>
            </w:r>
          </w:p>
        </w:tc>
      </w:tr>
    </w:tbl>
    <w:p>
      <w:pPr>
        <w:spacing w:before="0" w:after="40" w:line="144" w:lineRule="auto"/>
      </w:pPr>
    </w:p>
    <w:p>
      <w:pPr>
        <w:pStyle w:val="ExhibitTitle"/>
      </w:pPr>
      <w:r>
        <w:rPr>
          <w:rFonts w:ascii="Calibri" w:hAnsi="Calibri" w:eastAsia="Calibri"/>
        </w:rPr>
        <w:t>Иллюстрация 16a. Минимальные требования к цифровой платформе (плановое допущение, A)</w:t>
      </w:r>
    </w:p>
    <w:tbl>
      <w:tblPr>
        <w:tblW w:w="9639" w:type="dxa"/>
        <w:jc w:val="center"/>
        <w:tblLayout w:type="fixed"/>
        <w:tblLook w:firstColumn="1" w:firstRow="1" w:lastColumn="0" w:lastRow="0" w:noHBand="0" w:noVBand="1" w:val="04A0"/>
      </w:tblPr>
      <w:tblGrid>
        <w:gridCol w:w="2041"/>
        <w:gridCol w:w="5443"/>
        <w:gridCol w:w="2154"/>
      </w:tblGrid>
      <w:tr>
        <w:trPr>
          <w:cantSplit/>
          <w:tblHeader/>
        </w:trPr>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Необходимые условия</w:t>
            </w:r>
          </w:p>
        </w:tc>
        <w:tc>
          <w:tcPr>
            <w:tcW w:type="dxa" w:w="5443"/>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Что должна обеспечивать</w:t>
            </w:r>
          </w:p>
        </w:tc>
        <w:tc>
          <w:tcPr>
            <w:tcW w:type="dxa" w:w="215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Срок готовности</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Прием заявок и материалы дела</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Онлайн-форма заявки; загрузка документов; проверка комплектности; материалы и номер дела</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День запуска (около М3)</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Журнал решений и учет сроков</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Журнал решений с обоснованиями; временные отметки по нормативным срокам для KPI 1–2; учет сроков с причинами приостановления (ожидание согласия, ожидание заявителя, перенаправление)</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День запуска</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Библиотека правил и трекер согласований</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Библиотека правил этапа 3; запросы о согласии и ответы по каждому органу (KPI 15)</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M4-M6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Тестовая среда</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Изолированный контур для каждого участника; наборы синтетических данных для областей P1 и P3; шлюз API; журналирование</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М6 (первые допуски)</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Мониторинг</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Панель мониторинга с сигналами превышения лимитов; форма сообщения об инциденте</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Итоги и отчетность</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Фиксация итогов и последующие опросы; интерфейс с реестром; сводная отчетность по пилотам для годового отчета</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M12</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Место хранения данных</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Хостинг, подтвержденный юрисконсультами (Иллюстрация 13)</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Техническое задание тендера (D7)</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Контроль доступа</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Ролевой доступ с разграничением по делам и участникам; регуляторы видят только дела в пределах своей компетенции</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День запуска</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Журнал аудита</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Журнал с контролем целостности: документы, решения, события учета сроков и доступ к данным</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День запуска</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Шифрование и изоляция</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Шифрование при передаче и хранении; отдельный контур тестовой среды для каждого участника</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M6</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Роль поставщика</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Поставщики и внешние операторы — только обработчики данных, без права использовать данные или интеллектуальную собственность участников</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Техническое задание тендера (D7)</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Переносимость и смена поставщика</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Выгрузка в открытых форматах; условие о смене поставщика</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Техническое задание тендера (D7)</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Тестирование безопасности</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Независимая проверка безопасности до поступления первых реальных или персональных данных</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До первых реальных данных</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Хранение и удаление</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График удаления или возврата данных — по Иллюстрации 14</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M6</w:t>
            </w:r>
          </w:p>
        </w:tc>
      </w:tr>
    </w:tbl>
    <w:p>
      <w:pPr>
        <w:spacing w:before="0" w:after="40" w:line="144" w:lineRule="auto"/>
      </w:pPr>
    </w:p>
    <w:p>
      <w:pPr>
        <w:spacing w:before="40" w:after="160" w:line="240" w:lineRule="auto"/>
      </w:pPr>
      <w:r>
        <w:rPr>
          <w:rFonts w:ascii="Calibri" w:hAnsi="Calibri" w:eastAsia="Calibri"/>
          <w:color w:val="6B6E70"/>
          <w:sz w:val="15"/>
        </w:rPr>
        <w:t>Строки 1–6 — функциональные требования (этапы пути участника, Иллюстрация 9); остальные — нефункциональные и относятся как к модулю ведения дел, так и к тестовой среде. Для Трека разъяснений достаточно модуля ведения дел, поэтому этот трек может начать работу в День запуска, до создания тестовой среды. Мера 9 (план на 90 дней) включает все эти требования в техническое задание тендера по D7. Поскольку техническое задание должно быть готово лишь к Дню 60, требования со сроком «День запуска» (прием заявок и материалы дела, журнал решений и учет сроков, контроль доступа, журнал аудита) до замены платформой, отобранной по тендеру, обеспечиваются временной системой под контролем EUz, которую Исполнительный директор определяет в рамках D7.</w:t>
      </w:r>
    </w:p>
    <w:p>
      <w:pPr>
        <w:pStyle w:val="Heading2"/>
      </w:pPr>
      <w:r>
        <w:rPr>
          <w:rFonts w:ascii="Calibri" w:hAnsi="Calibri" w:eastAsia="Calibri"/>
        </w:rPr>
        <w:t>5.10 Оценка рисков: неподтвержденная правовая основа и неполучение согласия регуляторов — два риска высокого уровня</w:t>
      </w:r>
    </w:p>
    <w:p>
      <w:pPr>
        <w:pStyle w:val="ExhibitTitle"/>
      </w:pPr>
      <w:r>
        <w:rPr>
          <w:rFonts w:ascii="Calibri" w:hAnsi="Calibri" w:eastAsia="Calibri"/>
        </w:rPr>
        <w:t>Иллюстрация 17. Основные риски (качественное суждение аналитика, без балльной оценки)</w:t>
      </w:r>
    </w:p>
    <w:tbl>
      <w:tblPr>
        <w:tblW w:w="9639" w:type="dxa"/>
        <w:jc w:val="center"/>
        <w:tblLayout w:type="fixed"/>
        <w:tblLook w:firstColumn="1" w:firstRow="1" w:lastColumn="0" w:lastRow="0" w:noHBand="0" w:noVBand="1" w:val="04A0"/>
      </w:tblPr>
      <w:tblGrid>
        <w:gridCol w:w="1927"/>
        <w:gridCol w:w="2494"/>
        <w:gridCol w:w="2494"/>
        <w:gridCol w:w="1474"/>
        <w:gridCol w:w="1247"/>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Риск</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Данные</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Меры снижения риска</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Ответственный</w:t>
            </w:r>
          </w:p>
        </w:tc>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Уровень риска</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Правовая основа уже, чем предполагалось</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Официальные тексты еще не изучены; о вступлении в силу сообщает одно издание [S27]</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Верификационный спринт; заключение юрисконсультов до принятия правил; запасные варианты — в Иллюстрации 13</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Главный юрисконсульт</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Национальные регуляторы не дают согласия</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Пилот GFIN: ни одна из 8 отобранных компаний не приступила к тестированию (R) [S15]</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Согласие не презюмируется; при отказе — письмо с вариантами действий; трехступенчатая эскалация (Иллюстрация 15a); отчетность о сроках предоставления согласий по каждому органу (KPI 15)</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песочницы</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Низкий или нецелевой спрос</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Sandbox Plus: одобрений нет [S7]; Корея (ИКТ-конвергенция): число заявок за два года сократилось со 110 до 67 (S) [S23]</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Интервью по оценке спроса; на старте — два трека</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Развитие бизнеса</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Ущерб пользователям или данным при реальном тестировании</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Тесты в реальных условиях — реальный риск (A)</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Лимиты; стоп-лосс; экспертная проверка; порядок уведомления об инцидентах; ответственность участника и план свертывания (Иллюстрация 14)</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по рискам, кибербезопасности и комплаенсу</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Финансовые преступления или санкционные риски в ходе теста</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 тестах возможен перевод денег, ценностей или товарораспорядительных документов (A)</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Проверка благонадежности; обязанности по ПОД/ФТ и санкционные требования не допускают освобождения; через поднадзорную организацию или с письменного согласия (Иллюстрация 14)</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по рискам, кибербезопасности и комплаенсу</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Перегрузка персонала</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ICO: высокие трудозатраты персонала на одно дело [S5]</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Первичный разбор с направлением в Трек разъяснений; лимит приема заявок; учет часов по каждому делу (Иллюстрация 7a)</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песочницы</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Слабый отбор ослабляет сигнал</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Эффект финансирования в Великобритании отчасти объясняют снижением информационной асимметрии (I) [S2]</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Опубликованные критерии и обоснования</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Комитет</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Конфликт между продвижением юрисдикции и отбором участников</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EUz одновременно привлекает и допускает компании (A); у поставщика платформы TradeTech был коммерческий интерес (P) [S32]</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Правила о конфликте интересов (раздел 5.1); опубликованные критерии и обоснования</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песочницы</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Зависимость от одного партнера</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Итоги программ WEF — по данным организатора (глава 6)</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Определение результатов работ; решения остаются за EUz; ни одна контрольная точка EUz не зависит от WEF (Иллюстрация 19a)</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Международное сотрудничество</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r>
    </w:tbl>
    <w:p>
      <w:pPr>
        <w:spacing w:before="0" w:after="40" w:line="144" w:lineRule="auto"/>
      </w:pPr>
    </w:p>
    <w:p>
      <w:pPr>
        <w:pStyle w:val="Heading1"/>
        <w:pageBreakBefore/>
        <w:pBdr>
          <w:bottom w:val="single" w:sz="12" w:space="3" w:color="009162"/>
        </w:pBdr>
      </w:pPr>
      <w:r>
        <w:rPr>
          <w:rFonts w:ascii="Calibri" w:hAnsi="Calibri" w:eastAsia="Calibri"/>
        </w:rPr>
        <w:t>6. Оценка партнерства с WEF: опыт организатора диалога задокументирован; WEF лучше привлекать к организации экспертной рецензии и пилотов с участием нескольких органов, а не делать ответственным за проектирование</w:t>
      </w:r>
    </w:p>
    <w:p>
      <w:pPr>
        <w:spacing w:before="0" w:after="80" w:line="259" w:lineRule="auto"/>
      </w:pPr>
      <w:r>
        <w:rPr>
          <w:rFonts w:ascii="Calibri" w:hAnsi="Calibri" w:eastAsia="Calibri"/>
          <w:sz w:val="18"/>
        </w:rPr>
        <w:t>Примечание об источниках: сведения о WEF получены из поисковых сводок по страницам WEF, правительства ОАЭ и поставщиков, а не из полных текстов. Итоги известны по данным организатора (P); независимой оценки ни одной регуляторной программы WEF не найдено.</w:t>
      </w:r>
    </w:p>
    <w:p>
      <w:pPr>
        <w:pStyle w:val="ExhibitTitle"/>
      </w:pPr>
      <w:r>
        <w:rPr>
          <w:rFonts w:ascii="Calibri" w:hAnsi="Calibri" w:eastAsia="Calibri"/>
        </w:rPr>
        <w:t>Иллюстрация 18. Что WEF уже сделал: документально подтвержденные результаты</w:t>
      </w:r>
    </w:p>
    <w:tbl>
      <w:tblPr>
        <w:tblW w:w="9639" w:type="dxa"/>
        <w:jc w:val="center"/>
        <w:tblLayout w:type="fixed"/>
        <w:tblLook w:firstColumn="1" w:firstRow="1" w:lastColumn="0" w:lastRow="0" w:noHBand="0" w:noVBand="1" w:val="04A0"/>
      </w:tblPr>
      <w:tblGrid>
        <w:gridCol w:w="1927"/>
        <w:gridCol w:w="1701"/>
        <w:gridCol w:w="1871"/>
        <w:gridCol w:w="2948"/>
        <w:gridCol w:w="1190"/>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Программа</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Даты</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Роль WEF</w:t>
            </w:r>
          </w:p>
        </w:tc>
        <w:tc>
          <w:tcPr>
            <w:tcW w:type="dxa" w:w="294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Задокументированные результаты</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Тип подтверждения</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Регуляторная песочница UAE TradeTech</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MoU объявлен в Давосе, янв. 2024; доклад WEF — окт. 2025</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Организатор диалога и издатель; стартапы тестировали решения при участии регуляторов ОАЭ (по данным WEF, P); платформу предоставил поставщик (по данным поставщика)</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8 стартапов; 4 регулятора ОАЭ, упомянутых WEF (см. примечание); темы: цифровые торговые документы, самосуверенная цифровая идентичность, платежи в стейблкоинах, кредитование в сфере децентрализованных финансов (DeFi) [S10][S11][S32]</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 (организатор); итоги по отдельным участникам не найдены</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Глобальная платформа регуляторных инноваций (GRIP)</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Соглашение о партнерстве подписано 23 янв. 2025; запуск — июль 2025</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Платформа с правительством ОАЭ (по опубликованным данным — с Генеральным секретариатом Кабинета министров)</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На два года запланированы три результата: плейбук, индекс готовности регулирования, хаб инноваций (T). По состоянию на окт. 2026 не найдено ни опубликованных результатов, ни списка участников, ни модели оплаты [S12]</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Руанда: регулирование дронов; Индия: инструментарий по дронам</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 2017; янв. 2019</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Партнерство и общедоступное руководство</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Регулирование дронов в Руанде, ориентированное на результат; инструментарий с пилотным проектом в штате Андхра-Прадеш (по данным WEF) [S12]</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Сеть центров четвертой промышленной революции</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Отчет о воздействии за 2023–24</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Сеть</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Опубликован; для настоящей оценки не изучался</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Не оценивалось</w:t>
            </w:r>
          </w:p>
        </w:tc>
      </w:tr>
    </w:tbl>
    <w:p>
      <w:pPr>
        <w:spacing w:before="0" w:after="40" w:line="144" w:lineRule="auto"/>
      </w:pPr>
    </w:p>
    <w:p>
      <w:pPr>
        <w:spacing w:before="40" w:after="160" w:line="240" w:lineRule="auto"/>
      </w:pPr>
      <w:r>
        <w:rPr>
          <w:rFonts w:ascii="Calibri" w:hAnsi="Calibri" w:eastAsia="Calibri"/>
          <w:color w:val="6B6E70"/>
          <w:sz w:val="15"/>
        </w:rPr>
        <w:t>По опубликованным данным, сторонами меморандума о взаимопонимании по TradeTech являются WEF, федеральное министерство ОАЭ, отвечающее за внешнюю торговлю, и Департамент экономического развития Абу-Даби [S10]. Ни в одном из найденных источников не названы четыре регулятора ОАЭ, на которые ссылается WEF, а доклад WEF 2026 г., как сообщается, связывает с песочницей пять органов ОАЭ, поэтому конкретные органы здесь не называются. Объявленный двухлетний срок GRIP еще не истек, и отсутствие результатов на сегодня не означает, что их не будет.</w:t>
      </w:r>
    </w:p>
    <w:p>
      <w:pPr>
        <w:pStyle w:val="Heading2"/>
      </w:pPr>
      <w:r>
        <w:rPr>
          <w:rFonts w:ascii="Calibri" w:hAnsi="Calibri" w:eastAsia="Calibri"/>
        </w:rPr>
        <w:t>6.1 Четыре вопроса о WEF: его опыт организатора диалога подтвержден документально, а опыт разработчика песочниц или ответственного за их систему управления — нет</w:t>
      </w:r>
    </w:p>
    <w:p>
      <w:pPr>
        <w:numPr>
          <w:ilvl w:val="0"/>
          <w:numId w:val="102"/>
        </w:numPr>
        <w:spacing w:before="0" w:after="60" w:line="259" w:lineRule="auto"/>
      </w:pPr>
      <w:r>
        <w:rPr>
          <w:rFonts w:ascii="Calibri" w:hAnsi="Calibri" w:eastAsia="Calibri"/>
          <w:b/>
          <w:sz w:val="18"/>
        </w:rPr>
        <w:t>Что WEF сделал в других странах?</w:t>
      </w:r>
      <w:r>
        <w:rPr>
          <w:rFonts w:ascii="Calibri" w:hAnsi="Calibri" w:eastAsia="Calibri"/>
          <w:sz w:val="18"/>
        </w:rPr>
        <w:t xml:space="preserve"> Организация диалога и публикации: песочница TradeTech и более ранние методические материалы по регулированию дронов (Иллюстрация 18). WEF не является ни регулятором, ни лицензирующим органом; опубликованных результатов GRIP по состоянию на 20 октября 2026 г. не найдено [S11][S12] (подлежит подтверждению у WEF).</w:t>
      </w:r>
    </w:p>
    <w:p>
      <w:pPr>
        <w:numPr>
          <w:ilvl w:val="0"/>
          <w:numId w:val="102"/>
        </w:numPr>
        <w:spacing w:before="0" w:after="60" w:line="259" w:lineRule="auto"/>
      </w:pPr>
      <w:r>
        <w:rPr>
          <w:rFonts w:ascii="Calibri" w:hAnsi="Calibri" w:eastAsia="Calibri"/>
          <w:b/>
          <w:sz w:val="18"/>
        </w:rPr>
        <w:t>Какие возможности актуальны для EUz?</w:t>
      </w:r>
      <w:r>
        <w:rPr>
          <w:rFonts w:ascii="Calibri" w:hAnsi="Calibri" w:eastAsia="Calibri"/>
          <w:sz w:val="18"/>
        </w:rPr>
        <w:t xml:space="preserve"> Объединение регуляторов и компаний из разных юрисдикций; координация пилотных проектов с участием нескольких органов; опубликованная методология как внешний ориентир; международная узнаваемость.</w:t>
      </w:r>
    </w:p>
    <w:p>
      <w:pPr>
        <w:numPr>
          <w:ilvl w:val="0"/>
          <w:numId w:val="102"/>
        </w:numPr>
        <w:spacing w:before="0" w:after="60" w:line="259" w:lineRule="auto"/>
      </w:pPr>
      <w:r>
        <w:rPr>
          <w:rFonts w:ascii="Calibri" w:hAnsi="Calibri" w:eastAsia="Calibri"/>
          <w:b/>
          <w:sz w:val="18"/>
        </w:rPr>
        <w:t>Какие результаты работ EUz следует запросить?</w:t>
      </w:r>
      <w:r>
        <w:rPr>
          <w:rFonts w:ascii="Calibri" w:hAnsi="Calibri" w:eastAsia="Calibri"/>
          <w:sz w:val="18"/>
        </w:rPr>
        <w:t xml:space="preserve"> Экспертная рецензия проекта Правил песочницы операторами песочниц, организованная WEF; организация контактов с небольшим числом регуляторов и компаний; факультативная рецензия проекта пилота 2; материалы GRIP после их публикации (W1–W5, Иллюстрация 19a).</w:t>
      </w:r>
    </w:p>
    <w:p>
      <w:pPr>
        <w:numPr>
          <w:ilvl w:val="0"/>
          <w:numId w:val="102"/>
        </w:numPr>
        <w:spacing w:before="0" w:after="60" w:line="259" w:lineRule="auto"/>
      </w:pPr>
      <w:r>
        <w:rPr>
          <w:rFonts w:ascii="Calibri" w:hAnsi="Calibri" w:eastAsia="Calibri"/>
          <w:b/>
          <w:sz w:val="18"/>
        </w:rPr>
        <w:t>Что EUz может сделать без WEF и для чего нужен партнер?</w:t>
      </w:r>
      <w:r>
        <w:rPr>
          <w:rFonts w:ascii="Calibri" w:hAnsi="Calibri" w:eastAsia="Calibri"/>
          <w:sz w:val="18"/>
        </w:rPr>
        <w:t xml:space="preserve"> Самостоятельно EUz может провести сравнительный анализ, разработать правила, организовать ведение дел, создать платформу, выстроить взаимодействие с национальными регуляторами и запустить первую когорту. Партнер дополнительно обеспечивает независимую рецензию, доступ к зарубежным регуляторам и компаниям, а также организацию диалога для пилотных проектов в нескольких юрисдикциях.</w:t>
      </w:r>
    </w:p>
    <w:p>
      <w:pPr>
        <w:pStyle w:val="ExhibitTitle"/>
      </w:pPr>
      <w:r>
        <w:rPr>
          <w:rFonts w:ascii="Calibri" w:hAnsi="Calibri" w:eastAsia="Calibri"/>
        </w:rPr>
        <w:t>Иллюстрация 19. Предлагаемые результаты работ WEF: оценка по имеющимся данным</w:t>
      </w:r>
    </w:p>
    <w:tbl>
      <w:tblPr>
        <w:tblW w:w="9639" w:type="dxa"/>
        <w:jc w:val="center"/>
        <w:tblLayout w:type="fixed"/>
        <w:tblLook w:firstColumn="1" w:firstRow="1" w:lastColumn="0" w:lastRow="0" w:noHBand="0" w:noVBand="1" w:val="04A0"/>
      </w:tblPr>
      <w:tblGrid>
        <w:gridCol w:w="2268"/>
        <w:gridCol w:w="2551"/>
        <w:gridCol w:w="2041"/>
        <w:gridCol w:w="2778"/>
      </w:tblGrid>
      <w:tr>
        <w:trPr>
          <w:cantSplit/>
          <w:tblHeader/>
        </w:trPr>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Предлагаемый результат</w:t>
            </w:r>
          </w:p>
        </w:tc>
        <w:tc>
          <w:tcPr>
            <w:tcW w:type="dxa" w:w="255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Подтверждение возможностей WEF</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Оценка</w:t>
            </w:r>
          </w:p>
        </w:tc>
        <w:tc>
          <w:tcPr>
            <w:tcW w:type="dxa" w:w="277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Рекомендуемая позиция</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Международный сравнительный анализ и рецензия модели</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Плейбук GRIP запланирован (T); опубликованных результатов на окт. 2026 не найдено [S12]</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Только в планах (T)</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 заказывать; предложить рецензентам W1 сравнительный анализ из настоящего отчета после его публикации (D11)</w:t>
            </w:r>
          </w:p>
        </w:tc>
      </w:tr>
      <w:tr>
        <w:trPr>
          <w:cantSplit/>
        </w:trPr>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Экспертная рецензия операционной модели</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Рецензий операционной модели, опубликованных WEF, не найдено; ближайший аналог — организация диалога и доклад по TradeTech (P) [S11]</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Организация диалога задокументирована (P); рецензирование — нет</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Запросить</w:t>
            </w:r>
            <w:r>
              <w:rPr>
                <w:rFonts w:ascii="Calibri" w:hAnsi="Calibri" w:eastAsia="Calibri"/>
                <w:color w:val="39393B"/>
                <w:sz w:val="15"/>
              </w:rPr>
              <w:t>: рецензию проекта Правил операторами песочниц (W1, Иллюстрация 19a)</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Система управления песочницей и рисками</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 найдено</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 доступных источниках не задокументировано</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Разрабатывают EUz и юрисконсульты; внешняя рецензия — в рамках W1</w:t>
            </w:r>
          </w:p>
        </w:tc>
      </w:tr>
      <w:tr>
        <w:trPr>
          <w:cantSplit/>
        </w:trPr>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Помощь в проектировании первых пилотов</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Опыт TradeTech, Иллюстрация 18 (P) [S11]</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Частично задокументировано для многосторонних пилотов в торговле (P)</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Факультативно</w:t>
            </w:r>
            <w:r>
              <w:rPr>
                <w:rFonts w:ascii="Calibri" w:hAnsi="Calibri" w:eastAsia="Calibri"/>
                <w:color w:val="39393B"/>
                <w:sz w:val="15"/>
              </w:rPr>
              <w:t xml:space="preserve"> для пилота 2 при условии выполнения к М5 и отчетности об итогах по каждому участнику (W3)</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Взаимодействие с регуляторами и отраслью</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MoU по TradeTech объявлен в Давосе; TradeTech Forum [S10]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Опыт организации диалога задокументирован (P)</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Запросить</w:t>
            </w:r>
            <w:r>
              <w:rPr>
                <w:rFonts w:ascii="Calibri" w:hAnsi="Calibri" w:eastAsia="Calibri"/>
                <w:color w:val="39393B"/>
                <w:sz w:val="15"/>
              </w:rPr>
              <w:t>: организацию контактов и круглого стола (W2)</w:t>
            </w:r>
          </w:p>
        </w:tc>
      </w:tr>
      <w:tr>
        <w:trPr>
          <w:cantSplit/>
        </w:trPr>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Обучение и передача знаний</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Опубликованных результатов GRIP на окт. 2026 не найдено [S12]</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Пока не задокументировано</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Запрашивать только при четко определенном содержании</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Международное регуляторное сотрудничество</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Организация контактов, а не соглашения</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Ограничено: регуляторы сами подписывают MoU</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Напрямую между регуляторами</w:t>
            </w:r>
          </w:p>
        </w:tc>
      </w:tr>
    </w:tbl>
    <w:p>
      <w:pPr>
        <w:spacing w:before="0" w:after="40" w:line="144" w:lineRule="auto"/>
      </w:pPr>
    </w:p>
    <w:p>
      <w:pPr>
        <w:pStyle w:val="ExhibitTitle"/>
      </w:pPr>
      <w:r>
        <w:rPr>
          <w:rFonts w:ascii="Calibri" w:hAnsi="Calibri" w:eastAsia="Calibri"/>
        </w:rPr>
        <w:t>Иллюстрация 19a. Проект состава работ WEF (для переговоров)</w:t>
      </w:r>
    </w:p>
    <w:tbl>
      <w:tblPr>
        <w:tblW w:w="9639" w:type="dxa"/>
        <w:jc w:val="center"/>
        <w:tblLayout w:type="fixed"/>
        <w:tblLook w:firstColumn="1" w:firstRow="1" w:lastColumn="0" w:lastRow="0" w:noHBand="0" w:noVBand="1" w:val="04A0"/>
      </w:tblPr>
      <w:tblGrid>
        <w:gridCol w:w="1927"/>
        <w:gridCol w:w="2494"/>
        <w:gridCol w:w="1587"/>
        <w:gridCol w:w="2041"/>
        <w:gridCol w:w="1587"/>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Результат работ</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Результат</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Сроки</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Критерий приемки</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Ответственный со стороны EUz</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W1 Организация экспертной рецензии проекта Правил песочницы</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Письменная рецензия по Иллюстрациям 6–13 с указанием рецензентов, представляющих не менее двух опытных операторов песочниц (Иллюстрация 20); организатор — WEF</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 период консультаций по проекту Правил (День 75 — М4), до их принятия</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Рассмотрены все иллюстрации; EUz отвечает письменно</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песочницы</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W2 Организация круглого стола с регуляторами</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Один круглый стол с регуляторами не менее чем из двух юрисдикций Иллюстрации 3 и итоговая записка</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M4-M6</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Поименный состав участников; перечень последующих двусторонних шагов</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Международное сотрудничество</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W3 Рецензия проекта пилота 2 (факультативно)</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Письменная рецензия с опорой на опыт TradeTech, включая его нерешенные вопросы</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М3–М5, в рамках этапа A пилота P2; вне критического пути</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Согласован шаблон отчетности об итогах по каждому участнику</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Руководитель P2 от EUz; руководитель песочницы</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W4 Данные об итогах TradeTech</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Итоги по каждому участнику и ограничения</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До W3</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Представлены в письменном виде (Приложение D, шаг 5)</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Международное сотрудничество</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W5 Доступ к GRIP</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Материалы плейбука, индекса или хаба после их публикации</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 мере появления</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Письменные условия, включая модель оплаты</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Международное сотрудничество</w:t>
            </w:r>
          </w:p>
        </w:tc>
      </w:tr>
    </w:tbl>
    <w:p>
      <w:pPr>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Условия любого привлечения WEF (требования для одобрения перечня основных условий D8)</w:t>
            </w:r>
          </w:p>
          <w:p>
            <w:pPr>
              <w:spacing w:before="0" w:after="40" w:line="252" w:lineRule="auto"/>
            </w:pPr>
            <w:r>
              <w:rPr>
                <w:rFonts w:ascii="Calibri" w:hAnsi="Calibri" w:eastAsia="Calibri"/>
                <w:sz w:val="17"/>
              </w:rPr>
              <w:t>1. Все решения о допуске, условиях, правилах, рисках и отношениях с регуляторами остаются за EUz; WEF не имеет ни права голоса, ни права вето.</w:t>
            </w:r>
          </w:p>
          <w:p>
            <w:pPr>
              <w:spacing w:before="0" w:after="40" w:line="252" w:lineRule="auto"/>
            </w:pPr>
            <w:r>
              <w:rPr>
                <w:rFonts w:ascii="Calibri" w:hAnsi="Calibri" w:eastAsia="Calibri"/>
                <w:sz w:val="17"/>
              </w:rPr>
              <w:t>2. Данные участников, данные тестирования и материалы дел не передаются ни WEF, ни каким-либо представленным им поставщикам без письменного согласия участника и одобрения EUz.</w:t>
            </w:r>
          </w:p>
          <w:p>
            <w:pPr>
              <w:spacing w:before="0" w:after="40" w:line="252" w:lineRule="auto"/>
            </w:pPr>
            <w:r>
              <w:rPr>
                <w:rFonts w:ascii="Calibri" w:hAnsi="Calibri" w:eastAsia="Calibri"/>
                <w:sz w:val="17"/>
              </w:rPr>
              <w:t>3. EUz рассматривает до выхода в свет любую публикацию WEF, основанную на пилотных проектах EUz; в таких публикациях приводятся итоги по каждому участнику и нерешенные вопросы.</w:t>
            </w:r>
          </w:p>
          <w:p>
            <w:pPr>
              <w:spacing w:before="0" w:after="40" w:line="252" w:lineRule="auto"/>
            </w:pPr>
            <w:r>
              <w:rPr>
                <w:rFonts w:ascii="Calibri" w:hAnsi="Calibri" w:eastAsia="Calibri"/>
                <w:sz w:val="17"/>
              </w:rPr>
              <w:t>4. Неэксклюзивность: EUz сохраняет право напрямую работать с регуляторами, международными организациями и консультантами.</w:t>
            </w:r>
          </w:p>
          <w:p>
            <w:pPr>
              <w:spacing w:before="0" w:after="40" w:line="252" w:lineRule="auto"/>
            </w:pPr>
            <w:r>
              <w:rPr>
                <w:rFonts w:ascii="Calibri" w:hAnsi="Calibri" w:eastAsia="Calibri"/>
                <w:sz w:val="17"/>
              </w:rPr>
              <w:t>5. Поставщики, представленные WEF, участвуют в открытом тендере EUz на общих основаниях; сам факт такого представления не является основанием для выбора платформы.</w:t>
            </w:r>
          </w:p>
          <w:p>
            <w:pPr>
              <w:spacing w:before="0" w:after="40" w:line="252" w:lineRule="auto"/>
            </w:pPr>
            <w:r>
              <w:rPr>
                <w:rFonts w:ascii="Calibri" w:hAnsi="Calibri" w:eastAsia="Calibri"/>
                <w:sz w:val="17"/>
              </w:rPr>
              <w:t>6. Любое вознаграждение привязывается к принятым результатам работ, а модель оплаты подтверждается письменно (Приложение D, шаг 5); публичной информации о вознаграждении WEF или условиях партнерства не найдено.</w:t>
            </w:r>
          </w:p>
          <w:p>
            <w:pPr>
              <w:spacing w:before="0" w:after="40" w:line="252" w:lineRule="auto"/>
            </w:pPr>
            <w:r>
              <w:rPr>
                <w:rFonts w:ascii="Calibri" w:hAnsi="Calibri" w:eastAsia="Calibri"/>
                <w:sz w:val="17"/>
              </w:rPr>
              <w:t>Ни одна контрольная точка EUz не зависит от результатов работ WEF. Если рецензия проекта (W3) не поступит к 5-му месяцу, пилот P2 продолжится без нее.</w:t>
            </w:r>
          </w:p>
        </w:tc>
      </w:tr>
    </w:tbl>
    <w:p>
      <w:pPr>
        <w:spacing w:before="0" w:after="40" w:line="144" w:lineRule="auto"/>
      </w:pPr>
    </w:p>
    <w:p>
      <w:pPr>
        <w:pStyle w:val="ExhibitTitle"/>
      </w:pPr>
      <w:r>
        <w:rPr>
          <w:rFonts w:ascii="Calibri" w:hAnsi="Calibri" w:eastAsia="Calibri"/>
        </w:rPr>
        <w:t>Иллюстрация 20. Альтернативы WEF</w:t>
      </w:r>
    </w:p>
    <w:tbl>
      <w:tblPr>
        <w:tblW w:w="9639" w:type="dxa"/>
        <w:jc w:val="center"/>
        <w:tblLayout w:type="fixed"/>
        <w:tblLook w:firstColumn="1" w:firstRow="1" w:lastColumn="0" w:lastRow="0" w:noHBand="0" w:noVBand="1" w:val="04A0"/>
      </w:tblPr>
      <w:tblGrid>
        <w:gridCol w:w="1814"/>
        <w:gridCol w:w="1701"/>
        <w:gridCol w:w="2494"/>
        <w:gridCol w:w="1871"/>
        <w:gridCol w:w="1757"/>
      </w:tblGrid>
      <w:tr>
        <w:trPr>
          <w:cantSplit/>
          <w:tblHeader/>
        </w:trPr>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Вариант</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Что дает</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Документальное подтверждение</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Ограничения</w:t>
            </w:r>
          </w:p>
        </w:tc>
        <w:tc>
          <w:tcPr>
            <w:tcW w:type="dxa" w:w="175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Оптимальное применение для EUz</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WEF</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Организация диалога, публикации, бренд</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TradeTech (P); GRIP (в планах, T) [S11][S12]</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Итоги — по данным организатора (P); регуляторных полномочий нет</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Организация диалога (W1, W2); факультативная рецензия пилота 2 (W3)</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Национальные органы Узбекистана и операторы песочниц (Центральный банк; NAPP; другие органы из Иллюстрации 13)</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Опыт работы в стране; согласия, необходимые для P1–P3; перенаправление заявителей, обратившихся не по адресу</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Режимы Центрального банка (цитируется как № 3391) и ПП-359 для стабильных токенов [S29], NAPP для рынка капитала (№ 3493) [S60], межотраслевой режим УП-244 [S58][S37] и режим для ИИ (№ 717) [S61]: раздел 5.1. Только названия и сообщения прессы; тексты и текущий статус еще не изучены</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 основном финансы; риск дублирования допуска</w:t>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Протокол согласования и правила перенаправления (мера 7; раздел 5.1)</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Напрямую между регуляторами (FCA, MAS, ADGM FSRA, DFSA, HKMA; FinTech Lab МФЦА, Казахстан, как региональный аналог)</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Практический опыт, прямое признание</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Задокументированные программы [S1][S7][S13][S14][S21][S36]</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 основном финансы; ограниченные ресурсы</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Рецензенты для W1; ознакомительные визиты; MoU о признании</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GFIN и аналогичные сети</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Канал трансграничной подачи заявок</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Пилот GFIN: 44 заявки, отобрано 8 компаний; на момент подготовки отчета ни одна не приступила к тестированию (R, янв. 2020) [S15]; итоги последующих когорт не подтверждены</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Условия членства для EUz не подтверждены</w:t>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Уроки координации; вариант на будущее</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Профильные консультанты и юрисконсульты</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Разработка модели, правил и платформы</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 настоящем отчете не оценивалось</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Стоимость; независимость: не вправе оценивать разработанную ими модель</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Правила, платформа, правовая верификация</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Всемирный банк, ОЭСР, МВФ, UNCITRAL</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Руководства, данные и стандарты</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Всемирный банк: 73 финтех-песочницы в 57 юрисдикциях (нояб. 2020) [S16]; доклад ОЭСР о песочницах для ИИ (2023) [S26] и инструментарий по песочницам (июль 2025) [S54]; записка МВФ FinTech Note 2023/004 [S55]; MLETR [S34]</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Методические рекомендации, а не операционная поддержка (A); записка МВФ: песочницы ресурсоемки и охватывают относительно немного компаний [S55]</w:t>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Типовые методики (инструментарий ОЭСР); соответствие MLETR; реалистичные ожидания по пропускной способности</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Поставщики технологий</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Тестовые платформы</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NayaOne в TradeTech (по данным поставщика) [S32]</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Коммерческая заинтересованность; применяются правила о конфликте интересов (раздел 5.1)</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MVP платформы по итогам открытого тендера (D7)</w:t>
            </w:r>
          </w:p>
        </w:tc>
      </w:tr>
    </w:tbl>
    <w:p>
      <w:pPr>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9"/>
              </w:rPr>
              <w:t>Вывод</w:t>
            </w:r>
          </w:p>
          <w:p>
            <w:pPr>
              <w:spacing w:before="0" w:after="40" w:line="252" w:lineRule="auto"/>
            </w:pPr>
            <w:r>
              <w:rPr>
                <w:rFonts w:ascii="Calibri" w:hAnsi="Calibri" w:eastAsia="Calibri"/>
                <w:sz w:val="18"/>
              </w:rPr>
              <w:t>Документально подтвержденная сильная сторона WEF — организация международного диалога и публикации (TradeTech, P); сведений о том, что WEF рецензировал модель песочницы, выступал ее техническим разработчиком или отвечал за систему управления ею, не найдено. EUz следует привлекать WEF для организации рецензирования силами опытных операторов песочниц и — на определенных условиях — для содействия пилотным проектам с участием нескольких органов, таким как пилот 2.</w:t>
            </w:r>
          </w:p>
          <w:p>
            <w:pPr>
              <w:spacing w:before="0" w:after="40" w:line="252" w:lineRule="auto"/>
            </w:pPr>
            <w:r>
              <w:rPr>
                <w:rFonts w:ascii="Calibri" w:hAnsi="Calibri" w:eastAsia="Calibri"/>
                <w:sz w:val="18"/>
              </w:rPr>
              <w:t>За EUz должны остаться решения о допуске, правила, управление рисками, отношения с регуляторами и обработка данных; в условиях любого привлечения WEF следует закрепить результаты работ, сроки, а также порядок отчетности об итогах и ограничениях; модель оплаты должна быть подтверждена письменно (Иллюстрация 19a; см. условия выше). Документально подтвержденный опыт WEF по организации диалога касается органов ОАЭ; взаимодействие с национальными органами, согласие которых необходимо для пилотных проектов 1-го года, EUz должен организовать самостоятельно. EUz обновит настоящую оценку с учетом любых данных об итогах работы WEF (Приложение D, шаг 5).</w:t>
            </w:r>
          </w:p>
        </w:tc>
      </w:tr>
    </w:tbl>
    <w:p>
      <w:pPr>
        <w:spacing w:before="0" w:after="40" w:line="144" w:lineRule="auto"/>
      </w:pPr>
    </w:p>
    <w:p>
      <w:pPr>
        <w:pStyle w:val="Heading1"/>
        <w:pageBreakBefore/>
        <w:pBdr>
          <w:bottom w:val="single" w:sz="12" w:space="3" w:color="009162"/>
        </w:pBdr>
      </w:pPr>
      <w:r>
        <w:rPr>
          <w:rFonts w:ascii="Calibri" w:hAnsi="Calibri" w:eastAsia="Calibri"/>
        </w:rPr>
        <w:t>7. Первый портфель пилотных проектов: три пилота в песочнице и один внутренний, у каждого — запасной вариант на случай, если закон окажется уже, чем сообщается</w:t>
      </w:r>
    </w:p>
    <w:p>
      <w:pPr>
        <w:spacing w:before="0" w:after="80" w:line="259" w:lineRule="auto"/>
      </w:pPr>
      <w:r>
        <w:rPr>
          <w:rFonts w:ascii="Calibri" w:hAnsi="Calibri" w:eastAsia="Calibri"/>
          <w:sz w:val="18"/>
        </w:rPr>
        <w:t>Оценки по пяти критериям (Иллюстрация 21) — суждение аналитика, а не баллы. Ни одна из названных компаний и ни один из названных регуляторов не взяли на себя партнерских обязательств; в перечнях участников указаны необходимые категории. Пороговые значения успеха — плановые допущения, а не базовые значения EUz: они устанавливаются в плане тестирования каждого пилота до начала тестирования, утверждаются Комитетом (для P4 — Исполнительным директором) и оцениваются при принятии решения о выходе. Руководители пилотов в песочнице от EUz — кураторы проектов, назначаемые руководителем песочницы; контрольные точки — в Иллюстрации 21a.</w:t>
      </w:r>
    </w:p>
    <w:p>
      <w:pPr>
        <w:pStyle w:val="ExhibitTitle"/>
      </w:pPr>
      <w:r>
        <w:rPr>
          <w:rFonts w:ascii="Calibri" w:hAnsi="Calibri" w:eastAsia="Calibri"/>
        </w:rPr>
        <w:t>Иллюстрация 21. Десять идей пилотных проектов, оцененных по пяти критериям: шесть объединены в четыре пилота, три отложены, одна — под наблюдением</w:t>
      </w:r>
    </w:p>
    <w:tbl>
      <w:tblPr>
        <w:tblW w:w="9639" w:type="dxa"/>
        <w:jc w:val="center"/>
        <w:tblLayout w:type="fixed"/>
        <w:tblLook w:firstColumn="1" w:firstRow="1" w:lastColumn="0" w:lastRow="0" w:noHBand="0" w:noVBand="1" w:val="04A0"/>
      </w:tblPr>
      <w:tblGrid>
        <w:gridCol w:w="1814"/>
        <w:gridCol w:w="1417"/>
        <w:gridCol w:w="1190"/>
        <w:gridCol w:w="1304"/>
        <w:gridCol w:w="1304"/>
        <w:gridCol w:w="1077"/>
        <w:gridCol w:w="1530"/>
      </w:tblGrid>
      <w:tr>
        <w:trPr>
          <w:cantSplit/>
          <w:tblHeader/>
        </w:trPr>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Идея пилота</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Регуляторная неопределенность</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Коммерческий спрос</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Техническая осуществимость</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Реальный ответственный регулятор</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Потребность в ресурсах</w:t>
            </w:r>
          </w:p>
        </w:tc>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Решение</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1 ИИ-агенты и автономные транзакции</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 (не проверен)</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Выбрано: P1</w:t>
            </w:r>
            <w:r>
              <w:rPr>
                <w:rFonts w:ascii="Calibri" w:hAnsi="Calibri" w:eastAsia="Calibri"/>
                <w:color w:val="39393B"/>
                <w:sz w:val="15"/>
              </w:rPr>
              <w:t xml:space="preserve"> (объединено с идеей 8)</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2 Торговый комплаенс на основе ИИ</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Выбрано: P2</w:t>
            </w:r>
            <w:r>
              <w:rPr>
                <w:rFonts w:ascii="Calibri" w:hAnsi="Calibri" w:eastAsia="Calibri"/>
                <w:color w:val="39393B"/>
                <w:sz w:val="15"/>
              </w:rPr>
              <w:t xml:space="preserve"> (объединено с идеей 5)</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3 Трансграничная цифровая идентификация</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 (не проверен)</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Низкий</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Низкий</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Отложить до 2-го года</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4 Обмен данными с сохранением конфиденциальности</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Выше среднего</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Выбрано: P3</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5 Электронные передаваемые записи</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Ниже среднего</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Выбрано: P2</w:t>
            </w:r>
            <w:r>
              <w:rPr>
                <w:rFonts w:ascii="Calibri" w:hAnsi="Calibri" w:eastAsia="Calibri"/>
                <w:color w:val="39393B"/>
                <w:sz w:val="15"/>
              </w:rPr>
              <w:t xml:space="preserve"> (объединено с идеей 2)</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6 Регуляторный комплаенс на основе ИИ</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 (сам EUz)</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Низкий</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Выбрано: P4</w:t>
            </w:r>
            <w:r>
              <w:rPr>
                <w:rFonts w:ascii="Calibri" w:hAnsi="Calibri" w:eastAsia="Calibri"/>
                <w:color w:val="39393B"/>
                <w:sz w:val="15"/>
              </w:rPr>
              <w:t xml:space="preserve"> (внутренний пилот)</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7 Цифровые удостоверения</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Выше среднего</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Отложить; объединить с идеей 3</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8 Тестирование доверенного ИИ</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Средний</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Выбрано: P1</w:t>
            </w:r>
            <w:r>
              <w:rPr>
                <w:rFonts w:ascii="Calibri" w:hAnsi="Calibri" w:eastAsia="Calibri"/>
                <w:color w:val="39393B"/>
                <w:sz w:val="15"/>
              </w:rPr>
              <w:t xml:space="preserve"> (объединено с идеей 1)</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9 Инфраструктура экономики данных</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 подтвержден</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Низкий</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Низкий</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Отложить</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10 Автономные системы (дроны, роботакси)</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Сообщается об интересе (S) [S27]</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Низкий</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Низкий (органы по физической безопасности)</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Высокий</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Под наблюдением</w:t>
            </w:r>
          </w:p>
        </w:tc>
      </w:tr>
    </w:tbl>
    <w:p>
      <w:pPr>
        <w:spacing w:before="0" w:after="40" w:line="144" w:lineRule="auto"/>
      </w:pPr>
    </w:p>
    <w:p>
      <w:pPr>
        <w:pStyle w:val="ExhibitTitle"/>
      </w:pPr>
      <w:r>
        <w:rPr>
          <w:rFonts w:ascii="Calibri" w:hAnsi="Calibri" w:eastAsia="Calibri"/>
        </w:rPr>
        <w:t>Иллюстрация 21a. Выбранные пилоты: ответственные, предварительные условия и контрольная точка 6-го месяца</w:t>
      </w:r>
    </w:p>
    <w:tbl>
      <w:tblPr>
        <w:tblW w:w="9639" w:type="dxa"/>
        <w:jc w:val="center"/>
        <w:tblLayout w:type="fixed"/>
        <w:tblLook w:firstColumn="1" w:firstRow="1" w:lastColumn="0" w:lastRow="0" w:noHBand="0" w:noVBand="1" w:val="04A0"/>
      </w:tblPr>
      <w:tblGrid>
        <w:gridCol w:w="1530"/>
        <w:gridCol w:w="1530"/>
        <w:gridCol w:w="1190"/>
        <w:gridCol w:w="1587"/>
        <w:gridCol w:w="2438"/>
        <w:gridCol w:w="1360"/>
      </w:tblGrid>
      <w:tr>
        <w:trPr>
          <w:cantSplit/>
          <w:tblHeader/>
        </w:trPr>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Пилот</w:t>
            </w:r>
          </w:p>
        </w:tc>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Ответственный в EUz / орган, дающий согласие</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Период тестирования</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Первый измеримый результат</w:t>
            </w:r>
          </w:p>
        </w:tc>
        <w:tc>
          <w:tcPr>
            <w:tcW w:type="dxa" w:w="243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Предварительные условия (решение о продолжении в М6)</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Если не выполнены</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P1 Обеспечение доверия к ИИ-агентам</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пилота от EUz (куратор проекта) / компетентный орган (мера 7), если юрисконсульты сочтут, что для тестирования в реальных условиях нужно согласие</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Синтетические данные: М6–М8; реальные условия: М8–М12</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Результаты «красной команды» и журналирования атрибуции (М8)</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Юрисконсульты подтверждают: вправе ли Совет устанавливать обязательные правила заключения договоров между участниками Центра; требуется ли для тестирования в реальных условиях согласие национальных органов; применяется ли национальный специальный режим для ИИ 2021 г. [S61]. Также необходимы: независимый поставщик услуг по обеспечению доверия к ИИ, привлеченный EUz по договору; утвержденные пороги остановки (стоп-лосс) и пороги обязательного одобрения человеком</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Только этап на синтетических данных; опубликованные разъяснения, а не правило</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P2 Торговые документы с проверкой на основе ИИ</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пилота от EUz / ведущий орган, в процедуре которого принимался бы документ (мера 7)</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Этап A: М3–М6; этап B: М6–М12; этап C: М8–М12 при положительном итоге этапа A</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Доля ошибок проверки на основе ИИ по сравнению с ручными проверками (этап B)</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Юрисконсульты подтверждают, признает ли законодательство Узбекистана электронные передаваемые записи и могут ли правила EUz придать им юридическую силу в отношениях между участниками Центра (статус MLETR не установлен; Приложение B); достигнута договоренность с ведущим органом о протоколе согласования</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Только проверка на основе ИИ (этап B), а также записка о правовом пробеле с рекомендацией внести поправки (Иллюстрация 13, категория «Поправки»)</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P3 Обмен данными с сохранением конфиденциальности</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Администрация Центра (принимающая сторона) с руководителем пилота от EUz / национальный орган по защите персональных данных</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M6-M12</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Результат теста на повторную идентификацию; полезность по сравнению с базовым значением держателя данных на реальных данных</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Юрисконсульты излагают требования законодательства о персональных данных (вторичное использование, передача, место хранения данных) и определяют, может ли уполномоченный орган дать согласие на ограниченное по сроку тестирование; соглашение с держателем данных подписано; согласие органа получено до использования любых реальных персональных данных</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Только синтетические данные</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P4 Проверка отчетности с помощью ИИ (внутренний пилот)</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Администрация Центра / не требуется: внутренний пилот</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M6-M11</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Время проверки одного отчета; доля ложноположительных и ложноотрицательных результатов</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Обязанность участников Центра представлять периодическую отчетность вступает в силу не позднее М5 (Регламент деятельности — Operating Regulations — известен только из рабочих материалов EUz, W) [S31]; юрисконсульты подтверждают правила закупок для тендера по выбору поставщика; согласован порядок принятия Советом правила об автоматизированных проверках; утверждены спецификация API для представления отчетности и правило о проверке человеком</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Тестирование на документах о регистрации и оформлении участия, обрабатываемых Регистратором</w:t>
            </w:r>
          </w:p>
        </w:tc>
      </w:tr>
    </w:tbl>
    <w:p>
      <w:pPr>
        <w:spacing w:before="0" w:after="40" w:line="144" w:lineRule="auto"/>
      </w:pPr>
    </w:p>
    <w:p>
      <w:pPr>
        <w:spacing w:before="0" w:after="120" w:line="259" w:lineRule="auto"/>
      </w:pPr>
      <w:r>
        <w:rPr>
          <w:rFonts w:ascii="Calibri" w:hAnsi="Calibri" w:eastAsia="Calibri"/>
          <w:sz w:val="17"/>
        </w:rPr>
        <w:t>Самый ранний видимый результат даст P4 (итог находится в ведении самого EUz, а зависимость от национальных регуляторов — наименьшая), если будет выполнено предварительное условие о представлении отчетности (A); P2 в наибольшей степени зависит от внешних органов и несет наибольший риск задержки (A). По P1–P3 решение в контрольной точке 6-го месяца принимает Комитет по песочнице при допуске; по P4 — Исполнительный директор.</w:t>
      </w: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P1  Тестирование ИИ-агентов, совершающих транзакции, для обеспечения доверия к ним</w:t>
            </w:r>
          </w:p>
          <w:p>
            <w:pPr>
              <w:keepNext/>
              <w:spacing w:before="0" w:after="0" w:line="259" w:lineRule="auto"/>
            </w:pPr>
            <w:r>
              <w:rPr>
                <w:rFonts w:ascii="Calibri" w:hAnsi="Calibri" w:eastAsia="Calibri"/>
                <w:color w:val="D7EFE7"/>
                <w:sz w:val="16"/>
              </w:rPr>
              <w:t>ИИ, автономные системы | Согласие: для этапа на синтетических данных не ожидается; для этапа в реальных условиях — см. Иллюстрацию 21a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Проблема</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Компаниям, использующим ИИ-агентов для размещения заказов, оплаты или заключения договоров, неясны стандарты атрибуции действий, аутентификации и доказательств.</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Регуляторный барьер</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Подтвержденной позиции EUz об отнесении действий агента к принципалу нет. По опубликованным данным, Центр при необходимости применяет принципы английского общего права [S27]; их применение к ИИ-агентам не проверено на практике (A).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Предлагаемый эксперимент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Этап 1 (М6–М8): синтетические данные и независимая «красная команда»; переход к тестированию в реальных условиях — только после устранения всех критических замечаний.</w:t>
            </w:r>
          </w:p>
          <w:p>
            <w:pPr>
              <w:spacing w:before="0" w:after="20" w:line="250" w:lineRule="auto"/>
            </w:pPr>
            <w:r>
              <w:rPr>
                <w:rFonts w:ascii="Calibri" w:hAnsi="Calibri" w:eastAsia="Calibri"/>
                <w:sz w:val="17"/>
              </w:rPr>
              <w:t>Этап 2 (М8–М12): размещение заказов и заключение договоров на небольшие суммы между участниками Центра в реальных условиях — с порогами обязательного одобрения человеком, полным журналированием и порогом остановки (стоп-лосс); каждый платеж инициирует человек через действующие лицензированные платежные каналы участников.</w:t>
            </w:r>
          </w:p>
          <w:p>
            <w:pPr>
              <w:spacing w:before="0" w:after="20" w:line="250" w:lineRule="auto"/>
            </w:pPr>
            <w:r>
              <w:rPr>
                <w:rFonts w:ascii="Calibri" w:hAnsi="Calibri" w:eastAsia="Calibri"/>
                <w:sz w:val="17"/>
              </w:rPr>
              <w:t>Платежи, инициируемые агентом: в 1-й год исключены из пилота; могут рассматриваться для 2-го раунда только с согласия компетентного финансового регулятора.</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Необходимые участники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Два-три разработчика ИИ-агентов; один-два корпоративных заказчика; независимый поставщик услуг по обеспечению доверия к ИИ; компетентный орган (согласие на тестирование в реальных условиях, если потребуется).</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Сроки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Проектирование М3–М6; этап на синтетических данных М6–М8; этап в реальных условиях М8–М12 (плановое допущение); если объем операций недостаточен для измерения KPI, Комитет может продлить этот этап в пределах срока тестирования.</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Факторы затрат (кто оплачивает)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EUz: тестовая среда; независимое обеспечение доверия к ИИ (исполнителя назначает и оплачивает EUz); подготовка правовых документов; трудозатраты куратора проекта. Участники: собственная интеграция и трудозатраты персонала.</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KPI</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Доля инициированных агентом операций, в журнале которых указаны принципал, полномочия и одобрение человеком, если оно было (случайную выборку проверяет поставщик услуг по обеспечению доверия); число неустраненных критических замечаний «красной команды» по окончании этапа на синтетических данных (для перехода к тестированию в реальных условиях — ноль); число инцидентов и срабатываний порогов остановки на 1 000 действий агента; медианное число дней до урегулирования спора о действии агента.</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Ожидаемый регуляторный результат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Опубликованные разъяснения по атрибуции, аутентификации и доказательствам; проект правила Совета — только если юрисконсульты подтвердят полномочия Совета (Иллюстрация 21a).</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P2  Электронные торговые документы с проверкой соблюдения требований на основе ИИ</w:t>
            </w:r>
          </w:p>
          <w:p>
            <w:pPr>
              <w:keepNext/>
              <w:spacing w:before="0" w:after="0" w:line="259" w:lineRule="auto"/>
            </w:pPr>
            <w:r>
              <w:rPr>
                <w:rFonts w:ascii="Calibri" w:hAnsi="Calibri" w:eastAsia="Calibri"/>
                <w:color w:val="D7EFE7"/>
                <w:sz w:val="16"/>
              </w:rPr>
              <w:t>TradeTech | Ведущий орган, дающий согласие: см. Иллюстрацию 21a | Рецензия проекта со стороны WEF (W3) — факультативно, вне критического пути</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Проблема</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Бумажные торговые документы и ручные проверки соблюдения требований замедляют торговлю и повышают долю ошибок.</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Регуляторный барьер</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Юридическое признание электронных передаваемых записей и их принятие органами в сфере торговли. Не установлено, придает ли им юридическую силу законодательство Узбекистана или нормативно-правовая база EUz в соответствии с Типовым законом ЮНСИТРАЛ (MLETR); по опубликованным данным, Бахрейн, Сингапур и ADGM приняли законы на основе MLETR (S) [S34], принятие этих законов не подтверждено (Приложение B).</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Предлагаемый эксперимент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Этап A — правовая готовность (М3–М6): ответ юрисконсультов на вопрос по P2 в рамках меры 2 (Иллюстрация 21a) применяется к выбранному типу документа; ведущий орган письменно сообщает, примет ли он такой документ.</w:t>
            </w:r>
          </w:p>
          <w:p>
            <w:pPr>
              <w:spacing w:before="0" w:after="20" w:line="250" w:lineRule="auto"/>
            </w:pPr>
            <w:r>
              <w:rPr>
                <w:rFonts w:ascii="Calibri" w:hAnsi="Calibri" w:eastAsia="Calibri"/>
                <w:sz w:val="17"/>
              </w:rPr>
              <w:t>Этап B — проверка на основе ИИ (М6–М12): существующие торговые документы проверяются на полноту, согласованность данных и совпадения с санкционными списками; результаты сравниваются с ручными проверками участников. ИИ работает параллельно с обязательными процедурами контроля (включая предусмотренные законом проверки), никогда не заменяет их и не может снять совпадение с санкционным списком. Этап B не требует изменения законодательства (A) и проводится независимо от выводов этапа A.</w:t>
            </w:r>
          </w:p>
          <w:p>
            <w:pPr>
              <w:spacing w:before="0" w:after="20" w:line="250" w:lineRule="auto"/>
            </w:pPr>
            <w:r>
              <w:rPr>
                <w:rFonts w:ascii="Calibri" w:hAnsi="Calibri" w:eastAsia="Calibri"/>
                <w:sz w:val="17"/>
              </w:rPr>
              <w:t>Этап C — электронная запись (М8–М12, только при положительном итоге этапа A): оформление и передача между участниками Центра документа одного типа, выбранного на этапе проектирования (например, складского свидетельства или коносамента); запасной вариант — бумажный документооборот.</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Необходимые участники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Поставщик платформы; одна-две торговые компании с трансграничными операциями (реальные случаи для проверки); поставщик услуг торгового финансирования; ведущий орган.</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Сроки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Этап A: М3–М6; этап B: М6–М12; этап C: М8–М12 (только при положительном итоге этапа 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Факторы затрат (кто оплачивает)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Интеграция с платформой и трудозатраты персонала (участники); правовой анализ на этапе A и взаимодействие с органами (EUz).</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KPI</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Время обработки одного документа в сравнении с базовым значением для бумажного документа, зафиксированным участником (тот же тип документа); доля ложноположительных и ложноотрицательных результатов проверки на основе ИИ относительно проверки размеченной выборки специалистом по комплаенсу; доля документов, требующих исправления; число органов, письменно подтвердивших принятие электронного документа (этап C).</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Ожидаемый регуляторный результат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Положительный итог этапа A: разъяснения о признании или правило для выбранного документа в рамках режима Центра. Отрицательный: записка о правовом пробеле с рекомендацией внести поправки в соответствии с MLETR (Иллюстрация 13, категория «Поправки»), а также разъяснения по проверке на основе ИИ на этапе B. В любом случае: проект двустороннего MoU для распространения пилота на трансграничные операции во 2-й год.</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P3  Обмен данными с сохранением конфиденциальности на основе синтетических данных</w:t>
            </w:r>
          </w:p>
          <w:p>
            <w:pPr>
              <w:keepNext/>
              <w:spacing w:before="0" w:after="0" w:line="259" w:lineRule="auto"/>
            </w:pPr>
            <w:r>
              <w:rPr>
                <w:rFonts w:ascii="Calibri" w:hAnsi="Calibri" w:eastAsia="Calibri"/>
                <w:color w:val="D7EFE7"/>
                <w:sz w:val="16"/>
              </w:rPr>
              <w:t>Экономика данных | Ответственный в EUz: Администрация Центра (принимающая сторона) | Согласие: национальный орган по защите персональных данных</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Проблема</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У компаний в сфере ИИ и данных нет доступа к чувствительным наборам данных для создания и тестирования продуктов.</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Регуляторный барьер</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Ограничения на вторичное использование и передачу по законодательству о персональных данных (требования еще не изучены; вопрос юрисконсультам — в Иллюстрации 21a) и отсутствие подтвержденных критериев допустимого обезличивания (анонимизации).</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Предлагаемый эксперимент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Держатели данных и разработчики проводят анализ в защищенной среде на синтетических данных или с применением методов повышения конфиденциальности. Реальные персональные данные поступают в среду только после согласия уполномоченного органа и успешного прохождения независимого теста синтетических или преобразованных данных на повторную идентификацию. Держатели данных подписывают соглашение об обмене данными, определяющее цель, сроки хранения и порядок удаления.</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Необходимые участники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Один-два держателя данных; разработчики; независимый эксперт по защите конфиденциальности; национальный орган по защите персональных данных (согласие).</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Сроки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Проектирование М3–М6; тест М6–М12.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Факторы затрат (кто оплачивает)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Защищенная среда и независимое тестирование на повторную идентификацию (исполнителя назначает и оплачивает EUz); генерация синтетических данных (держатели данных или разработчики).</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KPI</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Полезность: результаты одного и того же анализа на синтетических (или обработанных методами повышения конфиденциальности) и на реальных данных, сопоставленные держателем данных в собственных системах (реальные данные их не покидают); доля успешных попыток повторной идентификации в тестах независимого эксперта в сравнении с проходным порогом, заранее согласованным с уполномоченным органом; время от запроса на доступ к данным до получения фактического доступа.</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Ожидаемый регуляторный результат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Опубликованные технические и правовые критерии обезличивания и методов повышения конфиденциальности в EUz.</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P4  Внутренний пилотный проект: проверка отчетности, представляемой в EUz, с помощью ИИ (параллельно с песочницей)</w:t>
            </w:r>
          </w:p>
          <w:p>
            <w:pPr>
              <w:keepNext/>
              <w:spacing w:before="0" w:after="0" w:line="259" w:lineRule="auto"/>
            </w:pPr>
            <w:r>
              <w:rPr>
                <w:rFonts w:ascii="Calibri" w:hAnsi="Calibri" w:eastAsia="Calibri"/>
                <w:color w:val="D7EFE7"/>
                <w:sz w:val="16"/>
              </w:rPr>
              <w:t>RegTech и GovTech | ответственный: Администрация Центра | без допуска в песочницу | руководитель пилота от EUz: назначается Исполнительным директором; не входит в тендерную комиссию по выбору поставщика</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Статус и порядок проведения</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В рамках P4 тестируется собственный инструмент проверки EUz. Поскольку ни один участник не сталкивается с регуляторным барьером, пилот не проходит процедуру допуска Комитетом (Иллюстрация 14). Поставщиков выбирают путем открытого тендера по правилам закупок, которые подтверждают юрисконсульты, и статуса участника песочницы они не получают; компании, зарегистрированные в EUz, участвуют добровольно и вправе выйти из пилота.</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Проблема</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Оформление участия и текущая отчетность о соблюдении требований ведутся вручную — как компаниями, так и EUz.</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Регуляторный барьер</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Внутренний: правила EUz об автоматизированных проверках, объяснимости и проверке человеком. Предварительное условие: обязанность представлять периодическую отчетность вступает в силу не позднее М5 (Иллюстрация 21a); в противном случае пилот проводится на документах о регистрации и оформлении участия.</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Предлагаемый эксперимент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Компании-добровольцы представляют отчетность о соблюдении требований через API; ИИ-инструмент проводит предварительную проверку и отмечает проблемы; сотрудники EUz проверяют каждый отчет и принимают решение; результаты сравниваются с ручной обработкой.</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Необходимые участники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Один-два поставщика RegTech-решений, выбранных по тендеру; три-пять зарегистрированных в EUz компаний-добровольцев; сотрудники Регистратора и надзорного подразделения, назначенные Исполнительным директором (не входят в штат Секретариата из шести человек).</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Сроки</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Проектирование М3–М5; тест М6–М11.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Факторы затрат (кто оплачивает)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Интеграция и контракт с поставщиком по итогам тендера (EUz); трудозатраты персонала (EUz); трудозатраты на подготовку отчетности (компании-добровольцы).</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KPI</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Медианное время проверки одного отчета (мин.) с помощью ИИ в сравнении с ручной проверкой (тот же тип отчетности и период); доля ложноположительных и ложноотрицательных результатов относительно окончательных решений проверяющих; доля случаев, когда проверяющий отклоняет вывод ИИ; затраты времени на один отчет в часах по оценке участников (оценочно).</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Ожидаемый регуляторный результат</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Решение о внедрении и правило Совета об автоматизированных проверках соблюдения требований с обязательной проверкой человеком (вероятно, самый ранний результат — см. примечание к Иллюстрации 21a).</w:t>
            </w:r>
          </w:p>
        </w:tc>
      </w:tr>
    </w:tbl>
    <w:p>
      <w:pPr>
        <w:spacing w:before="0" w:after="100" w:line="168" w:lineRule="auto"/>
      </w:pPr>
    </w:p>
    <w:p>
      <w:pPr>
        <w:pStyle w:val="Heading1"/>
        <w:pageBreakBefore/>
        <w:pBdr>
          <w:bottom w:val="single" w:sz="12" w:space="3" w:color="009162"/>
        </w:pBdr>
      </w:pPr>
      <w:r>
        <w:rPr>
          <w:rFonts w:ascii="Calibri" w:hAnsi="Calibri" w:eastAsia="Calibri"/>
        </w:rPr>
        <w:t>8. Дорожная карта, KPI и решения: правовая верификация и Правила песочницы определяют критический путь к первым допускам на 6-м месяце</w:t>
      </w: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9"/>
              </w:rPr>
              <w:t>Обозначения сроков</w:t>
            </w:r>
          </w:p>
          <w:p>
            <w:pPr>
              <w:spacing w:before="0" w:after="40" w:line="252" w:lineRule="auto"/>
            </w:pPr>
            <w:r>
              <w:rPr>
                <w:rFonts w:ascii="Calibri" w:hAnsi="Calibri" w:eastAsia="Calibri"/>
                <w:b/>
                <w:sz w:val="18"/>
              </w:rPr>
              <w:t>День 0</w:t>
            </w:r>
            <w:r>
              <w:rPr>
                <w:rFonts w:ascii="Calibri" w:hAnsi="Calibri" w:eastAsia="Calibri"/>
                <w:sz w:val="18"/>
              </w:rPr>
              <w:t xml:space="preserve"> — принятие Управляющим советом настоящего отчета (месяц 0); М4, М6 и т. д. — месяцы, отсчитываемые от Дня 0.</w:t>
            </w:r>
          </w:p>
          <w:p>
            <w:pPr>
              <w:spacing w:before="0" w:after="40" w:line="252" w:lineRule="auto"/>
            </w:pPr>
            <w:r>
              <w:rPr>
                <w:rFonts w:ascii="Calibri" w:hAnsi="Calibri" w:eastAsia="Calibri"/>
                <w:b/>
                <w:sz w:val="18"/>
              </w:rPr>
              <w:t>День запуска</w:t>
            </w:r>
            <w:r>
              <w:rPr>
                <w:rFonts w:ascii="Calibri" w:hAnsi="Calibri" w:eastAsia="Calibri"/>
                <w:sz w:val="18"/>
              </w:rPr>
              <w:t xml:space="preserve"> — день, когда Трек разъяснений становится общедоступным: целевой срок — День 90 (около М3). Если Совет примет настоящий отчет в конце октября 2026 г., День запуска придется примерно на 21 января 2027 г. — дату вступления в силу Конституционного закона (ЗРУ-1169), о которой сообщает одно издание (Gazeta.uz); эту дату еще предстоит сверить с заключительными положениями закона (S) [S27]. Если День 0 наступит позже, День запуска сдвинется вместе с ним.</w:t>
            </w:r>
          </w:p>
          <w:p>
            <w:pPr>
              <w:spacing w:before="0" w:after="40" w:line="252" w:lineRule="auto"/>
            </w:pPr>
            <w:r>
              <w:rPr>
                <w:rFonts w:ascii="Calibri" w:hAnsi="Calibri" w:eastAsia="Calibri"/>
                <w:b/>
                <w:sz w:val="18"/>
              </w:rPr>
              <w:t>Ключевые даты:</w:t>
            </w:r>
            <w:r>
              <w:rPr>
                <w:rFonts w:ascii="Calibri" w:hAnsi="Calibri" w:eastAsia="Calibri"/>
                <w:sz w:val="18"/>
              </w:rPr>
              <w:t xml:space="preserve"> принятие Правил песочницы и объявление набора в полноформатную песочницу — М4; первые допуски — М6; среднесрочный обзор — М9; ежегодный обзор — М12; пилотный запуск Экспресс-трека и трека прототипирования — после оценки когорты 1 (примерно с М13–М14).</w:t>
            </w:r>
          </w:p>
        </w:tc>
      </w:tr>
    </w:tbl>
    <w:p>
      <w:pPr>
        <w:spacing w:before="0" w:after="40" w:line="144" w:lineRule="auto"/>
      </w:pPr>
    </w:p>
    <w:p>
      <w:pPr>
        <w:pStyle w:val="Heading2"/>
      </w:pPr>
      <w:r>
        <w:rPr>
          <w:rFonts w:ascii="Calibri" w:hAnsi="Calibri" w:eastAsia="Calibri"/>
        </w:rPr>
        <w:t>8.1 Первые 90 дней: пятнадцать мер и критический путь к запуску</w:t>
      </w:r>
    </w:p>
    <w:p>
      <w:pPr>
        <w:spacing w:before="0" w:after="80" w:line="259" w:lineRule="auto"/>
      </w:pPr>
      <w:r>
        <w:rPr>
          <w:rFonts w:ascii="Calibri" w:hAnsi="Calibri" w:eastAsia="Calibri"/>
          <w:sz w:val="18"/>
        </w:rPr>
        <w:t>Сроки отсчитываются от Дня 0. До назначения руководителя песочницы его функции выполняет исполняющий обязанности (мера 5). Приоритеты: C — критический, H — высокий, M — средний.</w:t>
      </w:r>
    </w:p>
    <w:p>
      <w:pPr>
        <w:pStyle w:val="ExhibitTitle"/>
      </w:pPr>
      <w:r>
        <w:rPr>
          <w:rFonts w:ascii="Calibri" w:hAnsi="Calibri" w:eastAsia="Calibri"/>
        </w:rPr>
        <w:t>Иллюстрация 22. План мер на 90 дней</w:t>
      </w:r>
    </w:p>
    <w:tbl>
      <w:tblPr>
        <w:tblW w:w="9639" w:type="dxa"/>
        <w:jc w:val="center"/>
        <w:tblLayout w:type="fixed"/>
        <w:tblLook w:firstColumn="1" w:firstRow="1" w:lastColumn="0" w:lastRow="0" w:noHBand="0" w:noVBand="1" w:val="04A0"/>
      </w:tblPr>
      <w:tblGrid>
        <w:gridCol w:w="340"/>
        <w:gridCol w:w="1984"/>
        <w:gridCol w:w="1360"/>
        <w:gridCol w:w="1304"/>
        <w:gridCol w:w="1077"/>
        <w:gridCol w:w="793"/>
        <w:gridCol w:w="737"/>
        <w:gridCol w:w="2041"/>
      </w:tblGrid>
      <w:tr>
        <w:trPr>
          <w:cantSplit/>
          <w:tblHeader/>
        </w:trPr>
        <w:tc>
          <w:tcPr>
            <w:tcW w:type="dxa" w:w="34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4"/>
              </w:rPr>
              <w:t>#</w:t>
            </w:r>
          </w:p>
        </w:tc>
        <w:tc>
          <w:tcPr>
            <w:tcW w:type="dxa" w:w="198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Действия</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Ответственный</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Результат работ</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Зависит от</w:t>
            </w:r>
          </w:p>
        </w:tc>
        <w:tc>
          <w:tcPr>
            <w:tcW w:type="dxa" w:w="7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4"/>
              </w:rPr>
              <w:t>Приоритет</w:t>
            </w:r>
          </w:p>
        </w:tc>
        <w:tc>
          <w:tcPr>
            <w:tcW w:type="dxa" w:w="73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Срок</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Критерий выполнения</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Получить и изучить официальные тексты; проверить положения о песочнице</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Записка о подтвержденной правовой основе</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Доступ к текстам</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20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Записка подписана; раздел 5.6 обновлен</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2</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Подтвердить полномочия (делегирование, роль Регистратора, объем освобождений от требований), определить, какие акты Совета действительны до вступления в силу ЗРУ-1169, и ответить на правовой вопрос по каждому пилоту (Иллюстрация 21a)</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Письменное заключение</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25</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Заключение выдано с ответом на каждый вопрос</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3</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Совет утверждает операционную модель, последовательность запуска треков и полномочия по допуску (D1, D2)</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Исполнительный директор; секретарь Совета</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Постановление Совета</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1, 2</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30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Постановление принято</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4</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Подготовить проект Правил песочницы: критерии допуска, условия, меры защиты, выход, пересмотр и обжалование, позиции Трека разъяснений, публикация</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 руководитель песочницы</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Проект Правил для консультаций</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75</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Проект одобрен для консультаций (D4b) и опубликован для сбора замечаний</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5</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Назначить исполняющего обязанности руководителя песочницы из числа действующих сотрудников; назначить руководителя песочницы; набрать основную команду примерно из шести человек (плановое допущение)</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Исполнительный директор; кадровая служба</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И. о. руководителя; назначенный руководитель; должностные инструкции</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3 (только назначение руководителя)</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45</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И. о. руководителя — к Дню 5; руководитель вступил в должность — к Дню 45; предложения о работе на все основные должности — к Дню 90</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6</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Сформировать Комитет по песочнице (положение о Комитете, кандидатуры членов, в том числе на два места независимых экспертов, кворум); создать пул независимых экспертов и принять политику в отношении конфликта интересов (раздел 5.1)</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 главный юрисконсульт</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Положение о Комитете и кандидатуры членов; пул экспертов</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2, 3</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60</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Совет утверждает положение о Комитете и кандидатуры (вступают в силу с принятием Правил); пул экспертов утвержден</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7</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Определить компетентные национальные органы по каждому пилоту; подготовить проекты протокола согласования и правил перенаправления с национальными операторами песочниц (раздел 5.1)</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 регуляторный юрисконсульт или главный юрисконсульт (национальные органы); международное сотрудничество (только иностранные органы)</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Протокол согласования и типовой MoU (минимальные условия: раздел 5.8); правила перенаправления</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60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Типовой меморандум согласован в принципе не менее чем с двумя органами; правила перенаправления согласованы в принципе с Центральным банком и NAPP до допуска любого пилота с финансовым компонентом</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8</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Открыть Трек разъяснений: публичное объявление и форма подачи заявки</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Прием заявок открыт</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5</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90 (День запуска)</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Открыто первое дело по разъяснениям</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9</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Определить состав MVP цифровой платформы и способ закупки</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по платформе и данным</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Требования; решение о способе закупки</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60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Записка с обоснованием решения утверждена; техническое задание тендера включает нефункциональные требования из Иллюстрации 16a; определена временная система для модуля ведения дел на День запуска</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10</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Проверка спроса: структурированные интервью с потенциальными участниками</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Развитие бизнеса</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Отчет о спросе</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Нет</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45</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Отчет представлен; ценностное предложение уточнено</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11</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Провести рабочее совещание по короткому списку пилотов; выбрать пилоты песочницы P1–P3 и внутренний пилот P4</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Записка об отборе</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7, 10</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75</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Определены четыре пилота, у каждого — ответственный в EUz, руководитель пилота и при необходимости орган, дающий согласие; пилоты, для которых к Дню 75 не определен такой орган, откладываются</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12</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Определить рамки поддержки WEF и других источников; запросить четко определенные результаты работ</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Международное сотрудничество</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Записка о рамках поддержки и перечень основных условий</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M</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75</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Перечень основных условий по W1–W5 (сроки, критерии приемки, модель оплаты) и условиям 1–6; решение Совета (D8)</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13</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Словарь данных KPI и типовое соглашение о тестировании, включая условия об отслеживании итогов</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 главный юрисконсульт (условия)</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Словарь данных; типовое соглашение о тестировании (минимальные условия: примечание к Иллюстрации 14)</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4</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M</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90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Оба утверждены</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14</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Положение о рисках, кибербезопасности и комплаенсе: порядок уведомления об инцидентах, стоп-лосс, обработка данных, проверка благонадежности</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по рискам, кибербезопасности и комплаенсу</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Положение</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90</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Положение утверждено</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15</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Опубликовать информационный проспект песочницы EUz (предложение для участников, нормативные сроки рассмотрения, исключения); объявить набор в когорту 1 (открывается с принятием Правил, М4) для типов участников, необходимых для каждого пилота</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Коммуникации</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Проспект, версия 1</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4, 11</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M</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90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Проспект опубликован; объявлены дата набора и типы участников</w:t>
            </w:r>
          </w:p>
        </w:tc>
      </w:tr>
    </w:tbl>
    <w:p>
      <w:pPr>
        <w:spacing w:before="0" w:after="40" w:line="144" w:lineRule="auto"/>
      </w:pPr>
    </w:p>
    <w:p>
      <w:pPr>
        <w:spacing w:before="0" w:after="120" w:line="259" w:lineRule="auto"/>
      </w:pPr>
      <w:r>
        <w:rPr>
          <w:rFonts w:ascii="Calibri" w:hAnsi="Calibri" w:eastAsia="Calibri"/>
          <w:b/>
          <w:sz w:val="17"/>
        </w:rPr>
        <w:t>Временные ответственные, критический путь и запасной вариант.</w:t>
      </w:r>
      <w:r>
        <w:rPr>
          <w:rFonts w:ascii="Calibri" w:hAnsi="Calibri" w:eastAsia="Calibri"/>
          <w:sz w:val="17"/>
        </w:rPr>
        <w:t xml:space="preserve"> До замещения вакансий Исполнительный директор назначает из числа действующих сотрудников временных ответственных за меры 9, 13 и 14; развитие бизнеса и коммуникации — общие службы EUz. Критический путь: мера 1 → 2 → 3 → 4 → принятие Правил (М4) → первые допуски (М6); до первого допуска также должны быть завершены меры 5–7, 9, 13 и 14 (раздел 5.9). Если к Дню 20 официальные тексты не будут получены, Трек разъяснений (не зависящий от проекта Правил) все равно откроется в День запуска и будет выдавать мнения без обязательной силы; набор в полноформатную песочницу откладывается до выполнения мер 1–2.</w:t>
      </w:r>
    </w:p>
    <w:p>
      <w:pPr>
        <w:pStyle w:val="Heading2"/>
      </w:pPr>
      <w:r>
        <w:rPr>
          <w:rFonts w:ascii="Calibri" w:hAnsi="Calibri" w:eastAsia="Calibri"/>
        </w:rPr>
        <w:t>8.2 Первые 12 месяцев: четыре фазы, каждая завершается конкретной контрольной точкой принятия решения</w:t>
      </w:r>
    </w:p>
    <w:p>
      <w:pPr>
        <w:pStyle w:val="ExhibitTitle"/>
      </w:pPr>
      <w:r>
        <w:rPr>
          <w:rFonts w:ascii="Calibri" w:hAnsi="Calibri" w:eastAsia="Calibri"/>
        </w:rPr>
        <w:t>Иллюстрация 23. Дорожная карта реализации на 12 месяцев (месяц 0 = День 0 плана на 90 дней)</w:t>
      </w:r>
    </w:p>
    <w:p>
      <w:pPr>
        <w:keepNext/>
        <w:spacing w:before="0" w:after="40" w:line="259" w:lineRule="auto"/>
        <w:jc w:val="center"/>
      </w:pPr>
      <w:r>
        <w:drawing>
          <wp:inline xmlns:a="http://schemas.openxmlformats.org/drawingml/2006/main" xmlns:pic="http://schemas.openxmlformats.org/drawingml/2006/picture">
            <wp:extent cx="5832000" cy="3603678"/>
            <wp:docPr id="4" name="Picture 4"/>
            <wp:cNvGraphicFramePr>
              <a:graphicFrameLocks noChangeAspect="1"/>
            </wp:cNvGraphicFramePr>
            <a:graphic>
              <a:graphicData uri="http://schemas.openxmlformats.org/drawingml/2006/picture">
                <pic:pic>
                  <pic:nvPicPr>
                    <pic:cNvPr id="0" name="f4_roadmap.png"/>
                    <pic:cNvPicPr/>
                  </pic:nvPicPr>
                  <pic:blipFill>
                    <a:blip r:embed="rId12"/>
                    <a:stretch>
                      <a:fillRect/>
                    </a:stretch>
                  </pic:blipFill>
                  <pic:spPr>
                    <a:xfrm>
                      <a:off x="0" y="0"/>
                      <a:ext cx="5832000" cy="3603678"/>
                    </a:xfrm>
                    <a:prstGeom prst="rect"/>
                  </pic:spPr>
                </pic:pic>
              </a:graphicData>
            </a:graphic>
          </wp:inline>
        </w:drawing>
      </w:r>
    </w:p>
    <w:tbl>
      <w:tblPr>
        <w:tblW w:w="9639" w:type="dxa"/>
        <w:jc w:val="center"/>
        <w:tblLayout w:type="fixed"/>
        <w:tblLook w:firstColumn="1" w:firstRow="1" w:lastColumn="0" w:lastRow="0" w:noHBand="0" w:noVBand="1" w:val="04A0"/>
      </w:tblPr>
      <w:tblGrid>
        <w:gridCol w:w="1360"/>
        <w:gridCol w:w="737"/>
        <w:gridCol w:w="2381"/>
        <w:gridCol w:w="1701"/>
        <w:gridCol w:w="1927"/>
        <w:gridCol w:w="1530"/>
      </w:tblGrid>
      <w:tr>
        <w:trPr>
          <w:cantSplit/>
          <w:tblHeader/>
        </w:trPr>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Фаза</w:t>
            </w:r>
          </w:p>
        </w:tc>
        <w:tc>
          <w:tcPr>
            <w:tcW w:type="dxa" w:w="73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Месяцы</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Ключевые результаты</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Контрольная точка (кто решает)</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Критерии перехода</w:t>
            </w:r>
          </w:p>
        </w:tc>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Если не выполнены</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 Основа</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0–3</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План на 90 дней (Иллюстрация 22), завершающийся открытием Трека разъяснений в День запуска</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запуска, около М3 (Исполнительный директор отчитывается перед Советом)</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Заключение о полномочиях выдано; платформа приема заявок работает; проект Правил опубликован</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Открывается только Трек разъяснений; набор в полноформатную песочницу откладывается, пока заключение не подтвердит правовую основу</w:t>
            </w:r>
          </w:p>
        </w:tc>
      </w:tr>
      <w:tr>
        <w:trPr>
          <w:cantSplit/>
        </w:trPr>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2 Мягкий запуск</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3–6</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Правила приняты, открыт набор в полноформатную песочницу (М4); Комитет сформирован; заявки прошли этапы 1–5; планы тестирования с доказательствами для выхода; тестовая среда для P1 и P3; определены рамки независимой оценки когорты 1</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Первые допуски, М6 (Комитет по песочнице, на основании заключения Исполнительного директора о готовности, раздел 5.9)</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 каждому пилоту: утвержденный план тестирования, отчет о рисках и письма-согласия либо письменное подтверждение, что согласие не требуется</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Пилот допускается позже, ограничивается этапом на синтетических данных или рассматривается как дело Трека разъяснений</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3 Контролируемый запуск</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6–9</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Тестирование в пределах лимитов; ежемесячный мониторинг; первый ежеквартальный форум регуляторов; первый отчет о соблюдении нормативных сроков рассмотрения; определены категории-кандидаты для Экспресс-трека; заключен договор с независимым специалистом по оценке</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Среднесрочный обзор, М9 (Совет, на основании отчета Комитета)</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Нет неурегулированных существенных инцидентов; представлены данные по KPI 1–4, 14 и 15; трудозатраты персонала на одно дело сопоставлены с плановым допущением; приняты решения о раунде 2 (карточка 3.7, строка E) и транше 2 бюджета (D3)</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Приостановить затронутые пилоты или изменить их условия; перенести раунд 2; отложить транш 2</w:t>
            </w:r>
          </w:p>
        </w:tc>
      </w:tr>
      <w:tr>
        <w:trPr>
          <w:cantSplit/>
        </w:trPr>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4 Оценка и расширение</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9–12</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Для Совета подготовлен проект стандартных условий Экспресс-трека; этапы тестирования завершаются (P4 — в М11, P1–P3 — в М12); начинается оценка результатов на этапе 8; подготовлены проекты записок о выводах для регулирования; переговоры о MoU; годовой отчет по KPI выполнения плана и процессов</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Ежегодный обзор, М12 (Совет)</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Варианты на 2-й год оценены на соответствие условиям раздела 8.3; бюджет на 2-й год</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Решения по вариантам на 2-й год откладываются до завершения оценки результатов когорты 1</w:t>
            </w:r>
          </w:p>
        </w:tc>
      </w:tr>
    </w:tbl>
    <w:p>
      <w:pPr>
        <w:spacing w:before="0" w:after="40" w:line="144" w:lineRule="auto"/>
      </w:pPr>
    </w:p>
    <w:p>
      <w:pPr>
        <w:spacing w:before="0" w:after="80" w:line="259" w:lineRule="auto"/>
      </w:pPr>
      <w:r>
        <w:rPr>
          <w:rFonts w:ascii="Calibri" w:hAnsi="Calibri" w:eastAsia="Calibri"/>
          <w:sz w:val="17"/>
        </w:rPr>
        <w:t>После 12-го месяца: отчеты об оценке результатов на этапе 8 (через 30 рабочих дней после завершения каждого теста, Иллюстрация 8; около М13–М14); Отчет о регуляторных выводах по когорте 1 (через 60 календарных дней после закрытия когорты, карточка 3.8, строка E; около М14); независимая оценка когорты 1. Поэтому годовой отчет за 12 месяцев отражает выполнение плана и процессы, а не итоги.</w:t>
      </w:r>
    </w:p>
    <w:p>
      <w:pPr>
        <w:pStyle w:val="Heading2"/>
      </w:pPr>
      <w:r>
        <w:rPr>
          <w:rFonts w:ascii="Calibri" w:hAnsi="Calibri" w:eastAsia="Calibri"/>
        </w:rPr>
        <w:t>8.3 Долгосрочное развитие: трансграничные пилоты и расширенная инфраструктура запускаются, только если обзор в 12-м месяце подтвердит, что условия для них выполнены</w:t>
      </w:r>
    </w:p>
    <w:p>
      <w:pPr>
        <w:spacing w:before="0" w:after="40" w:line="259" w:lineRule="auto"/>
      </w:pPr>
      <w:r>
        <w:rPr>
          <w:rFonts w:ascii="Calibri" w:hAnsi="Calibri" w:eastAsia="Calibri"/>
          <w:sz w:val="18"/>
        </w:rPr>
        <w:t>Условия запуска, оцениваемые в ходе ежегодного обзора в М12:</w:t>
      </w:r>
    </w:p>
    <w:p>
      <w:pPr>
        <w:numPr>
          <w:ilvl w:val="0"/>
          <w:numId w:val="90"/>
        </w:numPr>
        <w:spacing w:before="0" w:after="40" w:line="259" w:lineRule="auto"/>
      </w:pPr>
      <w:r>
        <w:rPr>
          <w:rFonts w:ascii="Calibri" w:hAnsi="Calibri" w:eastAsia="Calibri"/>
          <w:b/>
          <w:sz w:val="18"/>
        </w:rPr>
        <w:t>Пилотный запуск Трансграничного трека:</w:t>
      </w:r>
      <w:r>
        <w:rPr>
          <w:rFonts w:ascii="Calibri" w:hAnsi="Calibri" w:eastAsia="Calibri"/>
          <w:sz w:val="18"/>
        </w:rPr>
        <w:t xml:space="preserve"> регулятор-партнер подписал меморандум о взаимопонимании и письменно согласовал единый план тестирования, а KPI 15 показывает, что согласия национальных регуляторов поступают в срок, установленный меморандумом.</w:t>
      </w:r>
    </w:p>
    <w:p>
      <w:pPr>
        <w:numPr>
          <w:ilvl w:val="0"/>
          <w:numId w:val="90"/>
        </w:numPr>
        <w:spacing w:before="0" w:after="40" w:line="259" w:lineRule="auto"/>
      </w:pPr>
      <w:r>
        <w:rPr>
          <w:rFonts w:ascii="Calibri" w:hAnsi="Calibri" w:eastAsia="Calibri"/>
          <w:b/>
          <w:sz w:val="18"/>
        </w:rPr>
        <w:t>Признание решений регуляторов-партнеров:</w:t>
      </w:r>
      <w:r>
        <w:rPr>
          <w:rFonts w:ascii="Calibri" w:hAnsi="Calibri" w:eastAsia="Calibri"/>
          <w:sz w:val="18"/>
        </w:rPr>
        <w:t xml:space="preserve"> те же условия, а также подтверждение юрисконсультами того, что EUz вправе признать решение иностранного регулятора о тестировании (Иллюстрация 13, категория «Поправки»).</w:t>
      </w:r>
    </w:p>
    <w:p>
      <w:pPr>
        <w:numPr>
          <w:ilvl w:val="0"/>
          <w:numId w:val="90"/>
        </w:numPr>
        <w:spacing w:before="0" w:after="40" w:line="259" w:lineRule="auto"/>
      </w:pPr>
      <w:r>
        <w:rPr>
          <w:rFonts w:ascii="Calibri" w:hAnsi="Calibri" w:eastAsia="Calibri"/>
          <w:b/>
          <w:sz w:val="18"/>
        </w:rPr>
        <w:t>Расширенная инфраструктура тестирования:</w:t>
      </w:r>
      <w:r>
        <w:rPr>
          <w:rFonts w:ascii="Calibri" w:hAnsi="Calibri" w:eastAsia="Calibri"/>
          <w:sz w:val="18"/>
        </w:rPr>
        <w:t xml:space="preserve"> число пилотов, использующих тестовую среду, созданную к М6, превышает расчетное, либо отзывы участников указывают на недостаточное качество данных.</w:t>
      </w:r>
    </w:p>
    <w:p>
      <w:pPr>
        <w:numPr>
          <w:ilvl w:val="0"/>
          <w:numId w:val="90"/>
        </w:numPr>
        <w:spacing w:before="0" w:after="40" w:line="259" w:lineRule="auto"/>
      </w:pPr>
      <w:r>
        <w:rPr>
          <w:rFonts w:ascii="Calibri" w:hAnsi="Calibri" w:eastAsia="Calibri"/>
          <w:b/>
          <w:sz w:val="18"/>
        </w:rPr>
        <w:t>Постоянная консультативная группа:</w:t>
      </w:r>
      <w:r>
        <w:rPr>
          <w:rFonts w:ascii="Calibri" w:hAnsi="Calibri" w:eastAsia="Calibri"/>
          <w:sz w:val="18"/>
        </w:rPr>
        <w:t xml:space="preserve"> эксперты из пула привлекаются к проектированию большинства тестов.</w:t>
      </w:r>
    </w:p>
    <w:p>
      <w:pPr>
        <w:numPr>
          <w:ilvl w:val="0"/>
          <w:numId w:val="90"/>
        </w:numPr>
        <w:spacing w:before="0" w:after="40" w:line="259" w:lineRule="auto"/>
      </w:pPr>
      <w:r>
        <w:rPr>
          <w:rFonts w:ascii="Calibri" w:hAnsi="Calibri" w:eastAsia="Calibri"/>
          <w:b/>
          <w:sz w:val="18"/>
        </w:rPr>
        <w:t>Регулярная программа регуляторных инноваций:</w:t>
      </w:r>
      <w:r>
        <w:rPr>
          <w:rFonts w:ascii="Calibri" w:hAnsi="Calibri" w:eastAsia="Calibri"/>
          <w:sz w:val="18"/>
        </w:rPr>
        <w:t xml:space="preserve"> после публикации первого Отчета о регуляторных выводах.</w:t>
      </w:r>
    </w:p>
    <w:p>
      <w:pPr>
        <w:pStyle w:val="Heading2"/>
      </w:pPr>
      <w:r>
        <w:rPr>
          <w:rFonts w:ascii="Calibri" w:hAnsi="Calibri" w:eastAsia="Calibri"/>
        </w:rPr>
        <w:t>8.4 KPI: пятнадцать показателей; 1-й год оценивается по выполнению плана, а данные об итогах поступают примерно с 14-го месяца</w:t>
      </w:r>
    </w:p>
    <w:p>
      <w:pPr>
        <w:spacing w:before="0" w:after="80" w:line="259" w:lineRule="auto"/>
      </w:pPr>
      <w:r>
        <w:rPr>
          <w:rFonts w:ascii="Calibri" w:hAnsi="Calibri" w:eastAsia="Calibri"/>
          <w:sz w:val="18"/>
        </w:rPr>
        <w:t>У EUz пока нет базовых значений: для целевых показателей определен лишь подход к их установлению, а любой числовой целевой показатель остается плановым допущением руководства до получения данных по первой когорте. Данные об итогах (привлеченные средства, статус лицензии или постоянного режима деятельности, продолжение деятельности) собираются при допуске (базовое значение), при выходе, а также через 12 и 24 месяца после допуска.</w:t>
      </w:r>
    </w:p>
    <w:p>
      <w:pPr>
        <w:pStyle w:val="ExhibitTitle"/>
      </w:pPr>
      <w:r>
        <w:rPr>
          <w:rFonts w:ascii="Calibri" w:hAnsi="Calibri" w:eastAsia="Calibri"/>
        </w:rPr>
        <w:t>Иллюстрация 24. Карта показателей KPI</w:t>
      </w:r>
    </w:p>
    <w:tbl>
      <w:tblPr>
        <w:tblW w:w="9639" w:type="dxa"/>
        <w:jc w:val="center"/>
        <w:tblLayout w:type="fixed"/>
        <w:tblLook w:firstColumn="1" w:firstRow="1" w:lastColumn="0" w:lastRow="0" w:noHBand="0" w:noVBand="1" w:val="04A0"/>
      </w:tblPr>
      <w:tblGrid>
        <w:gridCol w:w="1417"/>
        <w:gridCol w:w="2324"/>
        <w:gridCol w:w="1134"/>
        <w:gridCol w:w="1360"/>
        <w:gridCol w:w="1134"/>
        <w:gridCol w:w="1474"/>
        <w:gridCol w:w="793"/>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KPI</w:t>
            </w:r>
          </w:p>
        </w:tc>
        <w:tc>
          <w:tcPr>
            <w:tcW w:type="dxa" w:w="232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Определение и метод измерения</w:t>
            </w:r>
          </w:p>
        </w:tc>
        <w:tc>
          <w:tcPr>
            <w:tcW w:type="dxa" w:w="113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Источник данных</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Ответственный</w:t>
            </w:r>
          </w:p>
        </w:tc>
        <w:tc>
          <w:tcPr>
            <w:tcW w:type="dxa" w:w="113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Периодичность</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Подход к целевым показателям</w:t>
            </w:r>
          </w:p>
        </w:tc>
        <w:tc>
          <w:tcPr>
            <w:tcW w:type="dxa" w:w="7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Первые данные</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 Срок решения (полноформатная песочница)</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Медиана р. д. в зоне контроля EUz от подачи полной заявки до решения Комитета (допуск или отказ); отсчет приостанавливается на время ожидания заявителя или регулятора; также медиана общего срока в календарных днях</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Временные метки платформы</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Ежеквартально</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Сравнение с опубликованным нормативным сроком рассмотрения 50 р. д. (плановое допущение; Иллюстрация 8); пересмотреть после первых десяти решений</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M6</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2 Срок предварительной проверки</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Доля заявок, прошедших предварительную проверку в пределах нормативного срока</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Платформа</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Ежемесячно</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10 р. д. (плановое допущение)</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запуска (около М3)</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3 Своевременность разъяснений</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Доля дел по разъяснениям, завершенных выдачей письменной позиции в пределах нормативного срока</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Реестр дел</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Юрисконсульт по регуляторным вопросам</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Ежеквартально</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Устанавливается после первых 20 дел</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Около М5</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4 Запущенные пилоты</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Утвержденные планы тестирования (пилоты), по которым начато тестирование, с указанием числа участвующих организаций</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Реестр дел</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Ежеквартально</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Плановый диапазон — три-четыре в 1-й год</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M6</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5 Тесты, завершенные с доказательной базой</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Доля допущенных тестов, завершенных оценкой результатов на этапе 8 и решением Комитета о выходе, независимо от исхода: успех, досрочная остановка или неудача (включая тесты, прекращенные по порогу остановки)</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Реестр дел</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 (итоговая ответственность — Комитет)</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 каждой когорте</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Цель: все тесты (плановое допущение)</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Около М14</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6 Переход на постоянный режим</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Доля вышедших из песочницы участников, перешедших на постоянный режим деятельности в течение 12 месяцев после выхода</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Опрос при выходе; реестр</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 (итоговая ответственность — Комитет)</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Ежегодно</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MAS: 15 из 19 (нарастающим итогом на конец сентября 2025 г.), только для справки</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Около М26</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7 Устраненные регуляторные неопределенности</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Неопределенности, выявленные в записках о регуляторном картировании, и доля устраненных опубликованной позицией, согласием или правилом (количество и давность)</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Библиотека позиций; записки о картировании</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Юрисконсульт по регуляторным вопросам</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Ежеквартально</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Устанавливается после первых 20 неопределенностей</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Около М5</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8 Записки о выводах для регулирования</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Доля завершенных тестов с запиской для Совета (изменение правил, разъяснения или без изменений) в течение 60 календарных дней после выхода</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Протоколы заседаний Совета</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 каждой когорте</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Цель: все завершенные тесты</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Около М16</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9 Частные инвестиции</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Средства, привлеченные участниками за 24 месяца после допуска (по данным участников, с подтверждающими документами)</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Отчеты участников</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Развитие бизнеса</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Ежегодно</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Только отчетность; цель не задается</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Около М30</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10 Охват иностранных компаний</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Компании со штаб-квартирой за пределами Узбекистана, допущенные в полноформатную песочницу или получившие позицию в Треке разъяснений, и число тех из них, которые в течение 12 месяцев зарегистрировались в качестве участников Центра; заявки — только для справки</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Реестр дел; Регистратор</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Развитие бизнеса</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Ежеквартально</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Задается после проверки спроса</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Около М5</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11 Трансграничные эксперименты</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Завершенные тесты в нескольких юрисдикциях</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Реестр дел</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Международное сотрудничество</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Ежегодно</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В 1-й год не ожидаются</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2-й год</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12 Отзывы участников</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Оценки после выхода по пятибалльной шкале с обоснованием: распределение и n; среднее не рассчитывается, если ответов меньше десяти</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Опрос</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 каждой когорте</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Динамика по когортам</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Около М14</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13 Экономия затрат и времени</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Экономия по оценке участника относительно базового значения, зафиксированного при допуске (с пометкой «оценка»)</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Отчеты участников</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 каждой когорте</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Только отчетность; без экстраполяции</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Около М14</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14 Инциденты с ущербом</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Существенные инциденты и срабатывания порогов остановки на один действующий пилот</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Журнал инцидентов</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по рискам, кибербезопасности и комплаенсу</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Ежемесячно</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Порог задается в системе управления рисками</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M6</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15 Срок получения согласий регуляторов</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Медиана р. д. от запроса EUz о согласии до письменного ответа регулятора, по каждому органу; доля ответов, полученных в срок, установленный MoU</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Трекер согласований (платформа)</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Руководитель песочницы</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Ежемесячно</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Срок задается в каждом MoU; показатель представляется на ежеквартальном форуме регуляторов</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Около М5</w:t>
            </w:r>
          </w:p>
        </w:tc>
      </w:tr>
    </w:tbl>
    <w:p>
      <w:pPr>
        <w:spacing w:before="0" w:after="40" w:line="144" w:lineRule="auto"/>
      </w:pPr>
    </w:p>
    <w:p>
      <w:pPr>
        <w:spacing w:before="0" w:after="80" w:line="259" w:lineRule="auto"/>
      </w:pPr>
      <w:r>
        <w:rPr>
          <w:rFonts w:ascii="Calibri" w:hAnsi="Calibri" w:eastAsia="Calibri"/>
          <w:sz w:val="17"/>
        </w:rPr>
        <w:t>Месяцы получения первых данных определены на основе Иллюстрации 8 и принятых обозначений сроков; в годовом отчете за 12 месяцев могут быть представлены KPI 1–4, 7, 10, 14 и 15.</w:t>
      </w:r>
    </w:p>
    <w:p>
      <w:pPr>
        <w:pStyle w:val="Heading2"/>
      </w:pPr>
      <w:r>
        <w:rPr>
          <w:rFonts w:ascii="Calibri" w:hAnsi="Calibri" w:eastAsia="Calibri"/>
        </w:rPr>
        <w:t>8.5 Матрица управленческих решений: правовая верификация — к Дню 20, затем операционная модель и полномочия по допуску — к Дню 30</w:t>
      </w:r>
    </w:p>
    <w:p>
      <w:pPr>
        <w:pStyle w:val="ExhibitTitle"/>
      </w:pPr>
      <w:r>
        <w:rPr>
          <w:rFonts w:ascii="Calibri" w:hAnsi="Calibri" w:eastAsia="Calibri"/>
        </w:rPr>
        <w:t>Иллюстрация 25. Решения, необходимые для запуска песочницы EUz</w:t>
      </w:r>
    </w:p>
    <w:tbl>
      <w:tblPr>
        <w:tblW w:w="9639" w:type="dxa"/>
        <w:jc w:val="center"/>
        <w:tblLayout w:type="fixed"/>
        <w:tblLook w:firstColumn="1" w:firstRow="1" w:lastColumn="0" w:lastRow="0" w:noHBand="0" w:noVBand="1" w:val="04A0"/>
      </w:tblPr>
      <w:tblGrid>
        <w:gridCol w:w="453"/>
        <w:gridCol w:w="1360"/>
        <w:gridCol w:w="1701"/>
        <w:gridCol w:w="1417"/>
        <w:gridCol w:w="1304"/>
        <w:gridCol w:w="1134"/>
        <w:gridCol w:w="1190"/>
        <w:gridCol w:w="1077"/>
      </w:tblGrid>
      <w:tr>
        <w:trPr>
          <w:cantSplit/>
          <w:tblHeader/>
        </w:trPr>
        <w:tc>
          <w:tcPr>
            <w:tcW w:type="dxa" w:w="45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4"/>
              </w:rPr>
              <w:t>#</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Решение</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Рекомендуемый вариант</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Рассмотренные альтернативы</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Кто решает (кто готовит)</w:t>
            </w:r>
          </w:p>
        </w:tc>
        <w:tc>
          <w:tcPr>
            <w:tcW w:type="dxa" w:w="113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Срок</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Запрос на данном заседании</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Постановление Совета</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D1</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Операционная модель и последовательность запуска треков</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Два трека при запуске (Трек разъяснений — в День запуска; набор в полноформатную песочницу — в М4); Экспресс-трек и трек прототипирования — в пилотном режиме после оценки результатов когорты 1 (примерно с М13–М14); Трансграничный трек — во 2-й год</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Все пять треков сразу при запуске; только финансовая сфера; Экспресс-трек с 6-го месяца без данных по когортам</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Управляющий совет (Исполнительный директор)</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30</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Одобрить в принципе</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Да</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D2</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Полномочия по допуску</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Делегировать полномочия Комитету по песочнице, если это подтвердят юрисконсульты, в противном случае Совет принимает решение по каждому делу в заочном порядке; утвердить порядок работы Комитета, включая срочное приостановление (раздел 5.1), а также двухступенчатый порядок пересмотра и апелляции (раздел 5.5)</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Решение по каждому делу — за Советом</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Управляющий совет (главный юрисконсульт)</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30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Одобрить в принципе при условии выполнения D4a</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Да</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D3</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Секретариат, штатная численность и бюджет</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Назначенный руководитель песочницы и основная команда примерно из шести человек (плановое допущение); смета расходов к Дню 45; без взимания платы в первый год; два транша финансирования; независимых экспертов назначает EUz (см. примечание ниже)</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Аутсорсинг функции; подразделение с частичной занятостью</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Управляющий совет — смета; Исполнительный директор — назначения (Исполнительный директор)</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45</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Утвердить штатную численность; поручить подготовку сметы расходов</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Да</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D4a</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Правовая верификация и заключение о полномочиях (меры 1–2)</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Юрисконсульты изучают официальные тексты до начала разработки любых правил</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Сначала подготовить правила, затем проверить</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Главный юрисконсульт по поручению Председателя (главный юрисконсульт)</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20 (правовая основа); День 25 (заключение)</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Поручить незамедлительно</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Нет</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D4b</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Правила песочницы</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Одобрить проект для консультаций (День 75); принять окончательные Правила (М4)</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Нет</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Управляющий совет (главный юрисконсульт; руководитель песочницы)</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75 / М4</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Вносится на решение позднее</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Да</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D5</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Базовый набор мер защиты, ответственности и комплаенса</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Базовый набор по Иллюстрации 14: лимиты, информирование пользователей, стоп-лосс и порядок уведомления об инцидентах в каждом тесте; ответственность участника (подтверждение способности выплатить компенсацию; план свертывания); проверка благонадежности; обязанности по ПОД/ФТ и санкционные требования, не подлежащие освобождению; ИИ-инструменты комплаенса никогда не заменяют обязательные меры контроля; оценка воздействия до использования реальных персональных данных</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Меры защиты в индивидуальном порядке; компенсационный фонд за счет EUz; опора на собственные меры контроля участников</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Управляющий совет (главный юрисконсульт; руководитель песочницы)</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60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Вносится на решение позднее</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Да</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D6</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Портфель пилотных проектов</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Совет поддерживает критерии отбора сейчас, а P1–P3 и внутренний пилот P4 — в День 75, каждый с руководителем пилота и, при необходимости, органом, дающим согласие (Иллюстрация 21a); Комитет допускает пилот в песочницу только после принятия Правил и определения органа, дающего на него согласие; P4 утверждает Исполнительный директор</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Более широкий портфель; один флагманский пилот</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Управляющий совет — портфель; Комитет по песочнице — допуск (руководитель песочницы)</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75</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Поддержать критерии отбора</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Нет</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D7</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Цифровая платформа</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Минимально жизнеспособная платформа; открытый тендер с нефункциональными требованиями из Иллюстрации 16a; сначала синтетические данные; временная система ведения дел под контролем EUz к Дню запуска</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Полная платформа; отказ от платформы</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Исполнительный директор (руководитель по платформе и данным)</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60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Для сведения</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Нет</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D8</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Рамки участия международных партнеров</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WEF — организация диалога, включая экспертную рецензию операторами песочниц (W1); прямые MoU с регуляторами; юрисконсульты — подготовка документов; перечень основных условий по W1–W5 и условиям 1–6 (Иллюстрация 19a)</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WEF — ведущий разработчик; без партнера</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Управляющий совет; любое соглашение подписывает Председатель (Международное сотрудничество)</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75</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Поручить проработку сотрудничества с WEF и альтернатив</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Да</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D9</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Политика публикации</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Публиковать нормативные сроки рассмотрения и их соблюдение, реестр дел (в обезличенном виде), отчеты о выходе и о выводах</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Публиковать только годовую сводку</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Управляющий совет (руководитель песочницы)</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День 60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Вносится на решение позднее</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Да</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D10</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Система KPI</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Принять карту показателей из раздела 8.4; базовые значения — после когорты 1</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Цели устанавливаются сразу</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Исполнительный директор; ежегодный отчет Совету (руководитель песочницы)</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75</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Для сведения</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Нет</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D11</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Внешнее распространение английской редакции</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Выпуск после шагов 1–3 Приложения D</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Немедленный выпуск с оговорками</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Председатель (главный юрисконсульт; коммуникации)</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Целевая дата устанавливается на данном заседании; выпуск — после шагов 1–3 Приложения D</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Утвердить условие выпуска и установить целевую дату</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Нет</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D12</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Политика согласия регуляторов и перенаправления</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Согласие не презюмируется; при отказе — изменение рамок теста, Трек разъяснений или перенаправление; один допуск в песочницу на вид деятельности; правила перенаправления — прежде всего с Центральным банком и NAPP (разделы 5.1, 5.8)</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Допуск при условии последующего согласия; перенаправление — индивидуально</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Управляющий совет (руководитель песочницы с главным юрисконсультом)</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День 60</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Вносится на решение позднее</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Да</w:t>
            </w:r>
          </w:p>
        </w:tc>
      </w:tr>
    </w:tbl>
    <w:p>
      <w:pPr>
        <w:spacing w:before="0" w:after="40" w:line="144" w:lineRule="auto"/>
      </w:pPr>
    </w:p>
    <w:p>
      <w:pPr>
        <w:spacing w:before="0" w:after="60" w:line="259" w:lineRule="auto"/>
      </w:pPr>
      <w:r>
        <w:rPr>
          <w:rFonts w:ascii="Calibri" w:hAnsi="Calibri" w:eastAsia="Calibri"/>
          <w:b/>
          <w:sz w:val="17"/>
        </w:rPr>
        <w:t>Смета расходов по D3 и правила финансирования.</w:t>
      </w:r>
      <w:r>
        <w:rPr>
          <w:rFonts w:ascii="Calibri" w:hAnsi="Calibri" w:eastAsia="Calibri"/>
          <w:sz w:val="17"/>
        </w:rPr>
        <w:t xml:space="preserve"> К Дню 45 Исполнительный директор представляет смету расходов по семи статьям: персонал Секретариата; минимально жизнеспособная платформа (MVP; тендер по D7); вознаграждение экспертов из пула за каждое дело; независимая оценка когорты 1; привлечение внешних юристов для подготовки и верификации документов; тестирование безопасности и оценка защиты данных до начала работы с реальными данными; централизованный резерв на непредвиденные расходы. Суммы не предлагаются: у EUz нет базового уровня затрат. В первый год плата за подачу заявки или участие не взимается; вопрос о плате повторно рассматривается в ходе ежегодного обзора (в отчете ICO о выводах за 2024 г. песочница ICO описана как бесплатная услуга [S46]; планируемая Ofgem песочница AI Technical Sandbox в период пилота бесплатна [S48]). Участники несут собственные расходы, включая страхование; EUz финансирует тестовую среду, экспертную проверку и независимое подтверждение, необходимые для публикуемых выводов (глава 7), и всегда сам назначает экспертов и специалистов по оценке; оцениваемый участник их никогда не назначает. Транш 1 охватывает период с 0-го по 9-й месяц; транш 2 выделяется по итогам обзора на 9-м месяце на основании оценки по KPI 1–4 и наличия пилотных проектов, допущенных после получения согласий.</w:t>
      </w:r>
    </w:p>
    <w:p>
      <w:pPr>
        <w:spacing w:before="0" w:after="80" w:line="259" w:lineRule="auto"/>
      </w:pPr>
      <w:r>
        <w:rPr>
          <w:rFonts w:ascii="Calibri" w:hAnsi="Calibri" w:eastAsia="Calibri"/>
          <w:sz w:val="17"/>
        </w:rPr>
        <w:t>Распределение ролей в столбце «Кто решает» носит рекомендательный характер и подлежит подтверждению в рамках меры 2 путем сверки с полномочиями Совета, указанными в рабочих материалах EUz (ст. 15–17; W) [S31].</w:t>
      </w:r>
    </w:p>
    <w:p>
      <w:pPr>
        <w:pStyle w:val="Heading1"/>
        <w:pageBreakBefore/>
        <w:pBdr>
          <w:bottom w:val="single" w:sz="12" w:space="3" w:color="009162"/>
        </w:pBdr>
      </w:pPr>
      <w:r>
        <w:rPr>
          <w:rFonts w:ascii="Calibri" w:hAnsi="Calibri" w:eastAsia="Calibri"/>
        </w:rPr>
        <w:t>Приложение A. Расширенная матрица сравнительного анализа</w:t>
      </w:r>
    </w:p>
    <w:p>
      <w:pPr>
        <w:spacing w:before="0" w:after="80" w:line="259" w:lineRule="auto"/>
      </w:pPr>
      <w:r>
        <w:rPr>
          <w:rFonts w:ascii="Calibri" w:hAnsi="Calibri" w:eastAsia="Calibri"/>
          <w:sz w:val="18"/>
        </w:rPr>
        <w:t xml:space="preserve">Статус: </w:t>
      </w:r>
      <w:r>
        <w:rPr>
          <w:rFonts w:ascii="Calibri" w:hAnsi="Calibri" w:eastAsia="Calibri"/>
          <w:b/>
          <w:sz w:val="18"/>
        </w:rPr>
        <w:t>На основе закона</w:t>
      </w:r>
      <w:r>
        <w:rPr>
          <w:rFonts w:ascii="Calibri" w:hAnsi="Calibri" w:eastAsia="Calibri"/>
          <w:sz w:val="18"/>
        </w:rPr>
        <w:t xml:space="preserve"> — программа создана правовым актом; </w:t>
      </w:r>
      <w:r>
        <w:rPr>
          <w:rFonts w:ascii="Calibri" w:hAnsi="Calibri" w:eastAsia="Calibri"/>
          <w:b/>
          <w:sz w:val="18"/>
        </w:rPr>
        <w:t>Действует</w:t>
      </w:r>
      <w:r>
        <w:rPr>
          <w:rFonts w:ascii="Calibri" w:hAnsi="Calibri" w:eastAsia="Calibri"/>
          <w:sz w:val="18"/>
        </w:rPr>
        <w:t xml:space="preserve"> — работает; </w:t>
      </w:r>
      <w:r>
        <w:rPr>
          <w:rFonts w:ascii="Calibri" w:hAnsi="Calibri" w:eastAsia="Calibri"/>
          <w:b/>
          <w:sz w:val="18"/>
        </w:rPr>
        <w:t>Объявлена</w:t>
      </w:r>
      <w:r>
        <w:rPr>
          <w:rFonts w:ascii="Calibri" w:hAnsi="Calibri" w:eastAsia="Calibri"/>
          <w:sz w:val="18"/>
        </w:rPr>
        <w:t xml:space="preserve"> — решение о запуске принято или предложено, но программа еще не работает. Цифры приводятся по данным указанного источника; если иная метка не указана, это данные регулятора (R); с полным текстом первоисточника они еще не сверены. «Не подтверждено» — цифра не найдена.</w:t>
      </w:r>
    </w:p>
    <w:p>
      <w:pPr>
        <w:pStyle w:val="Heading3"/>
      </w:pPr>
      <w:r>
        <w:rPr>
          <w:rFonts w:ascii="Calibri" w:hAnsi="Calibri" w:eastAsia="Calibri"/>
        </w:rPr>
        <w:t>Зарубежные программы</w:t>
      </w:r>
    </w:p>
    <w:tbl>
      <w:tblPr>
        <w:tblW w:w="9639" w:type="dxa"/>
        <w:jc w:val="center"/>
        <w:tblLayout w:type="fixed"/>
        <w:tblLook w:firstColumn="1" w:firstRow="1" w:lastColumn="0" w:lastRow="0" w:noHBand="0" w:noVBand="1" w:val="04A0"/>
      </w:tblPr>
      <w:tblGrid>
        <w:gridCol w:w="1927"/>
        <w:gridCol w:w="1077"/>
        <w:gridCol w:w="1190"/>
        <w:gridCol w:w="4536"/>
        <w:gridCol w:w="907"/>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Программа</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Запуск</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Статус</w:t>
            </w:r>
          </w:p>
        </w:tc>
        <w:tc>
          <w:tcPr>
            <w:tcW w:type="dxa" w:w="45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Зафиксированные данные и примечания</w:t>
            </w:r>
          </w:p>
        </w:tc>
        <w:tc>
          <w:tcPr>
            <w:tcW w:type="dxa" w:w="90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Источник</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регуляторная песочница FCA</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2016</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Подано 629 заявок, принято 172; 2016 — дек. 2023 (27%, D)</w:t>
            </w:r>
          </w:p>
          <w:p>
            <w:pPr>
              <w:spacing w:before="0" w:after="20" w:line="245" w:lineRule="auto"/>
            </w:pPr>
            <w:r>
              <w:rPr>
                <w:rFonts w:ascii="Calibri" w:hAnsi="Calibri" w:eastAsia="Calibri"/>
                <w:color w:val="39393B"/>
                <w:sz w:val="14"/>
              </w:rPr>
              <w:t>Финансовый год 2025/26: подано 142, принято 14 (предварительные данные, май 2026); в 2025 календарном году принято 13% заявок</w:t>
            </w:r>
          </w:p>
          <w:p>
            <w:pPr>
              <w:spacing w:before="0" w:after="20" w:line="245" w:lineRule="auto"/>
            </w:pPr>
            <w:r>
              <w:rPr>
                <w:rFonts w:ascii="Calibri" w:hAnsi="Calibri" w:eastAsia="Calibri"/>
                <w:color w:val="39393B"/>
                <w:sz w:val="14"/>
              </w:rPr>
              <w:t>Ориентировочные сроки решений: проверка соответствия критериям допуска — около 2–3 недель; полная оценка — около 8–12 недель (T)</w:t>
            </w:r>
          </w:p>
          <w:p>
            <w:pPr>
              <w:spacing w:before="0" w:after="20" w:line="245" w:lineRule="auto"/>
            </w:pPr>
            <w:r>
              <w:rPr>
                <w:rFonts w:ascii="Calibri" w:hAnsi="Calibri" w:eastAsia="Calibri"/>
                <w:color w:val="39393B"/>
                <w:sz w:val="14"/>
              </w:rPr>
              <w:t>Когорта по стейблкоинам: отобраны 4 из 20 заявок (февр. 2026)</w:t>
            </w:r>
          </w:p>
          <w:p>
            <w:pPr>
              <w:spacing w:before="0" w:after="20" w:line="245" w:lineRule="auto"/>
            </w:pPr>
            <w:r>
              <w:rPr>
                <w:rFonts w:ascii="Calibri" w:hAnsi="Calibri" w:eastAsia="Calibri"/>
                <w:color w:val="39393B"/>
                <w:sz w:val="14"/>
              </w:rPr>
              <w:t>Инструменты: только освобождение от применения или изменение правил FCA; письма о неприменении мер принуждения не ограничивают ответственность перед потребителями</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 S3 S39–S41</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FCA Digital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2020 (пилоты); на постоянной основе — 2023</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Пилот 1 (окт. 2020 — февр. 2021): 28 организаций из 94 заявок; пилот 2 (нояб. 2021 — март 2022): 12 компаний из 40</w:t>
            </w:r>
          </w:p>
          <w:p>
            <w:pPr>
              <w:spacing w:before="0" w:after="20" w:line="245" w:lineRule="auto"/>
            </w:pPr>
            <w:r>
              <w:rPr>
                <w:rFonts w:ascii="Calibri" w:hAnsi="Calibri" w:eastAsia="Calibri"/>
                <w:color w:val="39393B"/>
                <w:sz w:val="14"/>
              </w:rPr>
              <w:t>На постоянной основе с 1 авг. 2023; разработчик и оператор — поставщик NayaOne; в каталоге свыше 300 наборов данных (авг. 2026)</w:t>
            </w:r>
          </w:p>
          <w:p>
            <w:pPr>
              <w:spacing w:before="0" w:after="20" w:line="245" w:lineRule="auto"/>
            </w:pPr>
            <w:r>
              <w:rPr>
                <w:rFonts w:ascii="Calibri" w:hAnsi="Calibri" w:eastAsia="Calibri"/>
                <w:color w:val="39393B"/>
                <w:sz w:val="14"/>
              </w:rPr>
              <w:t>Оценка пилота 1: 84% опрошенных указали, что пилот ускорил разработку продуктов (P)</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S4 S42</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FCA Supercharged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2025</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Инфраструктура для экспериментов с ИИ (вычислительные мощности, данные, модели) от NayaOne и NVIDIA; для когорты 2 добавлена Anthropic</w:t>
            </w:r>
          </w:p>
          <w:p>
            <w:pPr>
              <w:spacing w:before="0" w:after="20" w:line="245" w:lineRule="auto"/>
            </w:pPr>
            <w:r>
              <w:rPr>
                <w:rFonts w:ascii="Calibri" w:hAnsi="Calibri" w:eastAsia="Calibri"/>
                <w:color w:val="39393B"/>
                <w:sz w:val="14"/>
              </w:rPr>
              <w:t>Когорта 1: 23 компании из 132 заявок (окт. 2025 — янв. 2026); когорта 2: 21 организация из 199 (13 июл. — 31 дек. 2026)</w:t>
            </w:r>
          </w:p>
          <w:p>
            <w:pPr>
              <w:spacing w:before="0" w:after="20" w:line="245" w:lineRule="auto"/>
            </w:pPr>
            <w:r>
              <w:rPr>
                <w:rFonts w:ascii="Calibri" w:hAnsi="Calibri" w:eastAsia="Calibri"/>
                <w:color w:val="39393B"/>
                <w:sz w:val="14"/>
              </w:rPr>
              <w:t>Разрешение FCA не предоставляется; только качественные итоги (P)</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S43</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FCA AI Live Testing</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2025</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(пилот на ограниченный срок)</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Когорта 1: 7 компаний (названы в дек. 2025); когорта 2: 8 компаний (апр. 2026); технический партнер — Advai</w:t>
            </w:r>
          </w:p>
          <w:p>
            <w:pPr>
              <w:spacing w:before="0" w:after="20" w:line="245" w:lineRule="auto"/>
            </w:pPr>
            <w:r>
              <w:rPr>
                <w:rFonts w:ascii="Calibri" w:hAnsi="Calibri" w:eastAsia="Calibri"/>
                <w:color w:val="39393B"/>
                <w:sz w:val="14"/>
              </w:rPr>
              <w:t>Тестирование должно завершиться к концу 2026 г.; отчет об оценке ожидается в 1-м кв. 2027 г. (T); итоги не опубликованы</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S33 S44</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Digital Securities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2024</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Подзаконный акт Казначейства Великобритании (SI 2023/1398, вступил в силу 8 янв. 2024), принятый на основании Закона о финансовых услугах и рынках 2023 г.; управляют Банк Англии и FCA</w:t>
            </w:r>
          </w:p>
          <w:p>
            <w:pPr>
              <w:spacing w:before="0" w:after="20" w:line="245" w:lineRule="auto"/>
            </w:pPr>
            <w:r>
              <w:rPr>
                <w:rFonts w:ascii="Calibri" w:hAnsi="Calibri" w:eastAsia="Calibri"/>
                <w:color w:val="39393B"/>
                <w:sz w:val="14"/>
              </w:rPr>
              <w:t>Для участников, тестирующих рыночную инфраструктуру на основе распределенного реестра, изменяет отдельные нормы законодательства о финансовых рынках или исключает их применение</w:t>
            </w:r>
          </w:p>
          <w:p>
            <w:pPr>
              <w:spacing w:before="0" w:after="20" w:line="245" w:lineRule="auto"/>
            </w:pPr>
            <w:r>
              <w:rPr>
                <w:rFonts w:ascii="Calibri" w:hAnsi="Calibri" w:eastAsia="Calibri"/>
                <w:color w:val="39393B"/>
                <w:sz w:val="14"/>
              </w:rPr>
              <w:t>Число участников не подтверждено</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S45</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песочница ICO</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2019 (бета-этап)</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(без законодательной основы)</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Бета-этап: отобраны 10 из 64 заявок (июл. 2019; в обзоре нояб. 2021 — 65)</w:t>
            </w:r>
          </w:p>
          <w:p>
            <w:pPr>
              <w:spacing w:before="0" w:after="20" w:line="245" w:lineRule="auto"/>
            </w:pPr>
            <w:r>
              <w:rPr>
                <w:rFonts w:ascii="Calibri" w:hAnsi="Calibri" w:eastAsia="Calibri"/>
                <w:color w:val="39393B"/>
                <w:sz w:val="14"/>
              </w:rPr>
              <w:t>Отчет о выводах 2024 г.: 14 участников после бета-этапа; освобождения от требований закона нет; отчеты о выходе публикуются</w:t>
            </w:r>
          </w:p>
          <w:p>
            <w:pPr>
              <w:spacing w:before="0" w:after="20" w:line="245" w:lineRule="auto"/>
            </w:pPr>
            <w:r>
              <w:rPr>
                <w:rFonts w:ascii="Calibri" w:hAnsi="Calibri" w:eastAsia="Calibri"/>
                <w:color w:val="39393B"/>
                <w:sz w:val="14"/>
              </w:rPr>
              <w:t>Исследование о песочнице на законодательной основе (июл. 2026): признана осуществимой при условии принятия закона и соблюдения ряда условий (рекомендация)</w:t>
            </w:r>
          </w:p>
          <w:p>
            <w:pPr>
              <w:spacing w:before="0" w:after="20" w:line="245" w:lineRule="auto"/>
            </w:pPr>
            <w:r>
              <w:rPr>
                <w:rFonts w:ascii="Calibri" w:hAnsi="Calibri" w:eastAsia="Calibri"/>
                <w:color w:val="39393B"/>
                <w:sz w:val="14"/>
              </w:rPr>
              <w:t>С 30 сент. 2026 ICO заменено Комиссией по информации (S)</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 S46 S47</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Ofgem Energy Regulation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2017 (окно 1); непрерывный прием с 2020</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Окно 1: 30 заявок о заинтересованности, 3 песочницы, 22 — только обратная связь</w:t>
            </w:r>
          </w:p>
          <w:p>
            <w:pPr>
              <w:spacing w:before="0" w:after="20" w:line="245" w:lineRule="auto"/>
            </w:pPr>
            <w:r>
              <w:rPr>
                <w:rFonts w:ascii="Calibri" w:hAnsi="Calibri" w:eastAsia="Calibri"/>
                <w:color w:val="39393B"/>
                <w:sz w:val="14"/>
              </w:rPr>
              <w:t>Песочницы, предоставленные после 2023 г., и возможные изменения правил по их итогам не подтверждены</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S6</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Великобритания: Ofgem AI Technical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2026 (пилот)</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Объявлена</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Решение принято в июне 2026: пилот на 12 месяцев, целевой срок начала — конец осени 2026 (не подтвержден); в период пилота бесплатно</w:t>
            </w:r>
          </w:p>
          <w:p>
            <w:pPr>
              <w:spacing w:before="0" w:after="20" w:line="245" w:lineRule="auto"/>
            </w:pPr>
            <w:r>
              <w:rPr>
                <w:rFonts w:ascii="Calibri" w:hAnsi="Calibri" w:eastAsia="Calibri"/>
                <w:color w:val="39393B"/>
                <w:sz w:val="14"/>
              </w:rPr>
              <w:t>Ведущие заявители: лицензиаты, участники рынка или операторы основных услуг; требуется заключение юридического соглашения</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S48</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Сингапур: песочница MAS, Sandbox Express, Sandbox Plus</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2016; 2019; 2022</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 2016 г. принято 19 компаний; 15 успешно завершили тестирование и получили лицензию, 1 позднее прекратила деятельность (на конец сент. 2025)</w:t>
            </w:r>
          </w:p>
          <w:p>
            <w:pPr>
              <w:spacing w:before="0" w:after="20" w:line="245" w:lineRule="auto"/>
            </w:pPr>
            <w:r>
              <w:rPr>
                <w:rFonts w:ascii="Calibri" w:hAnsi="Calibri" w:eastAsia="Calibri"/>
                <w:color w:val="39393B"/>
                <w:sz w:val="14"/>
              </w:rPr>
              <w:t>Медиана — около 3 месяцев от подачи заявки до решения, включая время на ответы заявителя</w:t>
            </w:r>
          </w:p>
          <w:p>
            <w:pPr>
              <w:spacing w:before="0" w:after="20" w:line="245" w:lineRule="auto"/>
            </w:pPr>
            <w:r>
              <w:rPr>
                <w:rFonts w:ascii="Calibri" w:hAnsi="Calibri" w:eastAsia="Calibri"/>
                <w:color w:val="39393B"/>
                <w:sz w:val="14"/>
              </w:rPr>
              <w:t>Sandbox Express: целевой срок — 21 день (T); трек денежных переводов упразднен с 7 янв. 2020; данных об использовании не найдено; неясно, входят ли допущенные в него компании в число 19 (Приложение B)</w:t>
            </w:r>
          </w:p>
          <w:p>
            <w:pPr>
              <w:spacing w:before="0" w:after="20" w:line="245" w:lineRule="auto"/>
            </w:pPr>
            <w:r>
              <w:rPr>
                <w:rFonts w:ascii="Calibri" w:hAnsi="Calibri" w:eastAsia="Calibri"/>
                <w:color w:val="39393B"/>
                <w:sz w:val="14"/>
              </w:rPr>
              <w:t>Sandbox Plus: на конец сент. 2025 одобрений нет</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S7–S9</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ОАЭ: RegLab ADGM</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2016</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Допущены 32 компании (83 заявки из 20 стран), май 2017 — авг. 2019 (итог ADGM; Приложение B)</w:t>
            </w:r>
          </w:p>
          <w:p>
            <w:pPr>
              <w:spacing w:before="0" w:after="20" w:line="245" w:lineRule="auto"/>
            </w:pPr>
            <w:r>
              <w:rPr>
                <w:rFonts w:ascii="Calibri" w:hAnsi="Calibri" w:eastAsia="Calibri"/>
                <w:color w:val="39393B"/>
                <w:sz w:val="14"/>
              </w:rPr>
              <w:t>Названы участники, успешно вышедшие из песочницы и работающие на рынке: NOW Money, Pyypl; доля получивших лицензию не опубликована</w:t>
            </w:r>
          </w:p>
          <w:p>
            <w:pPr>
              <w:spacing w:before="0" w:after="20" w:line="245" w:lineRule="auto"/>
            </w:pPr>
            <w:r>
              <w:rPr>
                <w:rFonts w:ascii="Calibri" w:hAnsi="Calibri" w:eastAsia="Calibri"/>
                <w:color w:val="39393B"/>
                <w:sz w:val="14"/>
              </w:rPr>
              <w:t>Более поздние итоговые данные не найдены</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S13 S49</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ОАЭ: лицензия DFSA на тестирование инноваций (ITL)</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2017</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Подано 105 заявок, принято 51, успешно завершили тестирование 3 (июн. 2021); подано 130, принято 67 (июл. 2022), далее — непрерывный прием заявок</w:t>
            </w:r>
          </w:p>
          <w:p>
            <w:pPr>
              <w:spacing w:before="0" w:after="20" w:line="245" w:lineRule="auto"/>
            </w:pPr>
            <w:r>
              <w:rPr>
                <w:rFonts w:ascii="Calibri" w:hAnsi="Calibri" w:eastAsia="Calibri"/>
                <w:color w:val="39393B"/>
                <w:sz w:val="14"/>
              </w:rPr>
              <w:t>Первый успешный выход: Sarwa (нояб. 2018)</w:t>
            </w:r>
          </w:p>
          <w:p>
            <w:pPr>
              <w:spacing w:before="0" w:after="20" w:line="245" w:lineRule="auto"/>
            </w:pPr>
            <w:r>
              <w:rPr>
                <w:rFonts w:ascii="Calibri" w:hAnsi="Calibri" w:eastAsia="Calibri"/>
                <w:color w:val="39393B"/>
                <w:sz w:val="14"/>
              </w:rPr>
              <w:t>Решения обычно принимаются через 10–12 недель после подачи полной заявки (ориентировочно, T; руководство, май 2025)</w:t>
            </w:r>
          </w:p>
          <w:p>
            <w:pPr>
              <w:spacing w:before="0" w:after="20" w:line="245" w:lineRule="auto"/>
            </w:pPr>
            <w:r>
              <w:rPr>
                <w:rFonts w:ascii="Calibri" w:hAnsi="Calibri" w:eastAsia="Calibri"/>
                <w:color w:val="39393B"/>
                <w:sz w:val="14"/>
              </w:rPr>
              <w:t>Более поздние официальные итоговые данные не найдены</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S14 S50</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ОАЭ: песочница DFSA для токенизации</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2025</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(набор 2025 г.)</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Тематический набор в рамках режима ITL: 96 заявок о заинтересованности</w:t>
            </w:r>
          </w:p>
          <w:p>
            <w:pPr>
              <w:spacing w:before="0" w:after="20" w:line="245" w:lineRule="auto"/>
            </w:pPr>
            <w:r>
              <w:rPr>
                <w:rFonts w:ascii="Calibri" w:hAnsi="Calibri" w:eastAsia="Calibri"/>
                <w:color w:val="39393B"/>
                <w:sz w:val="14"/>
              </w:rPr>
              <w:t>Отобранные компании переходят к тестированию в реальных условиях по лицензии ITL либо сразу к получению полного разрешения</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S50</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Регуляторная песочница TradeTech (WEF и ОАЭ)</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2024</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(доклад WEF, окт. 2025)</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8 стартапов; WEF упоминает четыре регулятора ОАЭ, но в доступных источниках они не названы (P; Приложение B)</w:t>
            </w:r>
          </w:p>
          <w:p>
            <w:pPr>
              <w:spacing w:before="0" w:after="20" w:line="245" w:lineRule="auto"/>
            </w:pPr>
            <w:r>
              <w:rPr>
                <w:rFonts w:ascii="Calibri" w:hAnsi="Calibri" w:eastAsia="Calibri"/>
                <w:color w:val="39393B"/>
                <w:sz w:val="14"/>
              </w:rPr>
              <w:t>Платформа предоставлена NayaOne (по данным поставщика, P)</w:t>
            </w:r>
          </w:p>
          <w:p>
            <w:pPr>
              <w:spacing w:before="0" w:after="20" w:line="245" w:lineRule="auto"/>
            </w:pPr>
            <w:r>
              <w:rPr>
                <w:rFonts w:ascii="Calibri" w:hAnsi="Calibri" w:eastAsia="Calibri"/>
                <w:color w:val="39393B"/>
                <w:sz w:val="14"/>
              </w:rPr>
              <w:t>Итоги по отдельным участникам не найдены</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S10 S11 S32</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Трансграничное тестирование GFIN</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2018–20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(отчет о пилоте, янв. 2020)</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Пилот: 44 заявки, адресованные 17 регуляторам; отобрано 8; к дате отчета ни одна компания не приступила к тестированию</w:t>
            </w:r>
          </w:p>
          <w:p>
            <w:pPr>
              <w:spacing w:before="0" w:after="20" w:line="245" w:lineRule="auto"/>
            </w:pPr>
            <w:r>
              <w:rPr>
                <w:rFonts w:ascii="Calibri" w:hAnsi="Calibri" w:eastAsia="Calibri"/>
                <w:color w:val="39393B"/>
                <w:sz w:val="14"/>
              </w:rPr>
              <w:t>Последующие когорты тестирования: итоги не подтверждены</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S15</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Европейская блокчейн-песочница</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2023</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 (2023–2026)</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Когорта 1: 87 заявок, 20 сценариев использования, более 50 регуляторов и органов власти</w:t>
            </w:r>
          </w:p>
          <w:p>
            <w:pPr>
              <w:spacing w:before="0" w:after="20" w:line="245" w:lineRule="auto"/>
            </w:pPr>
            <w:r>
              <w:rPr>
                <w:rFonts w:ascii="Calibri" w:hAnsi="Calibri" w:eastAsia="Calibri"/>
                <w:color w:val="39393B"/>
                <w:sz w:val="14"/>
              </w:rPr>
              <w:t>Итоговый отчет о лучших практиках (11 февр. 2026): 60 сценариев использования в трех когортах</w:t>
            </w:r>
          </w:p>
          <w:p>
            <w:pPr>
              <w:spacing w:before="0" w:after="20" w:line="245" w:lineRule="auto"/>
            </w:pPr>
            <w:r>
              <w:rPr>
                <w:rFonts w:ascii="Calibri" w:hAnsi="Calibri" w:eastAsia="Calibri"/>
                <w:color w:val="39393B"/>
                <w:sz w:val="14"/>
              </w:rPr>
              <w:t>Необязывающий диалог; освобождений от требований закона нет; показатели итогов не найдены</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S17</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Песочницы по Закону ЕС об ИИ (ст. 57–59)</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Закон 2024 г.</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Каждое государство — член ЕС обязано иметь не менее одной национальной регуляторной песочницы для ИИ; срок перенесен со 2 авг. 2026 на 2 авг. 2027, согласно комментариям юристов (S; Приложение B)</w:t>
            </w:r>
          </w:p>
          <w:p>
            <w:pPr>
              <w:spacing w:before="0" w:after="20" w:line="245" w:lineRule="auto"/>
            </w:pPr>
            <w:r>
              <w:rPr>
                <w:rFonts w:ascii="Calibri" w:hAnsi="Calibri" w:eastAsia="Calibri"/>
                <w:color w:val="39393B"/>
                <w:sz w:val="14"/>
              </w:rPr>
              <w:t>По запросу: письменное подтверждение проведенной деятельности и отчет о выходе из песочницы, которые органы надзора за рынком и нотифицированные органы учитывают как положительный фактор; без презумпции соответствия (ст. 57(7))</w:t>
            </w:r>
          </w:p>
          <w:p>
            <w:pPr>
              <w:spacing w:before="0" w:after="20" w:line="245" w:lineRule="auto"/>
            </w:pPr>
            <w:r>
              <w:rPr>
                <w:rFonts w:ascii="Calibri" w:hAnsi="Calibri" w:eastAsia="Calibri"/>
                <w:color w:val="39393B"/>
                <w:sz w:val="14"/>
              </w:rPr>
              <w:t>Принятый акт о реализации по ст. 58 к окт. 2026 не найден</w:t>
            </w:r>
          </w:p>
          <w:p>
            <w:pPr>
              <w:spacing w:before="0" w:after="20" w:line="245" w:lineRule="auto"/>
            </w:pPr>
            <w:r>
              <w:rPr>
                <w:rFonts w:ascii="Calibri" w:hAnsi="Calibri" w:eastAsia="Calibri"/>
                <w:color w:val="39393B"/>
                <w:sz w:val="14"/>
              </w:rPr>
              <w:t>Трекер (авг. 2025): действующая песочница для ИИ была только в Испании (S)</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S18</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Испания: пилотная регуляторная песочница для ИИ</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2023 (Королевский декрет 817/2023)</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 (пилот завершен 12 июн. 2026)</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Тестирование завершили 11 систем ИИ (официальный пресс-релиз); 12 отобраны в 2025 г., по данным вторичных источников (S; Приложение B)</w:t>
            </w:r>
          </w:p>
          <w:p>
            <w:pPr>
              <w:spacing w:before="0" w:after="20" w:line="245" w:lineRule="auto"/>
            </w:pPr>
            <w:r>
              <w:rPr>
                <w:rFonts w:ascii="Calibri" w:hAnsi="Calibri" w:eastAsia="Calibri"/>
                <w:color w:val="39393B"/>
                <w:sz w:val="14"/>
              </w:rPr>
              <w:t>Результаты: руководства по соблюдению Закона ЕС об ИИ и отчет об итогах (сент. 2026); влияние на издержки соблюдения требований и сроки выхода на рынок не измерено</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S19</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Япония: межотраслевая песочница</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2018</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 (бессрочно с 2021)</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Более 30 проектов одобрено к 2024 г. (МВФ); 33 одобренных плана с участием 152 организаций к марту 2025 г. (Офис Кабинета министров, по опубликованным данным)</w:t>
            </w:r>
          </w:p>
          <w:p>
            <w:pPr>
              <w:spacing w:before="0" w:after="20" w:line="245" w:lineRule="auto"/>
            </w:pPr>
            <w:r>
              <w:rPr>
                <w:rFonts w:ascii="Calibri" w:hAnsi="Calibri" w:eastAsia="Calibri"/>
                <w:color w:val="39393B"/>
                <w:sz w:val="14"/>
              </w:rPr>
              <w:t>Система устранения «серых зон» (с янв. 2014): компетентное министерство, по общему правилу, отвечает примерно в течение одного месяца; ответы публикуются</w:t>
            </w:r>
          </w:p>
          <w:p>
            <w:pPr>
              <w:spacing w:before="0" w:after="20" w:line="245" w:lineRule="auto"/>
            </w:pPr>
            <w:r>
              <w:rPr>
                <w:rFonts w:ascii="Calibri" w:hAnsi="Calibri" w:eastAsia="Calibri"/>
                <w:color w:val="39393B"/>
                <w:sz w:val="14"/>
              </w:rPr>
              <w:t>Опубликованных сводных данных о последовавших реформах не найдено</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S20</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Гонконг: надзорная песочница HKMA для финтеха (FSS) и GenAI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2016; 2024</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FSS: к концу 2021 г. протестировано около 234 технологических инициатив (испытания, а не компании)</w:t>
            </w:r>
          </w:p>
          <w:p>
            <w:pPr>
              <w:spacing w:before="0" w:after="20" w:line="245" w:lineRule="auto"/>
            </w:pPr>
            <w:r>
              <w:rPr>
                <w:rFonts w:ascii="Calibri" w:hAnsi="Calibri" w:eastAsia="Calibri"/>
                <w:color w:val="39393B"/>
                <w:sz w:val="14"/>
              </w:rPr>
              <w:t>GenAI Sandbox: 15 сценариев использования (дек. 2024), 27 (окт. 2025); когорта 1 Sandbox++: 36 сценариев от 30 организаций (авг. 2026; более широкий охват)</w:t>
            </w:r>
          </w:p>
          <w:p>
            <w:pPr>
              <w:spacing w:before="0" w:after="20" w:line="245" w:lineRule="auto"/>
            </w:pPr>
            <w:r>
              <w:rPr>
                <w:rFonts w:ascii="Calibri" w:hAnsi="Calibri" w:eastAsia="Calibri"/>
                <w:color w:val="39393B"/>
                <w:sz w:val="14"/>
              </w:rPr>
              <w:t>Данные о приеме заявок; итоги не опубликованы</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S21</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Саудовская Аравия: песочница SAMA</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2018</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Допущено 42, успешно завершили тестирование 15 (сент. 2022); допущено 45, успешно завершили 18 (май 2023)</w:t>
            </w:r>
          </w:p>
          <w:p>
            <w:pPr>
              <w:spacing w:before="0" w:after="20" w:line="245" w:lineRule="auto"/>
            </w:pPr>
            <w:r>
              <w:rPr>
                <w:rFonts w:ascii="Calibri" w:hAnsi="Calibri" w:eastAsia="Calibri"/>
                <w:color w:val="39393B"/>
                <w:sz w:val="14"/>
              </w:rPr>
              <w:t>Нарастающий итог с учетом компаний, еще проходящих тестирование, а не доля завершивших; более поздних данных об успешных выходах не найдено (Приложение B)</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S22</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Южная Корея: финансовая регуляторная песочница</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2019</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К марту 2024 г. более 300 услуг признаны инновационными финансовыми услугами (цифра из прессы не используется: данные расходятся, Приложение B)</w:t>
            </w:r>
          </w:p>
          <w:p>
            <w:pPr>
              <w:spacing w:before="0" w:after="20" w:line="245" w:lineRule="auto"/>
            </w:pPr>
            <w:r>
              <w:rPr>
                <w:rFonts w:ascii="Calibri" w:hAnsi="Calibri" w:eastAsia="Calibri"/>
                <w:color w:val="39393B"/>
                <w:sz w:val="14"/>
              </w:rPr>
              <w:t>FSC заявляет о 2 220 рабочих местах и 6,03 трлн вон инвестиций (март 2024; период и метод атрибуции не изучались; без контрфактического анализа)</w:t>
            </w:r>
          </w:p>
          <w:p>
            <w:pPr>
              <w:spacing w:before="0" w:after="20" w:line="245" w:lineRule="auto"/>
            </w:pPr>
            <w:r>
              <w:rPr>
                <w:rFonts w:ascii="Calibri" w:hAnsi="Calibri" w:eastAsia="Calibri"/>
                <w:color w:val="39393B"/>
                <w:sz w:val="14"/>
              </w:rPr>
              <w:t>Решения по заявкам — в срок до 120 дней (S)</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S23</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Южная Корея: песочница для ИКТ-конвергенции</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2019</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Число заявок за два года сократилось со 110 до 67 (S; пресса, ок. авг. 2026)</w:t>
            </w:r>
          </w:p>
          <w:p>
            <w:pPr>
              <w:spacing w:before="0" w:after="20" w:line="245" w:lineRule="auto"/>
            </w:pPr>
            <w:r>
              <w:rPr>
                <w:rFonts w:ascii="Calibri" w:hAnsi="Calibri" w:eastAsia="Calibri"/>
                <w:color w:val="39393B"/>
                <w:sz w:val="14"/>
              </w:rPr>
              <w:t>Корейский режим в целом, по опубликованным данным, распределен между шестью министерствами и восемью отраслями; 30-дневный срок часто не соблюдается (S)</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S23</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Южная Корея: все треки песочницы</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2019</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Премьер-министр: 860 одобренных заявок и более 10,5 трлн вон инвестиций (февр. 2023; S, по данным The Korea Times)</w:t>
            </w:r>
          </w:p>
          <w:p>
            <w:pPr>
              <w:spacing w:before="0" w:after="20" w:line="245" w:lineRule="auto"/>
            </w:pPr>
            <w:r>
              <w:rPr>
                <w:rFonts w:ascii="Calibri" w:hAnsi="Calibri" w:eastAsia="Calibri"/>
                <w:color w:val="39393B"/>
                <w:sz w:val="14"/>
              </w:rPr>
              <w:t>Исследование по заказу ICO: к 2025 г. одобрено 1 752 проекта, по 373 из них улучшено регулирование (S; корейский источник не проверен)</w:t>
            </w:r>
          </w:p>
          <w:p>
            <w:pPr>
              <w:spacing w:before="0" w:after="20" w:line="245" w:lineRule="auto"/>
            </w:pPr>
            <w:r>
              <w:rPr>
                <w:rFonts w:ascii="Calibri" w:hAnsi="Calibri" w:eastAsia="Calibri"/>
                <w:color w:val="39393B"/>
                <w:sz w:val="14"/>
              </w:rPr>
              <w:t>Официальные заявления без контрфактического анализа; охват различается, поэтому цифры не суммируются с данными FSC</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S56 S46</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Австралия: расширенная регуляторная песочница ASIC</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С 2020 г.: 103 заявки, принято 19 (около 18%); из 16 вышедших из песочницы компаний 12 прекратили деятельность, 1 позднее получила лицензию (S; изложение обзора в прессе; дата среза данных неизвестна)</w:t>
            </w:r>
          </w:p>
          <w:p>
            <w:pPr>
              <w:spacing w:before="0" w:after="20" w:line="245" w:lineRule="auto"/>
            </w:pPr>
            <w:r>
              <w:rPr>
                <w:rFonts w:ascii="Calibri" w:hAnsi="Calibri" w:eastAsia="Calibri"/>
                <w:color w:val="39393B"/>
                <w:sz w:val="14"/>
              </w:rPr>
              <w:t>Тестирование — до 24 месяцев</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S24</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Канада: регуляторная песочница CSA и OSC LaunchPad</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2017</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Запуск в февр. 2017 с источником не сверен; OSC LaunchPad — точка входа в провинции Онтарио</w:t>
            </w:r>
          </w:p>
          <w:p>
            <w:pPr>
              <w:spacing w:before="0" w:after="20" w:line="245" w:lineRule="auto"/>
            </w:pPr>
            <w:r>
              <w:rPr>
                <w:rFonts w:ascii="Calibri" w:hAnsi="Calibri" w:eastAsia="Calibri"/>
                <w:color w:val="39393B"/>
                <w:sz w:val="14"/>
              </w:rPr>
              <w:t>Число участников, освобождений от требований и успешных выходов не подтверждено</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Бахрейн: песочница CBB</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2017</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Первый участник, завершивший этап песочницы: Tarabut Gateway (ок. дек. 2018)</w:t>
            </w:r>
          </w:p>
          <w:p>
            <w:pPr>
              <w:spacing w:before="0" w:after="20" w:line="245" w:lineRule="auto"/>
            </w:pPr>
            <w:r>
              <w:rPr>
                <w:rFonts w:ascii="Calibri" w:hAnsi="Calibri" w:eastAsia="Calibri"/>
                <w:color w:val="39393B"/>
                <w:sz w:val="14"/>
              </w:rPr>
              <w:t>Итоговые данные о допуске и успешных выходах не подтверждены</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S25</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Катар: песочница QCB</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Первая когорта по модели «купи сейчас — плати потом»: одобрено 5 компаний (апр. 2024; государственное информагентство)</w:t>
            </w:r>
          </w:p>
          <w:p>
            <w:pPr>
              <w:spacing w:before="0" w:after="20" w:line="245" w:lineRule="auto"/>
            </w:pPr>
            <w:r>
              <w:rPr>
                <w:rFonts w:ascii="Calibri" w:hAnsi="Calibri" w:eastAsia="Calibri"/>
                <w:color w:val="39393B"/>
                <w:sz w:val="14"/>
              </w:rPr>
              <w:t>Названия компаний, итоги и данные по QFC не подтверждены</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S35</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Казахстан: FinTech Lab МФЦА</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Не подтверждено</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Действует</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Обзор регулятора (2022): по его словам, первый участник FinTech Lab, перешедший на полную лицензию</w:t>
            </w:r>
          </w:p>
          <w:p>
            <w:pPr>
              <w:spacing w:before="0" w:after="20" w:line="245" w:lineRule="auto"/>
            </w:pPr>
            <w:r>
              <w:rPr>
                <w:rFonts w:ascii="Calibri" w:hAnsi="Calibri" w:eastAsia="Calibri"/>
                <w:color w:val="39393B"/>
                <w:sz w:val="14"/>
              </w:rPr>
              <w:t>Данные нарастающим итогом не найдены</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S36</w:t>
            </w:r>
          </w:p>
        </w:tc>
      </w:tr>
    </w:tbl>
    <w:p>
      <w:pPr>
        <w:spacing w:before="0" w:after="40" w:line="144" w:lineRule="auto"/>
      </w:pPr>
    </w:p>
    <w:p>
      <w:pPr>
        <w:pStyle w:val="Heading3"/>
      </w:pPr>
      <w:r>
        <w:rPr>
          <w:rFonts w:ascii="Calibri" w:hAnsi="Calibri" w:eastAsia="Calibri"/>
        </w:rPr>
        <w:t>Справочные документы ЕС и международных организаций</w:t>
      </w:r>
    </w:p>
    <w:tbl>
      <w:tblPr>
        <w:tblW w:w="9639" w:type="dxa"/>
        <w:jc w:val="center"/>
        <w:tblLayout w:type="fixed"/>
        <w:tblLook w:firstColumn="1" w:firstRow="1" w:lastColumn="0" w:lastRow="0" w:noHBand="0" w:noVBand="1" w:val="04A0"/>
      </w:tblPr>
      <w:tblGrid>
        <w:gridCol w:w="2608"/>
        <w:gridCol w:w="907"/>
        <w:gridCol w:w="5216"/>
        <w:gridCol w:w="907"/>
      </w:tblGrid>
      <w:tr>
        <w:trPr>
          <w:cantSplit/>
          <w:tblHeader/>
        </w:trPr>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Документ</w:t>
            </w:r>
          </w:p>
        </w:tc>
        <w:tc>
          <w:tcPr>
            <w:tcW w:type="dxa" w:w="90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Дата</w:t>
            </w:r>
          </w:p>
        </w:tc>
        <w:tc>
          <w:tcPr>
            <w:tcW w:type="dxa" w:w="5216"/>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Что сообщается</w:t>
            </w:r>
          </w:p>
        </w:tc>
        <w:tc>
          <w:tcPr>
            <w:tcW w:type="dxa" w:w="90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Источник</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Европейская комиссия, предложение о Рекомендации Совета ЕС об общих принципах регуляторных песочниц, COM(2026) 568</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9 сент. 2026</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Предложение (не принято); направлено делегациям Совета ЕС 10 сент. 2026</w:t>
            </w:r>
          </w:p>
          <w:p>
            <w:pPr>
              <w:spacing w:before="0" w:after="20" w:line="245" w:lineRule="auto"/>
            </w:pPr>
            <w:r>
              <w:rPr>
                <w:rFonts w:ascii="Calibri" w:hAnsi="Calibri" w:eastAsia="Calibri"/>
                <w:color w:val="39393B"/>
                <w:sz w:val="14"/>
              </w:rPr>
              <w:t>По данным кратких обзоров (до цитирования текст подлежит проверке): песочницы — инструмент регуляторного обучения, а не дерегулирования; факторы успеха в государствах-членах: политическая поддержка, открытая коммуникация, достаточные ресурсы, гибкие, но четко определенные рамки</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S51</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Европейская комиссия (Генеральный директорат по исследованиям и инновациям), Use of regulatory sandboxes in EU Member States: 2025 survey report</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2026</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57 ответов из 25 государств-членов: 132 действующие и закрытые песочницы всех типов в 15 государствах-членах, около 76% — в Германии и Франции; ведущая отрасль — транспорт и мобильность</w:t>
            </w:r>
          </w:p>
          <w:p>
            <w:pPr>
              <w:spacing w:before="0" w:after="20" w:line="245" w:lineRule="auto"/>
            </w:pPr>
            <w:r>
              <w:rPr>
                <w:rFonts w:ascii="Calibri" w:hAnsi="Calibri" w:eastAsia="Calibri"/>
                <w:color w:val="39393B"/>
                <w:sz w:val="14"/>
              </w:rPr>
              <w:t>Лишь четыре государства-члена сообщают о наличии центрального органа, курирующего всю деятельность песочниц</w:t>
            </w:r>
          </w:p>
          <w:p>
            <w:pPr>
              <w:spacing w:before="0" w:after="20" w:line="245" w:lineRule="auto"/>
            </w:pPr>
            <w:r>
              <w:rPr>
                <w:rFonts w:ascii="Calibri" w:hAnsi="Calibri" w:eastAsia="Calibri"/>
                <w:color w:val="39393B"/>
                <w:sz w:val="14"/>
              </w:rPr>
              <w:t>Показатели активности, а не итоги</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S52</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Европейские надзорные органы (EBA, EIOPA и ESMA), совместный отчет о механизмах содействия инновациям</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дек. 2023</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41 инновационный хаб и 14 регуляторных песочниц органов финансового надзора в Европейском экономическом пространстве; песочницы есть в 11 государствах — членах ЕС и еще одной стране, большинство запущено в 2020–2021 гг.</w:t>
            </w:r>
          </w:p>
          <w:p>
            <w:pPr>
              <w:spacing w:before="0" w:after="20" w:line="245" w:lineRule="auto"/>
            </w:pPr>
            <w:r>
              <w:rPr>
                <w:rFonts w:ascii="Calibri" w:hAnsi="Calibri" w:eastAsia="Calibri"/>
                <w:color w:val="39393B"/>
                <w:sz w:val="14"/>
              </w:rPr>
              <w:t>Хабы, не требующие изменения законодательства, встречаются значительно чаще песочниц</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S53</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ОЭСР, инструментарий по регуляторным песочницам</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июл. 2025</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Методические рекомендации для Хорватии в рамках Инструмента технической поддержки ЕС: этапы создания, выявление и снижение рисков, варианты выхода, правовые основания для экспериментов</w:t>
            </w:r>
          </w:p>
          <w:p>
            <w:pPr>
              <w:spacing w:before="0" w:after="20" w:line="245" w:lineRule="auto"/>
            </w:pPr>
            <w:r>
              <w:rPr>
                <w:rFonts w:ascii="Calibri" w:hAnsi="Calibri" w:eastAsia="Calibri"/>
                <w:color w:val="39393B"/>
                <w:sz w:val="14"/>
              </w:rPr>
              <w:t>Не доказывает эффекта</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S54</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МВФ, FinTech Note 2023/004</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июн. 2023</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Песочницы ресурсоемки и охватывают относительно немного компаний</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S55</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Всемирный банк, мировой опыт регуляторных песочниц (Fintech Note No. 8)</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нояб. 2020</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73 финтех-песочницы в 57 юрисдикциях; около 56% созданы в 2018–2019 гг.</w:t>
            </w:r>
          </w:p>
          <w:p>
            <w:pPr>
              <w:spacing w:before="0" w:after="20" w:line="245" w:lineRule="auto"/>
            </w:pPr>
            <w:r>
              <w:rPr>
                <w:rFonts w:ascii="Calibri" w:hAnsi="Calibri" w:eastAsia="Calibri"/>
                <w:color w:val="39393B"/>
                <w:sz w:val="14"/>
              </w:rPr>
              <w:t>Единственный набор данных давностью около шести лет; более нового официального глобального подсчета не найдено</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S16</w:t>
            </w:r>
          </w:p>
        </w:tc>
      </w:tr>
    </w:tbl>
    <w:p>
      <w:pPr>
        <w:spacing w:before="0" w:after="40" w:line="144" w:lineRule="auto"/>
      </w:pPr>
    </w:p>
    <w:p>
      <w:pPr>
        <w:pStyle w:val="Heading3"/>
      </w:pPr>
      <w:r>
        <w:rPr>
          <w:rFonts w:ascii="Calibri" w:hAnsi="Calibri" w:eastAsia="Calibri"/>
        </w:rPr>
        <w:t>Узбекистан: закон о Центре и национальные режимы</w:t>
      </w:r>
    </w:p>
    <w:tbl>
      <w:tblPr>
        <w:tblW w:w="9639" w:type="dxa"/>
        <w:jc w:val="center"/>
        <w:tblLayout w:type="fixed"/>
        <w:tblLook w:firstColumn="1" w:firstRow="1" w:lastColumn="0" w:lastRow="0" w:noHBand="0" w:noVBand="1" w:val="04A0"/>
      </w:tblPr>
      <w:tblGrid>
        <w:gridCol w:w="1587"/>
        <w:gridCol w:w="1701"/>
        <w:gridCol w:w="1247"/>
        <w:gridCol w:w="4195"/>
        <w:gridCol w:w="907"/>
      </w:tblGrid>
      <w:tr>
        <w:trPr>
          <w:cantSplit/>
          <w:tblHeader/>
        </w:trPr>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Режим</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Правовой акт и дата</w:t>
            </w:r>
          </w:p>
        </w:tc>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Статус</w:t>
            </w:r>
          </w:p>
        </w:tc>
        <w:tc>
          <w:tcPr>
            <w:tcW w:type="dxa" w:w="419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Содержание по опубликованным данным (названия, выдержки или пресса; тексты еще не изучены)</w:t>
            </w:r>
          </w:p>
        </w:tc>
        <w:tc>
          <w:tcPr>
            <w:tcW w:type="dxa" w:w="90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Источник</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Песочница Центра (EUz)</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ЗРУ-1169 от 19 авг. 2026 (запись в lex.uz); пресса называет его конституционным законом</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 по опубликованным данным, вступает в силу 21 янв. 2027 (одно издание)</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Может вводиться (согласно одной из выдержек — Администрацией Центра) на срок до 12 месяцев, если Управляющий совет не установит иной срок; временное освобождение от отдельных требований законодательства</w:t>
            </w:r>
          </w:p>
          <w:p>
            <w:pPr>
              <w:spacing w:before="0" w:after="20" w:line="245" w:lineRule="auto"/>
            </w:pPr>
            <w:r>
              <w:rPr>
                <w:rFonts w:ascii="Calibri" w:hAnsi="Calibri" w:eastAsia="Calibri"/>
                <w:color w:val="39393B"/>
                <w:sz w:val="14"/>
              </w:rPr>
              <w:t>По сообщению лишь одного издания: упрощенный доступ к лицензированию; доступ к инфраструктуре Центра</w:t>
            </w:r>
          </w:p>
          <w:p>
            <w:pPr>
              <w:spacing w:before="0" w:after="20" w:line="245" w:lineRule="auto"/>
            </w:pPr>
            <w:r>
              <w:rPr>
                <w:rFonts w:ascii="Calibri" w:hAnsi="Calibri" w:eastAsia="Calibri"/>
                <w:color w:val="39393B"/>
                <w:sz w:val="14"/>
              </w:rPr>
              <w:t>На 20 окт. 2026 ни решений Совета, ни подзаконных актов о песочнице не опубликовано</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S27 S57</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Специальный правовой режим Центрального банка в сфере финансовых услуг («Регуляторная песочница»)</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Закон «О Центральном банке Республики Узбекистан», ст. 67-1; Положение 2022 г. (в юридической прессе цитируется как рег. № 3391 от 4 окт. 2022)</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 сообщается о проекте обновления</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Тестирование — до 3 лет (по обзору юридической фирмы)</w:t>
            </w:r>
          </w:p>
          <w:p>
            <w:pPr>
              <w:spacing w:before="0" w:after="20" w:line="245" w:lineRule="auto"/>
            </w:pPr>
            <w:r>
              <w:rPr>
                <w:rFonts w:ascii="Calibri" w:hAnsi="Calibri" w:eastAsia="Calibri"/>
                <w:color w:val="39393B"/>
                <w:sz w:val="14"/>
              </w:rPr>
              <w:t>Проект обновления с тремя треками (инновации; акселерация; технологическое партнерство): дата и текущий статус не проверялись</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S29</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«Регуляторная песочница» NAPP в сфере рынка капитала</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Положение, рег. № 3493 от 29 янв. 2024 (с изменениями от 3 апр. 2026)</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 опубликованным данным, NAPP — регулятор рынка капитала с 2023 г. (ПП-291 от 2 сент. 2023)</w:t>
            </w:r>
          </w:p>
          <w:p>
            <w:pPr>
              <w:spacing w:before="0" w:after="20" w:line="245" w:lineRule="auto"/>
            </w:pPr>
            <w:r>
              <w:rPr>
                <w:rFonts w:ascii="Calibri" w:hAnsi="Calibri" w:eastAsia="Calibri"/>
                <w:color w:val="39393B"/>
                <w:sz w:val="14"/>
              </w:rPr>
              <w:t>Добавлены пять компаний в рамках механизма выпуска облигаций в иностранной валюте (заголовок в прессе, июн. 2026)</w:t>
            </w:r>
          </w:p>
          <w:p>
            <w:pPr>
              <w:spacing w:before="0" w:after="20" w:line="245" w:lineRule="auto"/>
            </w:pPr>
            <w:r>
              <w:rPr>
                <w:rFonts w:ascii="Calibri" w:hAnsi="Calibri" w:eastAsia="Calibri"/>
                <w:color w:val="39393B"/>
                <w:sz w:val="14"/>
              </w:rPr>
              <w:t>Также положение 2022 г. о специальном режиме в сфере оборота криптоактивов (рег. № 3409; статус не проверялся)</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S60 S30</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Инвестиционные платформы в режиме песочницы</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Постановление Президента ПП-255 от 21 авг. 2025</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 сообщается, что срок истек 1 окт. 2026</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Разрешены с 1 окт. 2025 по 1 окт. 2026; правовое положение после этой даты не подтверждено</w:t>
            </w:r>
          </w:p>
          <w:p>
            <w:pPr>
              <w:spacing w:before="0" w:after="20" w:line="245" w:lineRule="auto"/>
            </w:pPr>
            <w:r>
              <w:rPr>
                <w:rFonts w:ascii="Calibri" w:hAnsi="Calibri" w:eastAsia="Calibri"/>
                <w:color w:val="39393B"/>
                <w:sz w:val="14"/>
              </w:rPr>
              <w:t>ПП-255 не создавало песочницу рынка капитала</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S30</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Стабильные токены как средство платежа</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Постановление Президента ПП-359 от 27 нояб. 2025</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Специальный правовой режим (по названию акта)</w:t>
            </w:r>
          </w:p>
          <w:p>
            <w:pPr>
              <w:spacing w:before="0" w:after="20" w:line="245" w:lineRule="auto"/>
            </w:pPr>
            <w:r>
              <w:rPr>
                <w:rFonts w:ascii="Calibri" w:hAnsi="Calibri" w:eastAsia="Calibri"/>
                <w:color w:val="39393B"/>
                <w:sz w:val="14"/>
              </w:rPr>
              <w:t>Пресса: с 1 янв. 2026 режим администрирует NAPP совместно с Центральным банком (по тексту акта не подтверждено)</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S29</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Межотраслевой режим «Регуляторная песочница»</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Указ Президента УП-244 от 9 нояб. 2022</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 текущий статус не проверялся</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Тестирование по соглашениям между компетентным уполномоченным органом и инициатором, сроком до 3 лет на проект</w:t>
            </w:r>
          </w:p>
          <w:p>
            <w:pPr>
              <w:spacing w:before="0" w:after="20" w:line="245" w:lineRule="auto"/>
            </w:pPr>
            <w:r>
              <w:rPr>
                <w:rFonts w:ascii="Calibri" w:hAnsi="Calibri" w:eastAsia="Calibri"/>
                <w:color w:val="39393B"/>
                <w:sz w:val="14"/>
              </w:rPr>
              <w:t>Kun.uz (29 нояб. 2023): утвержден порядок введения режима (номер и содержание акта не подтверждены)</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S58 S37</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Специальный режим поддержки технологий ИИ</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Постановление № 717 от 29 нояб. 2021 (принято, вероятно, Кабинетом Министров)</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 текущий статус не проверялся</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Положение о введении и функционировании режима (только название)</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S61</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Правовые эксперименты</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Закон ЗРУ-1127 от 27 марта 2026 «О правовом эксперименте» (по опубликованным данным, вступил в силу 29 июн. 2026)</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На основе закона</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По сводкам прессы: государственный «уполномоченный орган» апробирует нормативно-правовой акт на ограниченной территории или для ограниченного круга лиц сроком от 6 месяцев до 3 лет; реестр Министерства юстиции; отчет о результатах — в течение 30 рабочих дней</w:t>
            </w:r>
          </w:p>
          <w:p>
            <w:pPr>
              <w:spacing w:before="0" w:after="20" w:line="245" w:lineRule="auto"/>
            </w:pPr>
            <w:r>
              <w:rPr>
                <w:rFonts w:ascii="Calibri" w:hAnsi="Calibri" w:eastAsia="Calibri"/>
                <w:color w:val="39393B"/>
                <w:sz w:val="14"/>
              </w:rPr>
              <w:t>Наш вывод (A): государственный инструмент апробации норм, а не режим допуска отдельных компаний; связь с EUz не установлена</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S59 S38</w:t>
            </w:r>
          </w:p>
        </w:tc>
      </w:tr>
    </w:tbl>
    <w:p>
      <w:pPr>
        <w:spacing w:before="0" w:after="40" w:line="144" w:lineRule="auto"/>
      </w:pPr>
    </w:p>
    <w:p>
      <w:pPr>
        <w:spacing w:before="40" w:after="160" w:line="240" w:lineRule="auto"/>
      </w:pPr>
      <w:r>
        <w:rPr>
          <w:rFonts w:ascii="Calibri" w:hAnsi="Calibri" w:eastAsia="Calibri"/>
          <w:color w:val="6B6E70"/>
          <w:sz w:val="15"/>
        </w:rPr>
        <w:t>Правила перенаправления: раздел 5.1 (в первую очередь Центральный банк и NAPP). Вопросы юрисконсультам по этим режимам: Приложение D, шаг 1.</w:t>
      </w:r>
    </w:p>
    <w:p>
      <w:pPr>
        <w:pStyle w:val="Heading1"/>
        <w:pBdr>
          <w:bottom w:val="single" w:sz="12" w:space="3" w:color="009162"/>
        </w:pBdr>
      </w:pPr>
      <w:r>
        <w:rPr>
          <w:rFonts w:ascii="Calibri" w:hAnsi="Calibri" w:eastAsia="Calibri"/>
        </w:rPr>
        <w:t>Приложение B. Неустраненные расхождения и неподтвержденные данные</w:t>
      </w:r>
    </w:p>
    <w:p>
      <w:pPr>
        <w:spacing w:before="0" w:after="80" w:line="259" w:lineRule="auto"/>
      </w:pPr>
      <w:r>
        <w:rPr>
          <w:rFonts w:ascii="Calibri" w:hAnsi="Calibri" w:eastAsia="Calibri"/>
          <w:sz w:val="18"/>
        </w:rPr>
        <w:t>Позиции, по которым источники расходятся (расхождение не устранено) или надежная цифра не найдена (не подтверждено), и порядок учета каждой из них в настоящем отчете.</w:t>
      </w:r>
    </w:p>
    <w:tbl>
      <w:tblPr>
        <w:tblW w:w="9639" w:type="dxa"/>
        <w:jc w:val="center"/>
        <w:tblLayout w:type="fixed"/>
        <w:tblLook w:firstColumn="1" w:firstRow="1" w:lastColumn="0" w:lastRow="0" w:noHBand="0" w:noVBand="1" w:val="04A0"/>
      </w:tblPr>
      <w:tblGrid>
        <w:gridCol w:w="2041"/>
        <w:gridCol w:w="5103"/>
        <w:gridCol w:w="2494"/>
      </w:tblGrid>
      <w:tr>
        <w:trPr>
          <w:cantSplit/>
          <w:tblHeader/>
        </w:trPr>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Позиция</w:t>
            </w:r>
          </w:p>
        </w:tc>
        <w:tc>
          <w:tcPr>
            <w:tcW w:type="dxa" w:w="510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Расхождение или пробел</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Порядок учета</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Принятые FCA компании, когорты 1–2</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Отчет 2017 г.: 146 заявок, принято 50, протестировано 41. Объявления FCA о когортах и таблица из ответа на запрос FOI (май 2026): принято 24 + 31 = 55. FCA не устранило расхождение между этими данными</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Расхождение не устранено; приведены обе цифры; наиболее надежная цифра — 41 протестированная компания [S1][S3]</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MAS: принято 19</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Ответ (окт. 2025): неясно, входят ли в число 19 участники, допущенные по Sandbox Express. В научной статье 2025 г. приводятся более высокие цифры (свыше 70 заявок, свыше 40 проектов, 2016–2022 гг.), основа подсчета неясна</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Цифра 19 приводится с этой оговоркой; данные научной статьи не используются [S7]</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Общий итог RegLab ADGM</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Объявленные когорты в сумме дают 30 компаний; собственный итог ADGM на авг. 2019 — 32</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Цифра 32 приводится как собственные данные ADGM [S13][S49]</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Показатели DFSA ITL</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Данные на июн. 2021 о тестировании в реальных условиях, выходах и предварительных одобрениях: отраслевая пресса. Число заявителей 41 и 82 (в более ранних обзорах): без даты или не согласуется с годовым отчетом DFSA за 2020 г. Обзор юридической фирмы 2026 г.: свыше 200 заявителей, свыше 80 принято, без даты и ссылки на источник DFSA</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Используются собственные данные DFSA; данные отраслевой прессы на июн. 2021 приводятся как сообщения прессы (S); цифры 41, 82 и данные юридической фирмы не используются [S14]</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Показатели SAMA</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Показатели SAMA нарастающим итогом (допущено 45, успешно завершили тестирование 18; май 2023) по характеру отличаются от данных прессы на сент. 2025 (Finance Middle East: 25 компаний проходят тестирование; 68 лицензированных поставщиков финтех-услуг)</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Сохранены цифры 18 из 45 по состоянию на май 2023; данные прессы не используются как обновление [S22]</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Регуляторы TradeTech</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WEF (окт. 2025) упоминает четыре регулятора ОАЭ, не названных в доступных источниках; по сообщениям, доклад WEF 2026 г. связывает с песочницей пять органов ОАЭ</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Число приводится по данным WEF (P); регуляторы не называются, пока WEF их не подтвердит [S11]</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Испанская песочница для ИИ</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Цифры из Приложения A (11 завершивших — официальный пресс-релиз; 12 отобранных в 2025 г. — вторичные источники) относятся к разным этапам; расхождение не объяснено</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Приводятся обе с пометками [S19]</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Корея: присвоение статуса</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Статус присвоен более чем 300 услугам (FSC, март 2024) против 1 072 присвоенных статусов (пресса, июн. 2026; источник не зафиксирован; охват не определен)</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Цифра FSC используется; 1 072 — нет [S23]</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Корея: инвестиции и рабочие места</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Цифры FSC (март 2024) и Премьер-министра (февр. 2023) в Приложении A: официальные заявления с разным охватом; период и метод атрибуции не изучались; без контрфактического анализа</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 ключевые выводы не выносятся; не суммируются [S23][S56]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Сроки по Закону ЕС об ИИ</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 данным юридических комментариев, Регламент (ЕС) 2026/1744 (опубликован 24 июл. 2026, вступил в силу 27 июл. 2026) переносит срок создания национальных песочниц на 2 авг. 2027; с Официальным журналом ЕС не сверено</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По данным юридических комментариев (S); сверка с EUR-Lex: Приложение D, шаг 4 [S18]</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Законы на основе MLETR</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Отраслевая пресса: Бахрейн, Сингапур и ADGM приняли законы на основе MLETR; со страницей статуса на сайте UNCITRAL не сверено. Позиция Узбекистана не установлена</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Только по опубликованным данным (S); принятие законов не подтверждено [S34]; вопрос по Узбекистану: Иллюстрация 21a</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ЗРУ-1169: даты и статус</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lex.uz: ЗРУ-1169 от 19 авг. 2026; UzDaily: подписан 16 авг. Одобрение Сенатом: 8 авг. (Gazeta.uz) или 7 авг. (Kursiv). Вступление в силу 21 янв. 2027: по данным одного издания, пояснение которого о «шести месяцах» не согласуется с подписанием 19 авг.; не исключена путаница с ЗРУ-1158 (13 июл. 2026) в поисковых выдержках. «Конституционный» статус: только пресса</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Используются номер и дата по lex.uz; вступление в силу — по данным прессы, подлежит проверке (Приложение D, шаг 1) [S27][S57]</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Состав Управляющего совета</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Председателя Центрального банка и директора NAPP называет только поисковая сводка по Приложению 1 к УП-233; в сохраненных выдержках на узбекском языке указаны лишь председатель, Премьер-министр, заместитель Премьер-министра — министр экономики и финансов, а также секретарь</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 опубликованным данным; подлежит сверке с приложением и составом, утвержденным (при наличии) в соответствии с ЗРУ-1169 [S28]</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Реквизиты акта о режиме ЦБ</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Юридическая пресса ссылается на Положение № 3391 от 4 окт. 2022; 3391 — вероятно, регистрационный номер Министерства юстиции; в выдержке из lex.uz указано постановление Правления Центрального банка № 19/14 от 30 авг. 2022</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Приводится как Положение 2022 г., «цитируемое юридической прессой как № 3391» [S29]</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Налоги и подсудность</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Ставка НДФЛ в сообщениях указана и как 7%, и как 7,5%. Суды: на этапе указа (дек. 2025) сообщалось об отдельном суде с юрисдикцией по выбору сторон; в публикациях о ЗРУ-1169 (три издания) назван Ташкентский международный коммерческий суд</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Не используются в продвижении до подтверждения [S27]</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Исключенные данные (источник не прослеживается)</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Корея (песочница ИКТ-конвергенции, 2019 г.): 278 заявок, 195 одобрений (вероятно, общий итог по всем ведомствам). Бахрейн: около 35 допущенных, 2 успешно завершивших тестирование (сообщения 2019 г.). Япония: пример реформы, приписываемый проекту Panasonic (норма закона не подтверждена). Закон «О правовом эксперименте»: запрет ограничения конституционных прав (выдержка не зафиксирована)</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 отчете не используются</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Не подтверждено (надежная цифра не найдена)</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Пробелы по отдельным программам, помеченные в Приложении A как «не подтверждено» или «не найдено», а также нарастающий итог ICO, данные HKMA FSS после 2021 г. и результаты GRIP (на 20 окт. 2026 не найдены; объявленный двухлетний срок еще не истек)</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Помечены как «Не подтверждено»</w:t>
            </w:r>
          </w:p>
        </w:tc>
      </w:tr>
    </w:tbl>
    <w:p>
      <w:pPr>
        <w:spacing w:before="0" w:after="40" w:line="144" w:lineRule="auto"/>
      </w:pPr>
    </w:p>
    <w:p>
      <w:pPr>
        <w:pStyle w:val="Heading1"/>
        <w:pBdr>
          <w:bottom w:val="single" w:sz="12" w:space="3" w:color="009162"/>
        </w:pBdr>
      </w:pPr>
      <w:r>
        <w:rPr>
          <w:rFonts w:ascii="Calibri" w:hAnsi="Calibri" w:eastAsia="Calibri"/>
        </w:rPr>
        <w:t>Приложение C. Правовые акты и статус их проверки</w:t>
      </w:r>
    </w:p>
    <w:tbl>
      <w:tblPr>
        <w:tblW w:w="9639" w:type="dxa"/>
        <w:jc w:val="center"/>
        <w:tblLayout w:type="fixed"/>
        <w:tblLook w:firstColumn="1" w:firstRow="1" w:lastColumn="0" w:lastRow="0" w:noHBand="0" w:noVBand="1" w:val="04A0"/>
      </w:tblPr>
      <w:tblGrid>
        <w:gridCol w:w="2835"/>
        <w:gridCol w:w="4195"/>
        <w:gridCol w:w="2608"/>
      </w:tblGrid>
      <w:tr>
        <w:trPr>
          <w:cantSplit/>
          <w:tblHeader/>
        </w:trPr>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Акт</w:t>
            </w:r>
          </w:p>
        </w:tc>
        <w:tc>
          <w:tcPr>
            <w:tcW w:type="dxa" w:w="419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Что сообщается</w:t>
            </w:r>
          </w:p>
        </w:tc>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Статус в рамках исследования</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Указ Президента УП-233 от 26 нояб. 2025 «Об организации деятельности Международного центра цифровых технологий» (с приложением 1)</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Организована деятельность Центра, созданного Указом УП-25 от 1 февр. 2024 [S28]</w:t>
            </w:r>
          </w:p>
          <w:p>
            <w:pPr>
              <w:spacing w:before="0" w:after="20" w:line="245" w:lineRule="auto"/>
            </w:pPr>
            <w:r>
              <w:rPr>
                <w:rFonts w:ascii="Calibri" w:hAnsi="Calibri" w:eastAsia="Calibri"/>
                <w:color w:val="39393B"/>
                <w:sz w:val="15"/>
              </w:rPr>
              <w:t>Пресса: отдельная юрисдикция со специальным правовым режимом на основе общего права Англии и Уэльса или стандартов ведущих международных финансовых центров [S27]</w:t>
            </w:r>
          </w:p>
          <w:p>
            <w:pPr>
              <w:spacing w:before="0" w:after="20" w:line="245" w:lineRule="auto"/>
            </w:pPr>
            <w:r>
              <w:rPr>
                <w:rFonts w:ascii="Calibri" w:hAnsi="Calibri" w:eastAsia="Calibri"/>
                <w:color w:val="39393B"/>
                <w:sz w:val="15"/>
              </w:rPr>
              <w:t>Приложение 1 (состав Управляющего совета): только поисковая сводка (Приложение B) [S28]</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Запись в lex.uz (название, номер, дата); </w:t>
            </w:r>
            <w:r>
              <w:rPr>
                <w:rFonts w:ascii="Calibri" w:hAnsi="Calibri" w:eastAsia="Calibri"/>
                <w:b/>
                <w:color w:val="39393B"/>
                <w:sz w:val="15"/>
              </w:rPr>
              <w:t>текст еще не изучен</w:t>
            </w:r>
          </w:p>
          <w:p>
            <w:pPr>
              <w:spacing w:before="0" w:after="20" w:line="245" w:lineRule="auto"/>
            </w:pPr>
            <w:r>
              <w:rPr>
                <w:rFonts w:ascii="Calibri" w:hAnsi="Calibri" w:eastAsia="Calibri"/>
                <w:color w:val="39393B"/>
                <w:sz w:val="15"/>
              </w:rPr>
              <w:t>Предположительно, действующая правовая основа до вступления в силу ЗРУ-1169 (требует подтверждения юрисконсультов)</w:t>
            </w:r>
          </w:p>
        </w:tc>
      </w:tr>
      <w:tr>
        <w:trPr>
          <w:cantSplit/>
        </w:trPr>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Закон ЗРУ-1169 от 19 авг. 2026 «О Международном центре цифровых технологий» (узб.: ЎРҚ-1169); пресса называет его конституционным законом</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Принят в начале авг. 2026 после того, как Сенат в июле вернул прежнюю редакцию; подписан 19 авг. 2026 [S27][S57]</w:t>
            </w:r>
          </w:p>
          <w:p>
            <w:pPr>
              <w:spacing w:before="0" w:after="20" w:line="245" w:lineRule="auto"/>
            </w:pPr>
            <w:r>
              <w:rPr>
                <w:rFonts w:ascii="Calibri" w:hAnsi="Calibri" w:eastAsia="Calibri"/>
                <w:color w:val="39393B"/>
                <w:sz w:val="15"/>
              </w:rPr>
              <w:t>Вступление в силу 21 янв. 2027 (одно издание); специальный правовой режим до 2100 г. (несколько изданий) [S27]</w:t>
            </w:r>
          </w:p>
          <w:p>
            <w:pPr>
              <w:spacing w:before="0" w:after="20" w:line="245" w:lineRule="auto"/>
            </w:pPr>
            <w:r>
              <w:rPr>
                <w:rFonts w:ascii="Calibri" w:hAnsi="Calibri" w:eastAsia="Calibri"/>
                <w:color w:val="39393B"/>
                <w:sz w:val="15"/>
              </w:rPr>
              <w:t>Песочница: может вводиться на срок до 12 месяцев, если Совет не установит иной срок (подробнее: Приложение A) [S27]</w:t>
            </w:r>
          </w:p>
          <w:p>
            <w:pPr>
              <w:spacing w:before="0" w:after="20" w:line="245" w:lineRule="auto"/>
            </w:pPr>
            <w:r>
              <w:rPr>
                <w:rFonts w:ascii="Calibri" w:hAnsi="Calibri" w:eastAsia="Calibri"/>
                <w:color w:val="39393B"/>
                <w:sz w:val="15"/>
              </w:rPr>
              <w:t>Управляющий совет возглавляет Президент, который утверждает его состав; исполнительные функции — у Администрации Центра; споры участников рассматривает Ташкентский международный коммерческий суд [S27][S57]</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Запись в lex.uz (номер, дата); </w:t>
            </w:r>
            <w:r>
              <w:rPr>
                <w:rFonts w:ascii="Calibri" w:hAnsi="Calibri" w:eastAsia="Calibri"/>
                <w:b/>
                <w:color w:val="39393B"/>
                <w:sz w:val="15"/>
              </w:rPr>
              <w:t>текст еще не изучен</w:t>
            </w:r>
          </w:p>
          <w:p>
            <w:pPr>
              <w:spacing w:before="0" w:after="20" w:line="245" w:lineRule="auto"/>
            </w:pPr>
            <w:r>
              <w:rPr>
                <w:rFonts w:ascii="Calibri" w:hAnsi="Calibri" w:eastAsia="Calibri"/>
                <w:color w:val="39393B"/>
                <w:sz w:val="15"/>
              </w:rPr>
              <w:t>Не определено: обязательный или дискреционный характер режима песочницы; роль Администрации Центра в нем</w:t>
            </w:r>
          </w:p>
          <w:p>
            <w:pPr>
              <w:spacing w:before="0" w:after="20" w:line="245" w:lineRule="auto"/>
            </w:pPr>
            <w:r>
              <w:rPr>
                <w:rFonts w:ascii="Calibri" w:hAnsi="Calibri" w:eastAsia="Calibri"/>
                <w:color w:val="39393B"/>
                <w:sz w:val="15"/>
              </w:rPr>
              <w:t>Расхождения в датах: Приложение B</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Подзаконные акты во исполнение ЗРУ-1169 (решения Совета и регламенты)</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Порядок регистрации, лицензирования, налогового администрирования и работы песочницы еще разрабатывается (пресса, авг.–сент. 2026) [S27]</w:t>
            </w:r>
          </w:p>
          <w:p>
            <w:pPr>
              <w:spacing w:before="0" w:after="20" w:line="245" w:lineRule="auto"/>
            </w:pPr>
            <w:r>
              <w:rPr>
                <w:rFonts w:ascii="Calibri" w:hAnsi="Calibri" w:eastAsia="Calibri"/>
                <w:color w:val="39393B"/>
                <w:sz w:val="15"/>
              </w:rPr>
              <w:t>В рабочих материалах EUz указаны Регламент деятельности (Operating Regulations) и Регламент о компаниях от 31 авг. 2026, а также ряд проектов правил (W) [S31]</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На 20 окт. 2026 в открытых источниках принятых актов не найдено; решений по песочнице в материалах нет; главный юрисконсульт должен подтвердить орган, принявший акты от 31 авг. 2026, и их статус</w:t>
            </w:r>
          </w:p>
        </w:tc>
      </w:tr>
      <w:tr>
        <w:trPr>
          <w:cantSplit/>
        </w:trPr>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Рабочие материалы EUz (карта статей Регистратора)</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Карта статей: ст. 15–17 — Совет; 22–23 — резиденты; 39–43 — песочница; 66–70 — услуги; 74–75 — ИИ; 78–79 — меры принуждения (W) [S31]</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Проект внутреннего документа (W); номера статей не сверены с текстом закона</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Закон ЗРУ-1158 о Ташкентском международном финансовом центре (13 июл. 2026)</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Отдельный закон о другом центре</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За рамками настоящего отчета</w:t>
            </w:r>
          </w:p>
        </w:tc>
      </w:tr>
      <w:tr>
        <w:trPr>
          <w:cantSplit/>
        </w:trPr>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Закон «О Центральном банке Республики Узбекистан», ст. 67-1; Положение ЦБ 2022 г.</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«Регуляторная песочница» в сфере финансовых услуг (подробнее: Приложение A) [S29]</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Выдержки из поисковой выдачи и обзор юридической фирмы; реквизиты не подтверждены (Приложение B); </w:t>
            </w:r>
            <w:r>
              <w:rPr>
                <w:rFonts w:ascii="Calibri" w:hAnsi="Calibri" w:eastAsia="Calibri"/>
                <w:b/>
                <w:color w:val="39393B"/>
                <w:sz w:val="15"/>
              </w:rPr>
              <w:t>текст еще не изучен</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Положения NAPP рег. № 3493 (29 янв. 2024; с изм. от 3 апр. 2026) и рег. № 3409 (30 дек. 2022); Постановление Президента ПП-291 (2 сент. 2023)</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«Регуляторная песочница» в сфере рынка капитала; специальный режим для криптоактивов; NAPP, по опубликованным данным, — регулятор рынка капитала с 2023 г. [S60]</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Только названия; </w:t>
            </w:r>
            <w:r>
              <w:rPr>
                <w:rFonts w:ascii="Calibri" w:hAnsi="Calibri" w:eastAsia="Calibri"/>
                <w:b/>
                <w:color w:val="39393B"/>
                <w:sz w:val="15"/>
              </w:rPr>
              <w:t>тексты еще не изучены</w:t>
            </w:r>
            <w:r>
              <w:rPr>
                <w:rFonts w:ascii="Calibri" w:hAnsi="Calibri" w:eastAsia="Calibri"/>
                <w:color w:val="39393B"/>
                <w:sz w:val="15"/>
              </w:rPr>
              <w:t>; статус № 3409 не проверялся</w:t>
            </w:r>
          </w:p>
        </w:tc>
      </w:tr>
      <w:tr>
        <w:trPr>
          <w:cantSplit/>
        </w:trPr>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Постановления Президента ПП-255 (21 авг. 2025) и ПП-359 (27 нояб. 2025)</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ПП-255: инвестиционные платформы в режиме песочницы с 1 окт. 2025 по 1 окт. 2026 [S30]</w:t>
            </w:r>
          </w:p>
          <w:p>
            <w:pPr>
              <w:spacing w:before="0" w:after="20" w:line="245" w:lineRule="auto"/>
            </w:pPr>
            <w:r>
              <w:rPr>
                <w:rFonts w:ascii="Calibri" w:hAnsi="Calibri" w:eastAsia="Calibri"/>
                <w:color w:val="39393B"/>
                <w:sz w:val="15"/>
              </w:rPr>
              <w:t>ПП-359: специальный правовой режим для стабильных токенов как средства платежа [S29]</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Названия и выдержки; </w:t>
            </w:r>
            <w:r>
              <w:rPr>
                <w:rFonts w:ascii="Calibri" w:hAnsi="Calibri" w:eastAsia="Calibri"/>
                <w:b/>
                <w:color w:val="39393B"/>
                <w:sz w:val="15"/>
              </w:rPr>
              <w:t>тексты еще не изучены</w:t>
            </w:r>
            <w:r>
              <w:rPr>
                <w:rFonts w:ascii="Calibri" w:hAnsi="Calibri" w:eastAsia="Calibri"/>
                <w:color w:val="39393B"/>
                <w:sz w:val="15"/>
              </w:rPr>
              <w:t>; правовое положение после 1 окт. 2026 не подтверждено; начало действия режима ПП-359 и его администрирование — по данным прессы</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Указ Президента УП-244 (9 нояб. 2022) и порядок от нояб. 2023</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Межотраслевой режим «Регуляторная песочница» (подробнее: Приложение A) [S58][S37]</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УП-244: название и краткое содержание на lex.uz; текущий статус не проверялся</w:t>
            </w:r>
          </w:p>
          <w:p>
            <w:pPr>
              <w:spacing w:before="0" w:after="20" w:line="245" w:lineRule="auto"/>
            </w:pPr>
            <w:r>
              <w:rPr>
                <w:rFonts w:ascii="Calibri" w:hAnsi="Calibri" w:eastAsia="Calibri"/>
                <w:color w:val="39393B"/>
                <w:sz w:val="15"/>
              </w:rPr>
              <w:t>Акт от нояб. 2023: номер, издавший орган и содержание не подтверждены</w:t>
            </w:r>
          </w:p>
        </w:tc>
      </w:tr>
      <w:tr>
        <w:trPr>
          <w:cantSplit/>
        </w:trPr>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Постановление № 717 (29 нояб. 2021)</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Специальный режим поддержки технологий ИИ (подробнее: Приложение A) [S61]</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Только название; издавший орган — вероятно, Кабинет Министров; текущий статус не проверялся</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Закон ЗРУ-1127 от 27 марта 2026 «О правовом эксперименте»</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Государственная апробация нормативно-правовых актов: от 6 месяцев до 3 лет (подробнее: Приложение A) [S59][S38]</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Паспорт акта на lex.uz (номер, дата); действует с 29 июн. 2026 (по одной официальной записи); положения — по данным прессы; </w:t>
            </w:r>
            <w:r>
              <w:rPr>
                <w:rFonts w:ascii="Calibri" w:hAnsi="Calibri" w:eastAsia="Calibri"/>
                <w:b/>
                <w:color w:val="39393B"/>
                <w:sz w:val="15"/>
              </w:rPr>
              <w:t>текст еще не изучен</w:t>
            </w:r>
            <w:r>
              <w:rPr>
                <w:rFonts w:ascii="Calibri" w:hAnsi="Calibri" w:eastAsia="Calibri"/>
                <w:color w:val="39393B"/>
                <w:sz w:val="15"/>
              </w:rPr>
              <w:t>; связь с EUz не установлена</w:t>
            </w:r>
          </w:p>
        </w:tc>
      </w:tr>
    </w:tbl>
    <w:p>
      <w:pPr>
        <w:spacing w:before="0" w:after="40" w:line="144" w:lineRule="auto"/>
      </w:pPr>
    </w:p>
    <w:p>
      <w:pPr>
        <w:spacing w:before="0" w:after="80" w:line="259" w:lineRule="auto"/>
      </w:pPr>
      <w:r>
        <w:rPr>
          <w:rFonts w:ascii="Calibri" w:hAnsi="Calibri" w:eastAsia="Calibri"/>
          <w:sz w:val="18"/>
        </w:rPr>
        <w:t xml:space="preserve">Юридически подтвержденные полномочия EUz: </w:t>
      </w:r>
      <w:r>
        <w:rPr>
          <w:rFonts w:ascii="Calibri" w:hAnsi="Calibri" w:eastAsia="Calibri"/>
          <w:b/>
          <w:sz w:val="18"/>
        </w:rPr>
        <w:t>в ходе исследования не подтверждено ни одного.</w:t>
      </w:r>
      <w:r>
        <w:rPr>
          <w:rFonts w:ascii="Calibri" w:hAnsi="Calibri" w:eastAsia="Calibri"/>
          <w:sz w:val="18"/>
        </w:rPr>
        <w:t xml:space="preserve"> Полномочия, требующие подзаконных актов (по опубликованным данным): регистрация, лицензирование, процедуры песочницы. Деятельность, требующая одобрения национального регулятора (рабочие материалы EUz, W): тестирование финансовых продуктов. Механизмы, для которых могут потребоваться поправки в законодательство: тестирование в рамках Трансграничного трека; Трек прототипирования регулирования в части, выходящей за рамки собственных правил EUz.</w:t>
      </w:r>
    </w:p>
    <w:p>
      <w:pPr>
        <w:spacing w:before="40" w:after="160" w:line="240" w:lineRule="auto"/>
      </w:pPr>
      <w:r>
        <w:rPr>
          <w:rFonts w:ascii="Calibri" w:hAnsi="Calibri" w:eastAsia="Calibri"/>
          <w:color w:val="6B6E70"/>
          <w:sz w:val="15"/>
        </w:rPr>
        <w:t>В английской редакции названия актов даны в переводе; официальные английские названия могут отличаться. «Governing Council» — рабочий перевод названий «Бошқарув кенгаши» (узб.) и «Управляющий совет» (рус.), а не официальный перевод.</w:t>
      </w:r>
    </w:p>
    <w:p>
      <w:pPr>
        <w:pStyle w:val="Heading1"/>
        <w:pBdr>
          <w:bottom w:val="single" w:sz="12" w:space="3" w:color="009162"/>
        </w:pBdr>
      </w:pPr>
      <w:r>
        <w:rPr>
          <w:rFonts w:ascii="Calibri" w:hAnsi="Calibri" w:eastAsia="Calibri"/>
        </w:rPr>
        <w:t>Приложение D. План верификации перед внешней публикацией</w:t>
      </w:r>
    </w:p>
    <w:p>
      <w:pPr>
        <w:spacing w:before="0" w:after="80" w:line="259" w:lineRule="auto"/>
      </w:pPr>
      <w:r>
        <w:rPr>
          <w:rFonts w:ascii="Calibri" w:hAnsi="Calibri" w:eastAsia="Calibri"/>
          <w:sz w:val="18"/>
        </w:rPr>
        <w:t>Шаги 1–3 должны быть завершены до того, как Председатель одобрит публикацию английской редакции отчета (Решение D11). Пока цифра не сверена с полным текстом первоисточника (шаг 2), она приводится с пометкой «по опубликованным данным», а не «подтверждено».</w:t>
      </w:r>
    </w:p>
    <w:tbl>
      <w:tblPr>
        <w:tblW w:w="9639" w:type="dxa"/>
        <w:jc w:val="center"/>
        <w:tblLayout w:type="fixed"/>
        <w:tblLook w:firstColumn="1" w:firstRow="1" w:lastColumn="0" w:lastRow="0" w:noHBand="0" w:noVBand="1" w:val="04A0"/>
      </w:tblPr>
      <w:tblGrid>
        <w:gridCol w:w="680"/>
        <w:gridCol w:w="6463"/>
        <w:gridCol w:w="2494"/>
      </w:tblGrid>
      <w:tr>
        <w:trPr>
          <w:cantSplit/>
          <w:tblHeader/>
        </w:trPr>
        <w:tc>
          <w:tcPr>
            <w:tcW w:type="dxa" w:w="68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5"/>
              </w:rPr>
              <w:t>Шаг</w:t>
            </w:r>
          </w:p>
        </w:tc>
        <w:tc>
          <w:tcPr>
            <w:tcW w:type="dxa" w:w="6463"/>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Что проверить</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Требуется до</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1</w:t>
            </w:r>
          </w:p>
        </w:tc>
        <w:tc>
          <w:tcPr>
            <w:tcW w:type="dxa" w:w="646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Официальные тексты.</w:t>
            </w:r>
            <w:r>
              <w:rPr>
                <w:rFonts w:ascii="Calibri" w:hAnsi="Calibri" w:eastAsia="Calibri"/>
                <w:color w:val="39393B"/>
                <w:sz w:val="15"/>
              </w:rPr>
              <w:t xml:space="preserve"> Изучить Указ УП-233 (с Приложением 1), ЗРУ-1169 и национальные режимы, перечисленные в Приложении C; обновить раздел 5.6 (Иллюстрация 13) и Приложение C.</w:t>
            </w:r>
          </w:p>
          <w:p>
            <w:pPr>
              <w:spacing w:before="0" w:after="20" w:line="245" w:lineRule="auto"/>
            </w:pPr>
            <w:r>
              <w:rPr>
                <w:rFonts w:ascii="Calibri" w:hAnsi="Calibri" w:eastAsia="Calibri"/>
                <w:b/>
                <w:color w:val="39393B"/>
                <w:sz w:val="15"/>
              </w:rPr>
              <w:t>ЗРУ-1169.</w:t>
            </w:r>
            <w:r>
              <w:rPr>
                <w:rFonts w:ascii="Calibri" w:hAnsi="Calibri" w:eastAsia="Calibri"/>
                <w:color w:val="39393B"/>
                <w:sz w:val="15"/>
              </w:rPr>
              <w:t xml:space="preserve"> Подтвердить дату вступления в силу (21 янв. 2027, по данным одного издания); положения о песочнице (ст. 39–43 согласно рабочим материалам), срок 12 месяцев, обязательный или дискреционный характер режима; какой орган закон называет «Правлением»; полномочия Совета по делегированию; роль Администрации Центра и Регистратора; возможность судебного обжалования.</w:t>
            </w:r>
          </w:p>
          <w:p>
            <w:pPr>
              <w:spacing w:before="0" w:after="20" w:line="245" w:lineRule="auto"/>
            </w:pPr>
            <w:r>
              <w:rPr>
                <w:rFonts w:ascii="Calibri" w:hAnsi="Calibri" w:eastAsia="Calibri"/>
                <w:b/>
                <w:color w:val="39393B"/>
                <w:sz w:val="15"/>
              </w:rPr>
              <w:t>Совет.</w:t>
            </w:r>
            <w:r>
              <w:rPr>
                <w:rFonts w:ascii="Calibri" w:hAnsi="Calibri" w:eastAsia="Calibri"/>
                <w:color w:val="39393B"/>
                <w:sz w:val="15"/>
              </w:rPr>
              <w:t xml:space="preserve"> Подтвердить состав Управляющего совета (Приложение 1 к УП-233; возможное утверждение согласно ЗРУ-1169), а также то, какие акты Совета (операционная модель, делегирование, назначения в Комитет, Правила песочницы), принятые до вступления закона в силу, действительны и на каком основании.</w:t>
            </w:r>
          </w:p>
          <w:p>
            <w:pPr>
              <w:spacing w:before="0" w:after="20" w:line="245" w:lineRule="auto"/>
            </w:pPr>
            <w:r>
              <w:rPr>
                <w:rFonts w:ascii="Calibri" w:hAnsi="Calibri" w:eastAsia="Calibri"/>
                <w:b/>
                <w:color w:val="39393B"/>
                <w:sz w:val="15"/>
              </w:rPr>
              <w:t>Национальные режимы.</w:t>
            </w:r>
            <w:r>
              <w:rPr>
                <w:rFonts w:ascii="Calibri" w:hAnsi="Calibri" w:eastAsia="Calibri"/>
                <w:color w:val="39393B"/>
                <w:sz w:val="15"/>
              </w:rPr>
              <w:t xml:space="preserve"> Установить, как тестирование в EUz соотносится с ЗРУ-1127 (Закон «О правовом эксперименте»), в том числе подлежит ли оно внесению в Единый реестр правовых экспериментов; применяются ли к резидентам EUz режим УП-244 и специальный режим для ИИ (№ 717); как распределяются полномочия в отношении тестирования финансовых продуктов между Центром, Центральным банком и NAPP; а также какие правила действуют для инвестиционных платформ после того, как 1 окт. 2026 истек срок, установленный ПП-255.</w:t>
            </w:r>
          </w:p>
          <w:p>
            <w:pPr>
              <w:spacing w:before="0" w:after="20" w:line="245" w:lineRule="auto"/>
            </w:pPr>
            <w:r>
              <w:rPr>
                <w:rFonts w:ascii="Calibri" w:hAnsi="Calibri" w:eastAsia="Calibri"/>
                <w:b/>
                <w:color w:val="39393B"/>
                <w:sz w:val="15"/>
              </w:rPr>
              <w:t>Пилоты.</w:t>
            </w:r>
            <w:r>
              <w:rPr>
                <w:rFonts w:ascii="Calibri" w:hAnsi="Calibri" w:eastAsia="Calibri"/>
                <w:color w:val="39393B"/>
                <w:sz w:val="15"/>
              </w:rPr>
              <w:t xml:space="preserve"> Ответить на вопросы по пилотам из Иллюстрации 21a.</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Разработка любого положения Правил песочницы (меры 1–2, День 20 и День 25; Решение D4a); внешняя публикация (Решение D11)</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2</w:t>
            </w:r>
          </w:p>
        </w:tc>
        <w:tc>
          <w:tcPr>
            <w:tcW w:type="dxa" w:w="646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Первоисточники цифр.</w:t>
            </w:r>
            <w:r>
              <w:rPr>
                <w:rFonts w:ascii="Calibri" w:hAnsi="Calibri" w:eastAsia="Calibri"/>
                <w:color w:val="39393B"/>
                <w:sz w:val="15"/>
              </w:rPr>
              <w:t xml:space="preserve"> Сверить каждую цифру в Иллюстрациях 1–3 и карточках кейсов с полным текстом первоисточника, начиная с ответа MAS [S7], затем — отчет FCA, ответ на запрос FOI и Innovation Insights [S1][S3][S40]; BIS Working Paper 901 [S2]; отчет GFIN [S15]; Ofgem, окно 1 [S6]; пресс-релизы ADGM и DFSA [S49][S14][S50]; пресс-релизы HKMA [S21]; доклад WEF [S11].</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Внешняя публикация (Решение D11); любое внешнее цитирование цифр</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3</w:t>
            </w:r>
          </w:p>
        </w:tc>
        <w:tc>
          <w:tcPr>
            <w:tcW w:type="dxa" w:w="646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Неустраненные расхождения.</w:t>
            </w:r>
            <w:r>
              <w:rPr>
                <w:rFonts w:ascii="Calibri" w:hAnsi="Calibri" w:eastAsia="Calibri"/>
                <w:color w:val="39393B"/>
                <w:sz w:val="15"/>
              </w:rPr>
              <w:t xml:space="preserve"> Устранить расхождения по позициям Приложения B, в том числе сверить данные о законах на основе MLETR со страницей статуса на сайте UNCITRAL; если расхождение сохраняется, исключить цифру из внешних материалов.</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Внешняя публикация (Решение D11)</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4</w:t>
            </w:r>
          </w:p>
        </w:tc>
        <w:tc>
          <w:tcPr>
            <w:tcW w:type="dxa" w:w="646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Право ЕС.</w:t>
            </w:r>
            <w:r>
              <w:rPr>
                <w:rFonts w:ascii="Calibri" w:hAnsi="Calibri" w:eastAsia="Calibri"/>
                <w:color w:val="39393B"/>
                <w:sz w:val="15"/>
              </w:rPr>
              <w:t xml:space="preserve"> Проверить по EUR-Lex и Официальному журналу ЕС номер и даты «омнибуса по ИИ» (Регламент (ЕС) 2026/1744) и акта о реализации по ст. 58 Закона ЕС об ИИ, регулирующего работу песочниц, а также нумерацию пунктов ст. 57 с учетом изменений; изучить COM(2026) 568 до его цитирования.</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Использование дат или норм права ЕС в Правилах песочницы или внешних материалах</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5</w:t>
            </w:r>
          </w:p>
        </w:tc>
        <w:tc>
          <w:tcPr>
            <w:tcW w:type="dxa" w:w="646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WEF.</w:t>
            </w:r>
            <w:r>
              <w:rPr>
                <w:rFonts w:ascii="Calibri" w:hAnsi="Calibri" w:eastAsia="Calibri"/>
                <w:color w:val="39393B"/>
                <w:sz w:val="15"/>
              </w:rPr>
              <w:t xml:space="preserve"> Получить в письменном виде условия GRIP, модель оплаты (если есть) и статус результатов GRIP; запросить итоги TradeTech по каждому участнику и названия участвующих регуляторов (Иллюстрация 19a, W4 и W5).</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Перечень основных условий D8 (День 75)</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6</w:t>
            </w:r>
          </w:p>
        </w:tc>
        <w:tc>
          <w:tcPr>
            <w:tcW w:type="dxa" w:w="646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Спрос.</w:t>
            </w:r>
            <w:r>
              <w:rPr>
                <w:rFonts w:ascii="Calibri" w:hAnsi="Calibri" w:eastAsia="Calibri"/>
                <w:color w:val="39393B"/>
                <w:sz w:val="15"/>
              </w:rPr>
              <w:t xml:space="preserve"> Завершить проверку спроса (мера 10).</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Отбор пилотов (Решение D6, День 75); любое использование ценностного предложения из раздела 5.4 в продвижении</w:t>
            </w:r>
          </w:p>
        </w:tc>
      </w:tr>
    </w:tbl>
    <w:p>
      <w:pPr>
        <w:spacing w:before="0" w:after="40" w:line="144" w:lineRule="auto"/>
      </w:pPr>
    </w:p>
    <w:p>
      <w:pPr>
        <w:pStyle w:val="Heading1"/>
        <w:pageBreakBefore/>
        <w:pBdr>
          <w:bottom w:val="single" w:sz="12" w:space="3" w:color="009162"/>
        </w:pBdr>
      </w:pPr>
      <w:r>
        <w:rPr>
          <w:rFonts w:ascii="Calibri" w:hAnsi="Calibri" w:eastAsia="Calibri"/>
        </w:rPr>
        <w:t>Приложение E. Список источников</w:t>
      </w:r>
    </w:p>
    <w:p>
      <w:pPr>
        <w:spacing w:before="0" w:after="80" w:line="259" w:lineRule="auto"/>
      </w:pPr>
      <w:r>
        <w:rPr>
          <w:rFonts w:ascii="Calibri" w:hAnsi="Calibri" w:eastAsia="Calibri"/>
          <w:sz w:val="17"/>
        </w:rPr>
        <w:t>Коды соответствуют ссылкам на источники в тексте. Веб-адреса ведут на страницы первоисточников или на цитируемые страницы. Цифры взяты из кратких изложений этих страниц; сверка с полными текстами предстоит (Приложение D, шаг 2).</w:t>
      </w:r>
    </w:p>
    <w:p>
      <w:pPr>
        <w:spacing w:before="0" w:after="50" w:line="240" w:lineRule="auto"/>
        <w:ind w:left="567" w:hanging="567"/>
      </w:pPr>
      <w:r>
        <w:rPr>
          <w:rFonts w:ascii="Calibri" w:hAnsi="Calibri" w:eastAsia="Calibri"/>
          <w:b/>
          <w:color w:val="009162"/>
          <w:sz w:val="16"/>
        </w:rPr>
        <w:t xml:space="preserve">[S1]  </w:t>
      </w:r>
      <w:r>
        <w:rPr>
          <w:rFonts w:ascii="Calibri" w:hAnsi="Calibri" w:eastAsia="Calibri"/>
          <w:sz w:val="16"/>
        </w:rPr>
        <w:t xml:space="preserve">FCA, Regulatory sandbox lessons learned report (окт. 2017). </w:t>
      </w:r>
      <w:hyperlink r:id="rId13">
        <w:r>
          <w:rPr>
            <w:rFonts w:ascii="Calibri" w:hAnsi="Calibri"/>
            <w:color w:val="175C58"/>
            <w:u w:val="single"/>
            <w:sz w:val="15"/>
          </w:rPr>
          <w:t xml:space="preserve">https://www.fca.org.uk/publication/research-and-data/regulatory-sandbox-lessons-learned-report.pdf</w:t>
        </w:r>
      </w:hyperlink>
    </w:p>
    <w:p>
      <w:pPr>
        <w:spacing w:before="0" w:after="50" w:line="240" w:lineRule="auto"/>
        <w:ind w:left="567" w:hanging="567"/>
      </w:pPr>
      <w:r>
        <w:rPr>
          <w:rFonts w:ascii="Calibri" w:hAnsi="Calibri" w:eastAsia="Calibri"/>
          <w:b/>
          <w:color w:val="009162"/>
          <w:sz w:val="16"/>
        </w:rPr>
        <w:t xml:space="preserve">[S2]  </w:t>
      </w:r>
      <w:r>
        <w:rPr>
          <w:rFonts w:ascii="Calibri" w:hAnsi="Calibri" w:eastAsia="Calibri"/>
          <w:sz w:val="16"/>
        </w:rPr>
        <w:t xml:space="preserve">Cornelli, Doerr, Gambacorta, Merrouche, Regulatory sandboxes and fintech funding: evidence from the UK, BIS Working Paper 901; Review of Finance, т. 28, № 1, 2024. </w:t>
      </w:r>
      <w:hyperlink r:id="rId14">
        <w:r>
          <w:rPr>
            <w:rFonts w:ascii="Calibri" w:hAnsi="Calibri"/>
            <w:color w:val="175C58"/>
            <w:u w:val="single"/>
            <w:sz w:val="15"/>
          </w:rPr>
          <w:t xml:space="preserve">https://www.bis.org/publ/work901.pdf</w:t>
        </w:r>
      </w:hyperlink>
    </w:p>
    <w:p>
      <w:pPr>
        <w:spacing w:before="0" w:after="50" w:line="240" w:lineRule="auto"/>
        <w:ind w:left="567" w:hanging="567"/>
      </w:pPr>
      <w:r>
        <w:rPr>
          <w:rFonts w:ascii="Calibri" w:hAnsi="Calibri" w:eastAsia="Calibri"/>
          <w:b/>
          <w:color w:val="009162"/>
          <w:sz w:val="16"/>
        </w:rPr>
        <w:t xml:space="preserve">[S3]  </w:t>
      </w:r>
      <w:r>
        <w:rPr>
          <w:rFonts w:ascii="Calibri" w:hAnsi="Calibri" w:eastAsia="Calibri"/>
          <w:sz w:val="16"/>
        </w:rPr>
        <w:t xml:space="preserve">FCA, ответ на запрос в рамках закона о свободе информации: заявки в песочницу, поступившие в 2021–2025 гг. (май 2026). </w:t>
      </w:r>
      <w:hyperlink r:id="rId15">
        <w:r>
          <w:rPr>
            <w:rFonts w:ascii="Calibri" w:hAnsi="Calibri"/>
            <w:color w:val="175C58"/>
            <w:u w:val="single"/>
            <w:sz w:val="15"/>
          </w:rPr>
          <w:t xml:space="preserve">https://www.fca.org.uk/freedom-information/information-number-sandbox-applications-received-2021-2025-may-2026</w:t>
        </w:r>
      </w:hyperlink>
    </w:p>
    <w:p>
      <w:pPr>
        <w:spacing w:before="0" w:after="50" w:line="240" w:lineRule="auto"/>
        <w:ind w:left="567" w:hanging="567"/>
      </w:pPr>
      <w:r>
        <w:rPr>
          <w:rFonts w:ascii="Calibri" w:hAnsi="Calibri" w:eastAsia="Calibri"/>
          <w:b/>
          <w:color w:val="009162"/>
          <w:sz w:val="16"/>
        </w:rPr>
        <w:t xml:space="preserve">[S4]  </w:t>
      </w:r>
      <w:r>
        <w:rPr>
          <w:rFonts w:ascii="Calibri" w:hAnsi="Calibri" w:eastAsia="Calibri"/>
          <w:sz w:val="16"/>
        </w:rPr>
        <w:t xml:space="preserve">FCA, страница о пилотных проектах Digital Sandbox, страница DataSprint и совместная оценка пилотного проекта 1, проведенная FCA и лондонским Сити (апр. 2021). </w:t>
      </w:r>
      <w:hyperlink r:id="rId16">
        <w:r>
          <w:rPr>
            <w:rFonts w:ascii="Calibri" w:hAnsi="Calibri"/>
            <w:color w:val="175C58"/>
            <w:u w:val="single"/>
            <w:sz w:val="15"/>
          </w:rPr>
          <w:t xml:space="preserve">https://www.fca.org.uk/firms/digital-sandbox-pilot-fca-datasprint</w:t>
        </w:r>
      </w:hyperlink>
    </w:p>
    <w:p>
      <w:pPr>
        <w:spacing w:before="0" w:after="50" w:line="240" w:lineRule="auto"/>
        <w:ind w:left="567" w:hanging="567"/>
      </w:pPr>
      <w:r>
        <w:rPr>
          <w:rFonts w:ascii="Calibri" w:hAnsi="Calibri" w:eastAsia="Calibri"/>
          <w:b/>
          <w:color w:val="009162"/>
          <w:sz w:val="16"/>
        </w:rPr>
        <w:t xml:space="preserve">[S5]  </w:t>
      </w:r>
      <w:r>
        <w:rPr>
          <w:rFonts w:ascii="Calibri" w:hAnsi="Calibri" w:eastAsia="Calibri"/>
          <w:sz w:val="16"/>
        </w:rPr>
        <w:t xml:space="preserve">ICO, Regulatory Sandbox beta review (нояб. 2021), Guide to the Sandbox и страницы о бывших участниках. </w:t>
      </w:r>
      <w:hyperlink r:id="rId17">
        <w:r>
          <w:rPr>
            <w:rFonts w:ascii="Calibri" w:hAnsi="Calibri"/>
            <w:color w:val="175C58"/>
            <w:u w:val="single"/>
            <w:sz w:val="15"/>
          </w:rPr>
          <w:t xml:space="preserve">https://ico.org.uk/for-organisations/advice-and-services/regulatory-sandbox/previous-participants</w:t>
        </w:r>
      </w:hyperlink>
    </w:p>
    <w:p>
      <w:pPr>
        <w:spacing w:before="0" w:after="50" w:line="240" w:lineRule="auto"/>
        <w:ind w:left="567" w:hanging="567"/>
      </w:pPr>
      <w:r>
        <w:rPr>
          <w:rFonts w:ascii="Calibri" w:hAnsi="Calibri" w:eastAsia="Calibri"/>
          <w:b/>
          <w:color w:val="009162"/>
          <w:sz w:val="16"/>
        </w:rPr>
        <w:t xml:space="preserve">[S6]  </w:t>
      </w:r>
      <w:r>
        <w:rPr>
          <w:rFonts w:ascii="Calibri" w:hAnsi="Calibri" w:eastAsia="Calibri"/>
          <w:sz w:val="16"/>
        </w:rPr>
        <w:t xml:space="preserve">Ofgem, Innovation Link: итоги окна 1 песочницы (сент. 2018). </w:t>
      </w:r>
      <w:hyperlink r:id="rId18">
        <w:r>
          <w:rPr>
            <w:rFonts w:ascii="Calibri" w:hAnsi="Calibri"/>
            <w:color w:val="175C58"/>
            <w:u w:val="single"/>
            <w:sz w:val="15"/>
          </w:rPr>
          <w:t xml:space="preserve">https://www.ofgem.gov.uk/guidance/innovation-link-outcome-sandbox-window-1</w:t>
        </w:r>
      </w:hyperlink>
    </w:p>
    <w:p>
      <w:pPr>
        <w:spacing w:before="0" w:after="50" w:line="240" w:lineRule="auto"/>
        <w:ind w:left="567" w:hanging="567"/>
      </w:pPr>
      <w:r>
        <w:rPr>
          <w:rFonts w:ascii="Calibri" w:hAnsi="Calibri" w:eastAsia="Calibri"/>
          <w:b/>
          <w:color w:val="009162"/>
          <w:sz w:val="16"/>
        </w:rPr>
        <w:t xml:space="preserve">[S7]  </w:t>
      </w:r>
      <w:r>
        <w:rPr>
          <w:rFonts w:ascii="Calibri" w:hAnsi="Calibri" w:eastAsia="Calibri"/>
          <w:sz w:val="16"/>
        </w:rPr>
        <w:t xml:space="preserve">MAS, письменный ответ в Парламенте Сингапура о регуляторных песочницах MAS (14 окт. 2025). </w:t>
      </w:r>
      <w:hyperlink r:id="rId19">
        <w:r>
          <w:rPr>
            <w:rFonts w:ascii="Calibri" w:hAnsi="Calibri"/>
            <w:color w:val="175C58"/>
            <w:u w:val="single"/>
            <w:sz w:val="15"/>
          </w:rPr>
          <w:t xml:space="preserve">https://www.mas.gov.sg/news/parliamentary-replies/2025/written-reply-on-mas-regulatory-sandboxes</w:t>
        </w:r>
      </w:hyperlink>
    </w:p>
    <w:p>
      <w:pPr>
        <w:spacing w:before="0" w:after="50" w:line="240" w:lineRule="auto"/>
        <w:ind w:left="567" w:hanging="567"/>
      </w:pPr>
      <w:r>
        <w:rPr>
          <w:rFonts w:ascii="Calibri" w:hAnsi="Calibri" w:eastAsia="Calibri"/>
          <w:b/>
          <w:color w:val="009162"/>
          <w:sz w:val="16"/>
        </w:rPr>
        <w:t xml:space="preserve">[S8]  </w:t>
      </w:r>
      <w:r>
        <w:rPr>
          <w:rFonts w:ascii="Calibri" w:hAnsi="Calibri" w:eastAsia="Calibri"/>
          <w:sz w:val="16"/>
        </w:rPr>
        <w:t xml:space="preserve">MAS, Sandbox Express: консультационный документ (2018), пресс-релиз о запуске (7 авг. 2019) и руководство (обновлено в янв. 2020); обзор Allen &amp; Gledhill. </w:t>
      </w:r>
      <w:hyperlink r:id="rId20">
        <w:r>
          <w:rPr>
            <w:rFonts w:ascii="Calibri" w:hAnsi="Calibri"/>
            <w:color w:val="175C58"/>
            <w:u w:val="single"/>
            <w:sz w:val="15"/>
          </w:rPr>
          <w:t xml:space="preserve">https://www.mas.gov.sg/publications/consultations/2018/consultation-paper-on-sandbox-express</w:t>
        </w:r>
      </w:hyperlink>
    </w:p>
    <w:p>
      <w:pPr>
        <w:spacing w:before="0" w:after="50" w:line="240" w:lineRule="auto"/>
        <w:ind w:left="567" w:hanging="567"/>
      </w:pPr>
      <w:r>
        <w:rPr>
          <w:rFonts w:ascii="Calibri" w:hAnsi="Calibri" w:eastAsia="Calibri"/>
          <w:b/>
          <w:color w:val="009162"/>
          <w:sz w:val="16"/>
        </w:rPr>
        <w:t xml:space="preserve">[S9]  </w:t>
      </w:r>
      <w:r>
        <w:rPr>
          <w:rFonts w:ascii="Calibri" w:hAnsi="Calibri" w:eastAsia="Calibri"/>
          <w:sz w:val="16"/>
        </w:rPr>
        <w:t xml:space="preserve">MAS, пресс-релиз и ответы на часто задаваемые вопросы: Sandbox Plus (9 нояб. 2021). </w:t>
      </w:r>
      <w:hyperlink r:id="rId21">
        <w:r>
          <w:rPr>
            <w:rFonts w:ascii="Calibri" w:hAnsi="Calibri"/>
            <w:color w:val="175C58"/>
            <w:u w:val="single"/>
            <w:sz w:val="15"/>
          </w:rPr>
          <w:t xml:space="preserve">https://www.mas.gov.sg/news/media-releases/2021/mas-enhances-fintech-regulatory-sandbox-with-sandbox-plus</w:t>
        </w:r>
      </w:hyperlink>
    </w:p>
    <w:p>
      <w:pPr>
        <w:spacing w:before="0" w:after="50" w:line="240" w:lineRule="auto"/>
        <w:ind w:left="567" w:hanging="567"/>
      </w:pPr>
      <w:r>
        <w:rPr>
          <w:rFonts w:ascii="Calibri" w:hAnsi="Calibri" w:eastAsia="Calibri"/>
          <w:b/>
          <w:color w:val="009162"/>
          <w:sz w:val="16"/>
        </w:rPr>
        <w:t xml:space="preserve">[S10]  </w:t>
      </w:r>
      <w:r>
        <w:rPr>
          <w:rFonts w:ascii="Calibri" w:hAnsi="Calibri" w:eastAsia="Calibri"/>
          <w:sz w:val="16"/>
        </w:rPr>
        <w:t xml:space="preserve">WAM, UAE launches global TradeTech sandbox during World Economic Forum (янв. 2024). </w:t>
      </w:r>
      <w:hyperlink r:id="rId22">
        <w:r>
          <w:rPr>
            <w:rFonts w:ascii="Calibri" w:hAnsi="Calibri"/>
            <w:color w:val="175C58"/>
            <w:u w:val="single"/>
            <w:sz w:val="15"/>
          </w:rPr>
          <w:t xml:space="preserve">https://wam.ae/en/article/b18wfrc-uae-launches-global-tradetech-sandbox-during-world</w:t>
        </w:r>
      </w:hyperlink>
    </w:p>
    <w:p>
      <w:pPr>
        <w:spacing w:before="0" w:after="50" w:line="240" w:lineRule="auto"/>
        <w:ind w:left="567" w:hanging="567"/>
      </w:pPr>
      <w:r>
        <w:rPr>
          <w:rFonts w:ascii="Calibri" w:hAnsi="Calibri" w:eastAsia="Calibri"/>
          <w:b/>
          <w:color w:val="009162"/>
          <w:sz w:val="16"/>
        </w:rPr>
        <w:t xml:space="preserve">[S11]  </w:t>
      </w:r>
      <w:r>
        <w:rPr>
          <w:rFonts w:ascii="Calibri" w:hAnsi="Calibri" w:eastAsia="Calibri"/>
          <w:sz w:val="16"/>
        </w:rPr>
        <w:t xml:space="preserve">Всемирный экономический форум, Advancing Digital Trade: insights from the UAE TradeTech Regulatory Sandbox (1 окт. 2025). </w:t>
      </w:r>
      <w:hyperlink r:id="rId23">
        <w:r>
          <w:rPr>
            <w:rFonts w:ascii="Calibri" w:hAnsi="Calibri"/>
            <w:color w:val="175C58"/>
            <w:u w:val="single"/>
            <w:sz w:val="15"/>
          </w:rPr>
          <w:t xml:space="preserve">https://www.weforum.org/publications/advancing-digital-trade-insights-from-the-uae-tradetech-regulatory-sandbox</w:t>
        </w:r>
      </w:hyperlink>
    </w:p>
    <w:p>
      <w:pPr>
        <w:spacing w:before="0" w:after="50" w:line="240" w:lineRule="auto"/>
        <w:ind w:left="567" w:hanging="567"/>
      </w:pPr>
      <w:r>
        <w:rPr>
          <w:rFonts w:ascii="Calibri" w:hAnsi="Calibri" w:eastAsia="Calibri"/>
          <w:b/>
          <w:color w:val="009162"/>
          <w:sz w:val="16"/>
        </w:rPr>
        <w:t xml:space="preserve">[S12]  </w:t>
      </w:r>
      <w:r>
        <w:rPr>
          <w:rFonts w:ascii="Calibri" w:hAnsi="Calibri" w:eastAsia="Calibri"/>
          <w:sz w:val="16"/>
        </w:rPr>
        <w:t xml:space="preserve">WEF и Правительство ОАЭ, Глобальная платформа регуляторных инноваций (янв. и июль 2025); материалы WEF о регулировании дронов (2019). </w:t>
      </w:r>
      <w:hyperlink r:id="rId24">
        <w:r>
          <w:rPr>
            <w:rFonts w:ascii="Calibri" w:hAnsi="Calibri"/>
            <w:color w:val="175C58"/>
            <w:u w:val="single"/>
            <w:sz w:val="15"/>
          </w:rPr>
          <w:t xml:space="preserve">https://www.weforum.org/press/2025/07/new-global-platform-launched-to-reimagine-regulation-in-age-of-disruptive-tech</w:t>
        </w:r>
      </w:hyperlink>
    </w:p>
    <w:p>
      <w:pPr>
        <w:spacing w:before="0" w:after="50" w:line="240" w:lineRule="auto"/>
        <w:ind w:left="567" w:hanging="567"/>
      </w:pPr>
      <w:r>
        <w:rPr>
          <w:rFonts w:ascii="Calibri" w:hAnsi="Calibri" w:eastAsia="Calibri"/>
          <w:b/>
          <w:color w:val="009162"/>
          <w:sz w:val="16"/>
        </w:rPr>
        <w:t xml:space="preserve">[S13]  </w:t>
      </w:r>
      <w:r>
        <w:rPr>
          <w:rFonts w:ascii="Calibri" w:hAnsi="Calibri" w:eastAsia="Calibri"/>
          <w:sz w:val="16"/>
        </w:rPr>
        <w:t xml:space="preserve">ADGM, объявления о когортах RegLab (2016–2018). </w:t>
      </w:r>
      <w:hyperlink r:id="rId25">
        <w:r>
          <w:rPr>
            <w:rFonts w:ascii="Calibri" w:hAnsi="Calibri"/>
            <w:color w:val="175C58"/>
            <w:u w:val="single"/>
            <w:sz w:val="15"/>
          </w:rPr>
          <w:t xml:space="preserve">https://www.adgm.com/media/announcements/adgm-reglab-attracts-record-number-of-applications-for-its-3rd-cohort</w:t>
        </w:r>
      </w:hyperlink>
    </w:p>
    <w:p>
      <w:pPr>
        <w:spacing w:before="0" w:after="50" w:line="240" w:lineRule="auto"/>
        <w:ind w:left="567" w:hanging="567"/>
      </w:pPr>
      <w:r>
        <w:rPr>
          <w:rFonts w:ascii="Calibri" w:hAnsi="Calibri" w:eastAsia="Calibri"/>
          <w:b/>
          <w:color w:val="009162"/>
          <w:sz w:val="16"/>
        </w:rPr>
        <w:t xml:space="preserve">[S14]  </w:t>
      </w:r>
      <w:r>
        <w:rPr>
          <w:rFonts w:ascii="Calibri" w:hAnsi="Calibri" w:eastAsia="Calibri"/>
          <w:sz w:val="16"/>
        </w:rPr>
        <w:t xml:space="preserve">DFSA, сообщения о Sarwa — первой компании, успешно завершившей тестирование (нояб. 2018), и о когорте ITL (июнь 2021), по материалам The Fintech Times (июнь 2021); Finance Magnates о непрерывном приеме заявок на ITL DFSA (июль 2022). </w:t>
      </w:r>
      <w:hyperlink r:id="rId26">
        <w:r>
          <w:rPr>
            <w:rFonts w:ascii="Calibri" w:hAnsi="Calibri"/>
            <w:color w:val="175C58"/>
            <w:u w:val="single"/>
            <w:sz w:val="15"/>
          </w:rPr>
          <w:t xml:space="preserve">https://www.dfsa.ae/news/robo-advisory-firm-sarwa-first-graduate-dfsas-regulatory-sandbox</w:t>
        </w:r>
      </w:hyperlink>
    </w:p>
    <w:p>
      <w:pPr>
        <w:spacing w:before="0" w:after="50" w:line="240" w:lineRule="auto"/>
        <w:ind w:left="567" w:hanging="567"/>
      </w:pPr>
      <w:r>
        <w:rPr>
          <w:rFonts w:ascii="Calibri" w:hAnsi="Calibri" w:eastAsia="Calibri"/>
          <w:b/>
          <w:color w:val="009162"/>
          <w:sz w:val="16"/>
        </w:rPr>
        <w:t xml:space="preserve">[S15]  </w:t>
      </w:r>
      <w:r>
        <w:rPr>
          <w:rFonts w:ascii="Calibri" w:hAnsi="Calibri" w:eastAsia="Calibri"/>
          <w:sz w:val="16"/>
        </w:rPr>
        <w:t xml:space="preserve">Глобальная сеть финансовых инноваций, Cross-border testing pilot: lessons learned (янв. 2020). </w:t>
      </w:r>
      <w:hyperlink r:id="rId27">
        <w:r>
          <w:rPr>
            <w:rFonts w:ascii="Calibri" w:hAnsi="Calibri"/>
            <w:color w:val="175C58"/>
            <w:u w:val="single"/>
            <w:sz w:val="15"/>
          </w:rPr>
          <w:t xml:space="preserve">https://www.mnb.hu/letoltes/gfin-cbt-pilot-lessons-learned.pdf</w:t>
        </w:r>
      </w:hyperlink>
    </w:p>
    <w:p>
      <w:pPr>
        <w:spacing w:before="0" w:after="50" w:line="240" w:lineRule="auto"/>
        <w:ind w:left="567" w:hanging="567"/>
      </w:pPr>
      <w:r>
        <w:rPr>
          <w:rFonts w:ascii="Calibri" w:hAnsi="Calibri" w:eastAsia="Calibri"/>
          <w:b/>
          <w:color w:val="009162"/>
          <w:sz w:val="16"/>
        </w:rPr>
        <w:t xml:space="preserve">[S16]  </w:t>
      </w:r>
      <w:r>
        <w:rPr>
          <w:rFonts w:ascii="Calibri" w:hAnsi="Calibri" w:eastAsia="Calibri"/>
          <w:sz w:val="16"/>
        </w:rPr>
        <w:t xml:space="preserve">Всемирный банк, Key data from regulatory sandboxes across the globe; Fintech Note No. 8, Global experiences from regulatory sandboxes (нояб. 2020). </w:t>
      </w:r>
      <w:hyperlink r:id="rId28">
        <w:r>
          <w:rPr>
            <w:rFonts w:ascii="Calibri" w:hAnsi="Calibri"/>
            <w:color w:val="175C58"/>
            <w:u w:val="single"/>
            <w:sz w:val="15"/>
          </w:rPr>
          <w:t xml:space="preserve">https://www.worldbank.org/en/topic/fintech/brief/key-data-from-regulatory-sandboxes-across-the-globe</w:t>
        </w:r>
      </w:hyperlink>
    </w:p>
    <w:p>
      <w:pPr>
        <w:spacing w:before="0" w:after="50" w:line="240" w:lineRule="auto"/>
        <w:ind w:left="567" w:hanging="567"/>
      </w:pPr>
      <w:r>
        <w:rPr>
          <w:rFonts w:ascii="Calibri" w:hAnsi="Calibri" w:eastAsia="Calibri"/>
          <w:b/>
          <w:color w:val="009162"/>
          <w:sz w:val="16"/>
        </w:rPr>
        <w:t xml:space="preserve">[S17]  </w:t>
      </w:r>
      <w:r>
        <w:rPr>
          <w:rFonts w:ascii="Calibri" w:hAnsi="Calibri" w:eastAsia="Calibri"/>
          <w:sz w:val="16"/>
        </w:rPr>
        <w:t xml:space="preserve">Европейская комиссия, страницы European Blockchain Sandbox; итоговый отчет Bird &amp; Bird / OXYGY о лучших практиках (11 февр. 2026). </w:t>
      </w:r>
      <w:hyperlink r:id="rId29">
        <w:r>
          <w:rPr>
            <w:rFonts w:ascii="Calibri" w:hAnsi="Calibri"/>
            <w:color w:val="175C58"/>
            <w:u w:val="single"/>
            <w:sz w:val="15"/>
          </w:rPr>
          <w:t xml:space="preserve">https://blockchain-observatory.ec.europa.eu/european-blockchain-sandbox-announces-selected-projects-first-cohort_en</w:t>
        </w:r>
      </w:hyperlink>
    </w:p>
    <w:p>
      <w:pPr>
        <w:spacing w:before="0" w:after="50" w:line="240" w:lineRule="auto"/>
        <w:ind w:left="567" w:hanging="567"/>
      </w:pPr>
      <w:r>
        <w:rPr>
          <w:rFonts w:ascii="Calibri" w:hAnsi="Calibri" w:eastAsia="Calibri"/>
          <w:b/>
          <w:color w:val="009162"/>
          <w:sz w:val="16"/>
        </w:rPr>
        <w:t xml:space="preserve">[S18]  </w:t>
      </w:r>
      <w:r>
        <w:rPr>
          <w:rFonts w:ascii="Calibri" w:hAnsi="Calibri" w:eastAsia="Calibri"/>
          <w:sz w:val="16"/>
        </w:rPr>
        <w:t xml:space="preserve">Комментарии White &amp; Case, Orrick и Lewis Silkin к «омнибусу по ИИ» ЕС (июль 2026); обзор песочниц на artificialintelligenceact.eu. </w:t>
      </w:r>
      <w:hyperlink r:id="rId30">
        <w:r>
          <w:rPr>
            <w:rFonts w:ascii="Calibri" w:hAnsi="Calibri"/>
            <w:color w:val="175C58"/>
            <w:u w:val="single"/>
            <w:sz w:val="15"/>
          </w:rPr>
          <w:t xml:space="preserve">https://www.whitecase.com/insight-alert/eu-ai-omnibus-enters-force-amending-ai-act</w:t>
        </w:r>
      </w:hyperlink>
    </w:p>
    <w:p>
      <w:pPr>
        <w:spacing w:before="0" w:after="50" w:line="240" w:lineRule="auto"/>
        <w:ind w:left="567" w:hanging="567"/>
      </w:pPr>
      <w:r>
        <w:rPr>
          <w:rFonts w:ascii="Calibri" w:hAnsi="Calibri" w:eastAsia="Calibri"/>
          <w:b/>
          <w:color w:val="009162"/>
          <w:sz w:val="16"/>
        </w:rPr>
        <w:t xml:space="preserve">[S19]  </w:t>
      </w:r>
      <w:r>
        <w:rPr>
          <w:rFonts w:ascii="Calibri" w:hAnsi="Calibri" w:eastAsia="Calibri"/>
          <w:sz w:val="16"/>
        </w:rPr>
        <w:t xml:space="preserve">Правительство Испании, завершение первой песочницы для ИИ (июнь 2026) и отчет о результатах. </w:t>
      </w:r>
      <w:hyperlink r:id="rId31">
        <w:r>
          <w:rPr>
            <w:rFonts w:ascii="Calibri" w:hAnsi="Calibri"/>
            <w:color w:val="175C58"/>
            <w:u w:val="single"/>
            <w:sz w:val="15"/>
          </w:rPr>
          <w:t xml:space="preserve">https://digital.gob.es/en/comunicacion/notas-prensa/secretaria-digitalizacion-e-inteligencia-artificial/2026/06/el-gobierno-concluye-con-exito-el-primer-sandbox-de-inteligencia</w:t>
        </w:r>
      </w:hyperlink>
    </w:p>
    <w:p>
      <w:pPr>
        <w:spacing w:before="0" w:after="50" w:line="240" w:lineRule="auto"/>
        <w:ind w:left="567" w:hanging="567"/>
      </w:pPr>
      <w:r>
        <w:rPr>
          <w:rFonts w:ascii="Calibri" w:hAnsi="Calibri" w:eastAsia="Calibri"/>
          <w:b/>
          <w:color w:val="009162"/>
          <w:sz w:val="16"/>
        </w:rPr>
        <w:t xml:space="preserve">[S20]  </w:t>
      </w:r>
      <w:r>
        <w:rPr>
          <w:rFonts w:ascii="Calibri" w:hAnsi="Calibri" w:eastAsia="Calibri"/>
          <w:sz w:val="16"/>
        </w:rPr>
        <w:t xml:space="preserve">Секретариат Кабинета министров Японии, презентация о регуляторной песочнице Японии; страновой доклад МВФ № 2024/116 по Японии; METI, страница о системе устранения «серых зон». </w:t>
      </w:r>
      <w:hyperlink r:id="rId32">
        <w:r>
          <w:rPr>
            <w:rFonts w:ascii="Calibri" w:hAnsi="Calibri"/>
            <w:color w:val="175C58"/>
            <w:u w:val="single"/>
            <w:sz w:val="15"/>
          </w:rPr>
          <w:t xml:space="preserve">https://www.cas.go.jp/jp/seisaku/s-portal/pdf/underlyinglaw/Japans_Regulatory_Sandbox_presentation.pdf</w:t>
        </w:r>
      </w:hyperlink>
    </w:p>
    <w:p>
      <w:pPr>
        <w:spacing w:before="0" w:after="50" w:line="240" w:lineRule="auto"/>
        <w:ind w:left="567" w:hanging="567"/>
      </w:pPr>
      <w:r>
        <w:rPr>
          <w:rFonts w:ascii="Calibri" w:hAnsi="Calibri" w:eastAsia="Calibri"/>
          <w:b/>
          <w:color w:val="009162"/>
          <w:sz w:val="16"/>
        </w:rPr>
        <w:t xml:space="preserve">[S21]  </w:t>
      </w:r>
      <w:r>
        <w:rPr>
          <w:rFonts w:ascii="Calibri" w:hAnsi="Calibri" w:eastAsia="Calibri"/>
          <w:sz w:val="16"/>
        </w:rPr>
        <w:t xml:space="preserve">Пресс-релизы HKMA о GenAI Sandbox (19 дек. 2024, 15 окт. 2025, 27 авг. 2026); аналитический документ Законодательного совета Гонконга (LegCo, февр. 2022). </w:t>
      </w:r>
      <w:hyperlink r:id="rId33">
        <w:r>
          <w:rPr>
            <w:rFonts w:ascii="Calibri" w:hAnsi="Calibri"/>
            <w:color w:val="175C58"/>
            <w:u w:val="single"/>
            <w:sz w:val="15"/>
          </w:rPr>
          <w:t xml:space="preserve">https://www.hkma.gov.hk/eng/news-and-media/press-releases/2026/08/20260827-3/</w:t>
        </w:r>
      </w:hyperlink>
    </w:p>
    <w:p>
      <w:pPr>
        <w:spacing w:before="0" w:after="50" w:line="240" w:lineRule="auto"/>
        <w:ind w:left="567" w:hanging="567"/>
      </w:pPr>
      <w:r>
        <w:rPr>
          <w:rFonts w:ascii="Calibri" w:hAnsi="Calibri" w:eastAsia="Calibri"/>
          <w:b/>
          <w:color w:val="009162"/>
          <w:sz w:val="16"/>
        </w:rPr>
        <w:t xml:space="preserve">[S22]  </w:t>
      </w:r>
      <w:r>
        <w:rPr>
          <w:rFonts w:ascii="Calibri" w:hAnsi="Calibri" w:eastAsia="Calibri"/>
          <w:sz w:val="16"/>
        </w:rPr>
        <w:t xml:space="preserve">Центральный банк Саудовской Аравии (SAMA), сообщения о регуляторной песочнице (2022–2023). </w:t>
      </w:r>
      <w:hyperlink r:id="rId34">
        <w:r>
          <w:rPr>
            <w:rFonts w:ascii="Calibri" w:hAnsi="Calibri"/>
            <w:color w:val="175C58"/>
            <w:u w:val="single"/>
            <w:sz w:val="15"/>
          </w:rPr>
          <w:t xml:space="preserve">https://www.sama.gov.sa/en-US/MediaCenter/News/Pages/news-849.aspx</w:t>
        </w:r>
      </w:hyperlink>
    </w:p>
    <w:p>
      <w:pPr>
        <w:spacing w:before="0" w:after="50" w:line="240" w:lineRule="auto"/>
        <w:ind w:left="567" w:hanging="567"/>
      </w:pPr>
      <w:r>
        <w:rPr>
          <w:rFonts w:ascii="Calibri" w:hAnsi="Calibri" w:eastAsia="Calibri"/>
          <w:b/>
          <w:color w:val="009162"/>
          <w:sz w:val="16"/>
        </w:rPr>
        <w:t xml:space="preserve">[S23]  </w:t>
      </w:r>
      <w:r>
        <w:rPr>
          <w:rFonts w:ascii="Calibri" w:hAnsi="Calibri" w:eastAsia="Calibri"/>
          <w:sz w:val="16"/>
        </w:rPr>
        <w:t xml:space="preserve">FSC Республики Корея, мероприятие к пятилетию финансовой регуляторной песочницы (29 марта 2024); IFLR, South Korea: unpacking the sandbox; E-Daily о песочнице для ИКТ-конвергенции (ок. авг. 2026). </w:t>
      </w:r>
      <w:hyperlink r:id="rId35">
        <w:r>
          <w:rPr>
            <w:rFonts w:ascii="Calibri" w:hAnsi="Calibri"/>
            <w:color w:val="175C58"/>
            <w:u w:val="single"/>
            <w:sz w:val="15"/>
          </w:rPr>
          <w:t xml:space="preserve">https://fsc.go.kr/eng/pr020101/82001</w:t>
        </w:r>
      </w:hyperlink>
    </w:p>
    <w:p>
      <w:pPr>
        <w:spacing w:before="0" w:after="50" w:line="240" w:lineRule="auto"/>
        <w:ind w:left="567" w:hanging="567"/>
      </w:pPr>
      <w:r>
        <w:rPr>
          <w:rFonts w:ascii="Calibri" w:hAnsi="Calibri" w:eastAsia="Calibri"/>
          <w:b/>
          <w:color w:val="009162"/>
          <w:sz w:val="16"/>
        </w:rPr>
        <w:t xml:space="preserve">[S24]  </w:t>
      </w:r>
      <w:r>
        <w:rPr>
          <w:rFonts w:ascii="Calibri" w:hAnsi="Calibri" w:eastAsia="Calibri"/>
          <w:sz w:val="16"/>
        </w:rPr>
        <w:t xml:space="preserve">Canberra Times, Enhanced regulatory sandbox a bridge to nowhere for fintech (сообщение прессы о независимом обзоре). </w:t>
      </w:r>
      <w:hyperlink r:id="rId36">
        <w:r>
          <w:rPr>
            <w:rFonts w:ascii="Calibri" w:hAnsi="Calibri"/>
            <w:color w:val="175C58"/>
            <w:u w:val="single"/>
            <w:sz w:val="15"/>
          </w:rPr>
          <w:t xml:space="preserve">https://www.canberratimes.com.au/story/9306576/enhanced-regulatory-sandbox-a-bridge-to-nowhere-for-fintech/</w:t>
        </w:r>
      </w:hyperlink>
    </w:p>
    <w:p>
      <w:pPr>
        <w:spacing w:before="0" w:after="50" w:line="240" w:lineRule="auto"/>
        <w:ind w:left="567" w:hanging="567"/>
      </w:pPr>
      <w:r>
        <w:rPr>
          <w:rFonts w:ascii="Calibri" w:hAnsi="Calibri" w:eastAsia="Calibri"/>
          <w:b/>
          <w:color w:val="009162"/>
          <w:sz w:val="16"/>
        </w:rPr>
        <w:t xml:space="preserve">[S25]  </w:t>
      </w:r>
      <w:r>
        <w:rPr>
          <w:rFonts w:ascii="Calibri" w:hAnsi="Calibri" w:eastAsia="Calibri"/>
          <w:sz w:val="16"/>
        </w:rPr>
        <w:t xml:space="preserve">Центральный банк Бахрейна, первая компания, завершившая тестирование в регуляторной песочнице (2018–2019). </w:t>
      </w:r>
      <w:hyperlink r:id="rId37">
        <w:r>
          <w:rPr>
            <w:rFonts w:ascii="Calibri" w:hAnsi="Calibri"/>
            <w:color w:val="175C58"/>
            <w:u w:val="single"/>
            <w:sz w:val="15"/>
          </w:rPr>
          <w:t xml:space="preserve">https://www.cbb.gov.bh/media-center/central-bank-of-bahrain-announces-first-company-to-successfully-complete-the-regulatory-sandbox-stage/</w:t>
        </w:r>
      </w:hyperlink>
    </w:p>
    <w:p>
      <w:pPr>
        <w:spacing w:before="0" w:after="50" w:line="240" w:lineRule="auto"/>
        <w:ind w:left="567" w:hanging="567"/>
      </w:pPr>
      <w:r>
        <w:rPr>
          <w:rFonts w:ascii="Calibri" w:hAnsi="Calibri" w:eastAsia="Calibri"/>
          <w:b/>
          <w:color w:val="009162"/>
          <w:sz w:val="16"/>
        </w:rPr>
        <w:t xml:space="preserve">[S26]  </w:t>
      </w:r>
      <w:r>
        <w:rPr>
          <w:rFonts w:ascii="Calibri" w:hAnsi="Calibri" w:eastAsia="Calibri"/>
          <w:sz w:val="16"/>
        </w:rPr>
        <w:t xml:space="preserve">ОЭСР, Regulatory sandboxes in artificial intelligence, Digital Economy Papers No. 356 (июль 2023). </w:t>
      </w:r>
      <w:hyperlink r:id="rId38">
        <w:r>
          <w:rPr>
            <w:rFonts w:ascii="Calibri" w:hAnsi="Calibri"/>
            <w:color w:val="175C58"/>
            <w:u w:val="single"/>
            <w:sz w:val="15"/>
          </w:rPr>
          <w:t xml:space="preserve">https://oecd.org/sti/regulatory-sandboxes-in-artificial-intelligence-8f80a0e6-en.htm</w:t>
        </w:r>
      </w:hyperlink>
    </w:p>
    <w:p>
      <w:pPr>
        <w:spacing w:before="0" w:after="50" w:line="240" w:lineRule="auto"/>
        <w:ind w:left="567" w:hanging="567"/>
      </w:pPr>
      <w:r>
        <w:rPr>
          <w:rFonts w:ascii="Calibri" w:hAnsi="Calibri" w:eastAsia="Calibri"/>
          <w:b/>
          <w:color w:val="009162"/>
          <w:sz w:val="16"/>
        </w:rPr>
        <w:t xml:space="preserve">[S27]  </w:t>
      </w:r>
      <w:r>
        <w:rPr>
          <w:rFonts w:ascii="Calibri" w:hAnsi="Calibri" w:eastAsia="Calibri"/>
          <w:sz w:val="16"/>
        </w:rPr>
        <w:t xml:space="preserve">Gazeta.uz, Enterprise Uzbekistan (версии на английском, русском и узбекском языках, 21 авг. 2026; 9 июл. 2026); UzDaily; Kursiv (20 авг. 2026); Spot.uz и norma.uz (сообщения прессы об УП-233 и ЗРУ-1169). </w:t>
      </w:r>
      <w:hyperlink r:id="rId39">
        <w:r>
          <w:rPr>
            <w:rFonts w:ascii="Calibri" w:hAnsi="Calibri"/>
            <w:color w:val="175C58"/>
            <w:u w:val="single"/>
            <w:sz w:val="15"/>
          </w:rPr>
          <w:t xml:space="preserve">https://www.gazeta.uz/en/2026/08/21/enterprise-uzbekistan/</w:t>
        </w:r>
      </w:hyperlink>
    </w:p>
    <w:p>
      <w:pPr>
        <w:spacing w:before="0" w:after="50" w:line="240" w:lineRule="auto"/>
        <w:ind w:left="567" w:hanging="567"/>
      </w:pPr>
      <w:r>
        <w:rPr>
          <w:rFonts w:ascii="Calibri" w:hAnsi="Calibri" w:eastAsia="Calibri"/>
          <w:b/>
          <w:color w:val="009162"/>
          <w:sz w:val="16"/>
        </w:rPr>
        <w:t xml:space="preserve">[S28]  </w:t>
      </w:r>
      <w:r>
        <w:rPr>
          <w:rFonts w:ascii="Calibri" w:hAnsi="Calibri" w:eastAsia="Calibri"/>
          <w:sz w:val="16"/>
        </w:rPr>
        <w:t xml:space="preserve">Записи в lex.uz: Указ Президента УП-233 от 26 ноября 2025 г. «Об организации деятельности Международного центра цифровых технологий» с приложением 1 (название, номер и дата; текст еще не изучен); Указ УП-25 от 1 февраля 2024 г. </w:t>
      </w:r>
      <w:hyperlink r:id="rId40">
        <w:r>
          <w:rPr>
            <w:rFonts w:ascii="Calibri" w:hAnsi="Calibri"/>
            <w:color w:val="175C58"/>
            <w:u w:val="single"/>
            <w:sz w:val="15"/>
          </w:rPr>
          <w:t xml:space="preserve">https://lex.uz/ru/docs/7865800</w:t>
        </w:r>
      </w:hyperlink>
    </w:p>
    <w:p>
      <w:pPr>
        <w:spacing w:before="0" w:after="50" w:line="240" w:lineRule="auto"/>
        <w:ind w:left="567" w:hanging="567"/>
      </w:pPr>
      <w:r>
        <w:rPr>
          <w:rFonts w:ascii="Calibri" w:hAnsi="Calibri" w:eastAsia="Calibri"/>
          <w:b/>
          <w:color w:val="009162"/>
          <w:sz w:val="16"/>
        </w:rPr>
        <w:t xml:space="preserve">[S29]  </w:t>
      </w:r>
      <w:r>
        <w:rPr>
          <w:rFonts w:ascii="Calibri" w:hAnsi="Calibri" w:eastAsia="Calibri"/>
          <w:sz w:val="16"/>
        </w:rPr>
        <w:t xml:space="preserve">Центральный банк Республики Узбекистан, страница о регуляторной песочнице (ст. 67-1 Закона «О Центральном банке Республики Узбекистан»); обзор GRATA на Mondaq (2022); UzDaily о проекте обновления режима песочницы; запись в lex.uz о ПП-359 (27 нояб. 2025) и сообщения прессы о начале его действия. </w:t>
      </w:r>
      <w:hyperlink r:id="rId41">
        <w:r>
          <w:rPr>
            <w:rFonts w:ascii="Calibri" w:hAnsi="Calibri"/>
            <w:color w:val="175C58"/>
            <w:u w:val="single"/>
            <w:sz w:val="15"/>
          </w:rPr>
          <w:t xml:space="preserve">https://www.uzdaily.uz/en/uzbekistan-central-bank-to-update-financial-sandbox-rules/</w:t>
        </w:r>
      </w:hyperlink>
    </w:p>
    <w:p>
      <w:pPr>
        <w:spacing w:before="0" w:after="50" w:line="240" w:lineRule="auto"/>
        <w:ind w:left="567" w:hanging="567"/>
      </w:pPr>
      <w:r>
        <w:rPr>
          <w:rFonts w:ascii="Calibri" w:hAnsi="Calibri" w:eastAsia="Calibri"/>
          <w:b/>
          <w:color w:val="009162"/>
          <w:sz w:val="16"/>
        </w:rPr>
        <w:t xml:space="preserve">[S30]  </w:t>
      </w:r>
      <w:r>
        <w:rPr>
          <w:rFonts w:ascii="Calibri" w:hAnsi="Calibri" w:eastAsia="Calibri"/>
          <w:sz w:val="16"/>
        </w:rPr>
        <w:t xml:space="preserve">Daryo, Uzbekistan adds 5 firms to capital-markets sandbox (18 июн. 2026); запись в lex.uz о ПП-255 от 21 августа 2025 г. (название и выдержка). </w:t>
      </w:r>
      <w:hyperlink r:id="rId42">
        <w:r>
          <w:rPr>
            <w:rFonts w:ascii="Calibri" w:hAnsi="Calibri"/>
            <w:color w:val="175C58"/>
            <w:u w:val="single"/>
            <w:sz w:val="15"/>
          </w:rPr>
          <w:t xml:space="preserve">https://daryo.uz/en/2026/06/18/uzbekistan-adds-5-firms-to-capital-markets-sandbox-for-foreign-currency-bond-issuance-framework/</w:t>
        </w:r>
      </w:hyperlink>
    </w:p>
    <w:p>
      <w:pPr>
        <w:spacing w:before="0" w:after="50" w:line="240" w:lineRule="auto"/>
        <w:ind w:left="567" w:hanging="567"/>
      </w:pPr>
      <w:r>
        <w:rPr>
          <w:rFonts w:ascii="Calibri" w:hAnsi="Calibri" w:eastAsia="Calibri"/>
          <w:b/>
          <w:color w:val="009162"/>
          <w:sz w:val="16"/>
        </w:rPr>
        <w:t xml:space="preserve">[S31]  </w:t>
      </w:r>
      <w:r>
        <w:rPr>
          <w:rFonts w:ascii="Calibri" w:hAnsi="Calibri" w:eastAsia="Calibri"/>
          <w:sz w:val="16"/>
        </w:rPr>
        <w:t xml:space="preserve">Внутренние рабочие материалы Enterprise Uzbekistan: карта статей о Регистраторе и карта пути участника (проекты; ссылки на статьи не проверены). </w:t>
      </w:r>
    </w:p>
    <w:p>
      <w:pPr>
        <w:spacing w:before="0" w:after="50" w:line="240" w:lineRule="auto"/>
        <w:ind w:left="567" w:hanging="567"/>
      </w:pPr>
      <w:r>
        <w:rPr>
          <w:rFonts w:ascii="Calibri" w:hAnsi="Calibri" w:eastAsia="Calibri"/>
          <w:b/>
          <w:color w:val="009162"/>
          <w:sz w:val="16"/>
        </w:rPr>
        <w:t xml:space="preserve">[S32]  </w:t>
      </w:r>
      <w:r>
        <w:rPr>
          <w:rFonts w:ascii="Calibri" w:hAnsi="Calibri" w:eastAsia="Calibri"/>
          <w:sz w:val="16"/>
        </w:rPr>
        <w:t xml:space="preserve">NayaOne, пресс-релиз о регуляторной песочнице TradeTech (янв. 2025; поставщик). </w:t>
      </w:r>
      <w:hyperlink r:id="rId43">
        <w:r>
          <w:rPr>
            <w:rFonts w:ascii="Calibri" w:hAnsi="Calibri"/>
            <w:color w:val="175C58"/>
            <w:u w:val="single"/>
            <w:sz w:val="15"/>
          </w:rPr>
          <w:t xml:space="preserve">https://www.prnewswire.com/news-releases/driving-digital-trade-transformation-nayaone-powers-world-economic-forums-groundbreaking-tradetech-regulatory-sandbox-302362263.html</w:t>
        </w:r>
      </w:hyperlink>
    </w:p>
    <w:p>
      <w:pPr>
        <w:spacing w:before="0" w:after="50" w:line="240" w:lineRule="auto"/>
        <w:ind w:left="567" w:hanging="567"/>
      </w:pPr>
      <w:r>
        <w:rPr>
          <w:rFonts w:ascii="Calibri" w:hAnsi="Calibri" w:eastAsia="Calibri"/>
          <w:b/>
          <w:color w:val="009162"/>
          <w:sz w:val="16"/>
        </w:rPr>
        <w:t xml:space="preserve">[S33]  </w:t>
      </w:r>
      <w:r>
        <w:rPr>
          <w:rFonts w:ascii="Calibri" w:hAnsi="Calibri" w:eastAsia="Calibri"/>
          <w:sz w:val="16"/>
        </w:rPr>
        <w:t xml:space="preserve">Отраслевая пресса о программе FCA AI Live Testing (дек. 2025) и ScaleUp Institute о Supercharged Sandbox. </w:t>
      </w:r>
      <w:hyperlink r:id="rId44">
        <w:r>
          <w:rPr>
            <w:rFonts w:ascii="Calibri" w:hAnsi="Calibri"/>
            <w:color w:val="175C58"/>
            <w:u w:val="single"/>
            <w:sz w:val="15"/>
          </w:rPr>
          <w:t xml:space="preserve">https://fintech.global/2025/12/04/fca-begins-live-ai-testing-with-major-uk-banks/</w:t>
        </w:r>
      </w:hyperlink>
    </w:p>
    <w:p>
      <w:pPr>
        <w:spacing w:before="0" w:after="50" w:line="240" w:lineRule="auto"/>
        <w:ind w:left="567" w:hanging="567"/>
      </w:pPr>
      <w:r>
        <w:rPr>
          <w:rFonts w:ascii="Calibri" w:hAnsi="Calibri" w:eastAsia="Calibri"/>
          <w:b/>
          <w:color w:val="009162"/>
          <w:sz w:val="16"/>
        </w:rPr>
        <w:t xml:space="preserve">[S34]  </w:t>
      </w:r>
      <w:r>
        <w:rPr>
          <w:rFonts w:ascii="Calibri" w:hAnsi="Calibri" w:eastAsia="Calibri"/>
          <w:sz w:val="16"/>
        </w:rPr>
        <w:t xml:space="preserve">GTR, Singapore and Abu Dhabi pilot first MLETR-enabled trade transaction; Типовой закон ЮНСИТРАЛ (MLETR). </w:t>
      </w:r>
      <w:hyperlink r:id="rId45">
        <w:r>
          <w:rPr>
            <w:rFonts w:ascii="Calibri" w:hAnsi="Calibri"/>
            <w:color w:val="175C58"/>
            <w:u w:val="single"/>
            <w:sz w:val="15"/>
          </w:rPr>
          <w:t xml:space="preserve">https://www.gtreview.com/news/fintech/singapore-and-abu-dhabi-pilot-first-mletr-enabled-trade-transaction/</w:t>
        </w:r>
      </w:hyperlink>
    </w:p>
    <w:p>
      <w:pPr>
        <w:spacing w:before="0" w:after="50" w:line="240" w:lineRule="auto"/>
        <w:ind w:left="567" w:hanging="567"/>
      </w:pPr>
      <w:r>
        <w:rPr>
          <w:rFonts w:ascii="Calibri" w:hAnsi="Calibri" w:eastAsia="Calibri"/>
          <w:b/>
          <w:color w:val="009162"/>
          <w:sz w:val="16"/>
        </w:rPr>
        <w:t xml:space="preserve">[S35]  </w:t>
      </w:r>
      <w:r>
        <w:rPr>
          <w:rFonts w:ascii="Calibri" w:hAnsi="Calibri" w:eastAsia="Calibri"/>
          <w:sz w:val="16"/>
        </w:rPr>
        <w:t xml:space="preserve">Qatar News Agency, QCB approves five companies as first BNPL sandbox cohort (апр. 2024). </w:t>
      </w:r>
      <w:hyperlink r:id="rId46">
        <w:r>
          <w:rPr>
            <w:rFonts w:ascii="Calibri" w:hAnsi="Calibri"/>
            <w:color w:val="175C58"/>
            <w:u w:val="single"/>
            <w:sz w:val="15"/>
          </w:rPr>
          <w:t xml:space="preserve">https://www.qna.org.qa/en/News-Area/News/2024-04/27/0045-qcb-approves-5-companies-as-a-first-cohort-for-bnpl-service</w:t>
        </w:r>
      </w:hyperlink>
    </w:p>
    <w:p>
      <w:pPr>
        <w:spacing w:before="0" w:after="50" w:line="240" w:lineRule="auto"/>
        <w:ind w:left="567" w:hanging="567"/>
      </w:pPr>
      <w:r>
        <w:rPr>
          <w:rFonts w:ascii="Calibri" w:hAnsi="Calibri" w:eastAsia="Calibri"/>
          <w:b/>
          <w:color w:val="009162"/>
          <w:sz w:val="16"/>
        </w:rPr>
        <w:t xml:space="preserve">[S36]  </w:t>
      </w:r>
      <w:r>
        <w:rPr>
          <w:rFonts w:ascii="Calibri" w:hAnsi="Calibri" w:eastAsia="Calibri"/>
          <w:sz w:val="16"/>
        </w:rPr>
        <w:t xml:space="preserve">Комитет МФЦА по регулированию финансовых услуг, обзор FinTech Lab. </w:t>
      </w:r>
      <w:hyperlink r:id="rId47">
        <w:r>
          <w:rPr>
            <w:rFonts w:ascii="Calibri" w:hAnsi="Calibri"/>
            <w:color w:val="175C58"/>
            <w:u w:val="single"/>
            <w:sz w:val="15"/>
          </w:rPr>
          <w:t xml:space="preserve">https://afsa.aifc.kz/?p=21628</w:t>
        </w:r>
      </w:hyperlink>
    </w:p>
    <w:p>
      <w:pPr>
        <w:spacing w:before="0" w:after="50" w:line="240" w:lineRule="auto"/>
        <w:ind w:left="567" w:hanging="567"/>
      </w:pPr>
      <w:r>
        <w:rPr>
          <w:rFonts w:ascii="Calibri" w:hAnsi="Calibri" w:eastAsia="Calibri"/>
          <w:b/>
          <w:color w:val="009162"/>
          <w:sz w:val="16"/>
        </w:rPr>
        <w:t xml:space="preserve">[S37]  </w:t>
      </w:r>
      <w:r>
        <w:rPr>
          <w:rFonts w:ascii="Calibri" w:hAnsi="Calibri" w:eastAsia="Calibri"/>
          <w:sz w:val="16"/>
        </w:rPr>
        <w:t xml:space="preserve">Kun.uz, Procedure for introducing the regulatory sandbox in Uzbekistan set (29 нояб. 2023; сообщение прессы; номер акта и принявший его орган не подтверждены). </w:t>
      </w:r>
      <w:hyperlink r:id="rId48">
        <w:r>
          <w:rPr>
            <w:rFonts w:ascii="Calibri" w:hAnsi="Calibri"/>
            <w:color w:val="175C58"/>
            <w:u w:val="single"/>
            <w:sz w:val="15"/>
          </w:rPr>
          <w:t xml:space="preserve">https://kun.uz/kr/news/2023/11/29/ozbekistonda-tartibga-solish-qumdonini-joriy-etish-tartibi-belgilandi</w:t>
        </w:r>
      </w:hyperlink>
    </w:p>
    <w:p>
      <w:pPr>
        <w:spacing w:before="0" w:after="50" w:line="240" w:lineRule="auto"/>
        <w:ind w:left="567" w:hanging="567"/>
      </w:pPr>
      <w:r>
        <w:rPr>
          <w:rFonts w:ascii="Calibri" w:hAnsi="Calibri" w:eastAsia="Calibri"/>
          <w:b/>
          <w:color w:val="009162"/>
          <w:sz w:val="16"/>
        </w:rPr>
        <w:t xml:space="preserve">[S38]  </w:t>
      </w:r>
      <w:r>
        <w:rPr>
          <w:rFonts w:ascii="Calibri" w:hAnsi="Calibri" w:eastAsia="Calibri"/>
          <w:sz w:val="16"/>
        </w:rPr>
        <w:t xml:space="preserve">Spot.uz, President signs the law on legal experiments (4 апр. 2026); обзоры Закона ЗРУ-1127 «О правовом эксперименте» на Norma.uz и Advice.uz (сообщения прессы). </w:t>
      </w:r>
      <w:hyperlink r:id="rId49">
        <w:r>
          <w:rPr>
            <w:rFonts w:ascii="Calibri" w:hAnsi="Calibri"/>
            <w:color w:val="175C58"/>
            <w:u w:val="single"/>
            <w:sz w:val="15"/>
          </w:rPr>
          <w:t xml:space="preserve">https://www.spot.uz/ru/2026/04/04/legal-experiment/</w:t>
        </w:r>
      </w:hyperlink>
    </w:p>
    <w:p>
      <w:pPr>
        <w:spacing w:before="0" w:after="50" w:line="240" w:lineRule="auto"/>
        <w:ind w:left="567" w:hanging="567"/>
      </w:pPr>
      <w:r>
        <w:rPr>
          <w:rFonts w:ascii="Calibri" w:hAnsi="Calibri" w:eastAsia="Calibri"/>
          <w:b/>
          <w:color w:val="009162"/>
          <w:sz w:val="16"/>
        </w:rPr>
        <w:t xml:space="preserve">[S39]  </w:t>
      </w:r>
      <w:r>
        <w:rPr>
          <w:rFonts w:ascii="Calibri" w:hAnsi="Calibri" w:eastAsia="Calibri"/>
          <w:sz w:val="16"/>
        </w:rPr>
        <w:t xml:space="preserve">FCA, Regulatory Sandbox application guide (ориентировочные сроки рассмотрения заявок). </w:t>
      </w:r>
      <w:hyperlink r:id="rId50">
        <w:r>
          <w:rPr>
            <w:rFonts w:ascii="Calibri" w:hAnsi="Calibri"/>
            <w:color w:val="175C58"/>
            <w:u w:val="single"/>
            <w:sz w:val="15"/>
          </w:rPr>
          <w:t xml:space="preserve">https://www.fca.org.uk/publication/information-sheets/fca-regulatory-sandbox-application-guide.pdf</w:t>
        </w:r>
      </w:hyperlink>
    </w:p>
    <w:p>
      <w:pPr>
        <w:spacing w:before="0" w:after="50" w:line="240" w:lineRule="auto"/>
        <w:ind w:left="567" w:hanging="567"/>
      </w:pPr>
      <w:r>
        <w:rPr>
          <w:rFonts w:ascii="Calibri" w:hAnsi="Calibri" w:eastAsia="Calibri"/>
          <w:b/>
          <w:color w:val="009162"/>
          <w:sz w:val="16"/>
        </w:rPr>
        <w:t xml:space="preserve">[S40]  </w:t>
      </w:r>
      <w:r>
        <w:rPr>
          <w:rFonts w:ascii="Calibri" w:hAnsi="Calibri" w:eastAsia="Calibri"/>
          <w:sz w:val="16"/>
        </w:rPr>
        <w:t xml:space="preserve">FCA, Innovation insights 2025 (апр. 2026) и 10-летие FCA Innovation Services (окт. 2024). </w:t>
      </w:r>
      <w:hyperlink r:id="rId51">
        <w:r>
          <w:rPr>
            <w:rFonts w:ascii="Calibri" w:hAnsi="Calibri"/>
            <w:color w:val="175C58"/>
            <w:u w:val="single"/>
            <w:sz w:val="15"/>
          </w:rPr>
          <w:t xml:space="preserve">https://www.fca.org.uk/publication/corporate/innovation-insights.pdf</w:t>
        </w:r>
      </w:hyperlink>
    </w:p>
    <w:p>
      <w:pPr>
        <w:spacing w:before="0" w:after="50" w:line="240" w:lineRule="auto"/>
        <w:ind w:left="567" w:hanging="567"/>
      </w:pPr>
      <w:r>
        <w:rPr>
          <w:rFonts w:ascii="Calibri" w:hAnsi="Calibri" w:eastAsia="Calibri"/>
          <w:b/>
          <w:color w:val="009162"/>
          <w:sz w:val="16"/>
        </w:rPr>
        <w:t xml:space="preserve">[S41]  </w:t>
      </w:r>
      <w:r>
        <w:rPr>
          <w:rFonts w:ascii="Calibri" w:hAnsi="Calibri" w:eastAsia="Calibri"/>
          <w:sz w:val="16"/>
        </w:rPr>
        <w:t xml:space="preserve">Пресс-релиз FCA: 4 firms selected to test stablecoins in the Regulatory Sandbox (25 февр. 2026). </w:t>
      </w:r>
      <w:hyperlink r:id="rId52">
        <w:r>
          <w:rPr>
            <w:rFonts w:ascii="Calibri" w:hAnsi="Calibri"/>
            <w:color w:val="175C58"/>
            <w:u w:val="single"/>
            <w:sz w:val="15"/>
          </w:rPr>
          <w:t xml:space="preserve">https://www.fca.org.uk/news/press-releases/4-firms-selected-test-stablecoin-regulatory-sandbox</w:t>
        </w:r>
      </w:hyperlink>
    </w:p>
    <w:p>
      <w:pPr>
        <w:spacing w:before="0" w:after="50" w:line="240" w:lineRule="auto"/>
        <w:ind w:left="567" w:hanging="567"/>
      </w:pPr>
      <w:r>
        <w:rPr>
          <w:rFonts w:ascii="Calibri" w:hAnsi="Calibri" w:eastAsia="Calibri"/>
          <w:b/>
          <w:color w:val="009162"/>
          <w:sz w:val="16"/>
        </w:rPr>
        <w:t xml:space="preserve">[S42]  </w:t>
      </w:r>
      <w:r>
        <w:rPr>
          <w:rFonts w:ascii="Calibri" w:hAnsi="Calibri" w:eastAsia="Calibri"/>
          <w:sz w:val="16"/>
        </w:rPr>
        <w:t xml:space="preserve">FCA, Launch of permanent Digital Sandbox (20 июл. 2023); страница Digital Sandbox (авг. 2026). </w:t>
      </w:r>
      <w:hyperlink r:id="rId53">
        <w:r>
          <w:rPr>
            <w:rFonts w:ascii="Calibri" w:hAnsi="Calibri"/>
            <w:color w:val="175C58"/>
            <w:u w:val="single"/>
            <w:sz w:val="15"/>
          </w:rPr>
          <w:t xml:space="preserve">https://fca.org.uk/news/news-stories/launch-permanent-digital-sandbox</w:t>
        </w:r>
      </w:hyperlink>
    </w:p>
    <w:p>
      <w:pPr>
        <w:spacing w:before="0" w:after="50" w:line="240" w:lineRule="auto"/>
        <w:ind w:left="567" w:hanging="567"/>
      </w:pPr>
      <w:r>
        <w:rPr>
          <w:rFonts w:ascii="Calibri" w:hAnsi="Calibri" w:eastAsia="Calibri"/>
          <w:b/>
          <w:color w:val="009162"/>
          <w:sz w:val="16"/>
        </w:rPr>
        <w:t xml:space="preserve">[S43]  </w:t>
      </w:r>
      <w:r>
        <w:rPr>
          <w:rFonts w:ascii="Calibri" w:hAnsi="Calibri" w:eastAsia="Calibri"/>
          <w:sz w:val="16"/>
        </w:rPr>
        <w:t xml:space="preserve">FCA, страница Supercharged Sandbox и пресс-релиз о когорте 2 (22 июл. 2026). </w:t>
      </w:r>
      <w:hyperlink r:id="rId54">
        <w:r>
          <w:rPr>
            <w:rFonts w:ascii="Calibri" w:hAnsi="Calibri"/>
            <w:color w:val="175C58"/>
            <w:u w:val="single"/>
            <w:sz w:val="15"/>
          </w:rPr>
          <w:t xml:space="preserve">https://www.fca.org.uk/news/press-releases/anthropic-supercharged-sandbox</w:t>
        </w:r>
      </w:hyperlink>
    </w:p>
    <w:p>
      <w:pPr>
        <w:spacing w:before="0" w:after="50" w:line="240" w:lineRule="auto"/>
        <w:ind w:left="567" w:hanging="567"/>
      </w:pPr>
      <w:r>
        <w:rPr>
          <w:rFonts w:ascii="Calibri" w:hAnsi="Calibri" w:eastAsia="Calibri"/>
          <w:b/>
          <w:color w:val="009162"/>
          <w:sz w:val="16"/>
        </w:rPr>
        <w:t xml:space="preserve">[S44]  </w:t>
      </w:r>
      <w:r>
        <w:rPr>
          <w:rFonts w:ascii="Calibri" w:hAnsi="Calibri" w:eastAsia="Calibri"/>
          <w:sz w:val="16"/>
        </w:rPr>
        <w:t xml:space="preserve">FCA, AI Live Testing: Feedback Statement FS25/5 (сент. 2025) и пресс-релиз о второй когорте (21 апр. 2026). </w:t>
      </w:r>
      <w:hyperlink r:id="rId55">
        <w:r>
          <w:rPr>
            <w:rFonts w:ascii="Calibri" w:hAnsi="Calibri"/>
            <w:color w:val="175C58"/>
            <w:u w:val="single"/>
            <w:sz w:val="15"/>
          </w:rPr>
          <w:t xml:space="preserve">https://www.fca.org.uk/news/press-releases/fca-announces-second-cohort-ai-live-testing</w:t>
        </w:r>
      </w:hyperlink>
    </w:p>
    <w:p>
      <w:pPr>
        <w:spacing w:before="0" w:after="50" w:line="240" w:lineRule="auto"/>
        <w:ind w:left="567" w:hanging="567"/>
      </w:pPr>
      <w:r>
        <w:rPr>
          <w:rFonts w:ascii="Calibri" w:hAnsi="Calibri" w:eastAsia="Calibri"/>
          <w:b/>
          <w:color w:val="009162"/>
          <w:sz w:val="16"/>
        </w:rPr>
        <w:t xml:space="preserve">[S45]  </w:t>
      </w:r>
      <w:r>
        <w:rPr>
          <w:rFonts w:ascii="Calibri" w:hAnsi="Calibri" w:eastAsia="Calibri"/>
          <w:sz w:val="16"/>
        </w:rPr>
        <w:t xml:space="preserve">Великобритания, Financial Services and Markets Act 2023 (Digital Securities Sandbox) Regulations 2023, SI 2023/1398. </w:t>
      </w:r>
      <w:hyperlink r:id="rId56">
        <w:r>
          <w:rPr>
            <w:rFonts w:ascii="Calibri" w:hAnsi="Calibri"/>
            <w:color w:val="175C58"/>
            <w:u w:val="single"/>
            <w:sz w:val="15"/>
          </w:rPr>
          <w:t xml:space="preserve">https://www.legislation.gov.uk/uksi/2023/1398/made</w:t>
        </w:r>
      </w:hyperlink>
    </w:p>
    <w:p>
      <w:pPr>
        <w:spacing w:before="0" w:after="50" w:line="240" w:lineRule="auto"/>
        <w:ind w:left="567" w:hanging="567"/>
      </w:pPr>
      <w:r>
        <w:rPr>
          <w:rFonts w:ascii="Calibri" w:hAnsi="Calibri" w:eastAsia="Calibri"/>
          <w:b/>
          <w:color w:val="009162"/>
          <w:sz w:val="16"/>
        </w:rPr>
        <w:t xml:space="preserve">[S46]  </w:t>
      </w:r>
      <w:r>
        <w:rPr>
          <w:rFonts w:ascii="Calibri" w:hAnsi="Calibri" w:eastAsia="Calibri"/>
          <w:sz w:val="16"/>
        </w:rPr>
        <w:t xml:space="preserve">ICO, Regulatory Sandbox Insights Report (2024) и исследование о регуляторной песочнице на законодательной основе (июль 2026). </w:t>
      </w:r>
      <w:hyperlink r:id="rId57">
        <w:r>
          <w:rPr>
            <w:rFonts w:ascii="Calibri" w:hAnsi="Calibri"/>
            <w:color w:val="175C58"/>
            <w:u w:val="single"/>
            <w:sz w:val="15"/>
          </w:rPr>
          <w:t xml:space="preserve">https://ico.org.uk/media2/dfpbrra3/statutory-regulatory-sandbox-economic-analyis.pdf</w:t>
        </w:r>
      </w:hyperlink>
    </w:p>
    <w:p>
      <w:pPr>
        <w:spacing w:before="0" w:after="50" w:line="240" w:lineRule="auto"/>
        <w:ind w:left="567" w:hanging="567"/>
      </w:pPr>
      <w:r>
        <w:rPr>
          <w:rFonts w:ascii="Calibri" w:hAnsi="Calibri" w:eastAsia="Calibri"/>
          <w:b/>
          <w:color w:val="009162"/>
          <w:sz w:val="16"/>
        </w:rPr>
        <w:t xml:space="preserve">[S47]  </w:t>
      </w:r>
      <w:r>
        <w:rPr>
          <w:rFonts w:ascii="Calibri" w:hAnsi="Calibri" w:eastAsia="Calibri"/>
          <w:sz w:val="16"/>
        </w:rPr>
        <w:t xml:space="preserve">Lewis Silkin, What the ICO's transformation into the Information Commission means for you (29 сент. 2026; обзор юридической фирмы). </w:t>
      </w:r>
      <w:hyperlink r:id="rId58">
        <w:r>
          <w:rPr>
            <w:rFonts w:ascii="Calibri" w:hAnsi="Calibri"/>
            <w:color w:val="175C58"/>
            <w:u w:val="single"/>
            <w:sz w:val="15"/>
          </w:rPr>
          <w:t xml:space="preserve">https://www.lewissilkin.com/insights/2026/09/29/what-the-icos-transformation-into-the-information-commission-means-for-you</w:t>
        </w:r>
      </w:hyperlink>
    </w:p>
    <w:p>
      <w:pPr>
        <w:spacing w:before="0" w:after="50" w:line="240" w:lineRule="auto"/>
        <w:ind w:left="567" w:hanging="567"/>
      </w:pPr>
      <w:r>
        <w:rPr>
          <w:rFonts w:ascii="Calibri" w:hAnsi="Calibri" w:eastAsia="Calibri"/>
          <w:b/>
          <w:color w:val="009162"/>
          <w:sz w:val="16"/>
        </w:rPr>
        <w:t xml:space="preserve">[S48]  </w:t>
      </w:r>
      <w:r>
        <w:rPr>
          <w:rFonts w:ascii="Calibri" w:hAnsi="Calibri" w:eastAsia="Calibri"/>
          <w:sz w:val="16"/>
        </w:rPr>
        <w:t xml:space="preserve">Ofgem, AI Technical Sandbox: консультация и решение (июнь 2026). </w:t>
      </w:r>
      <w:hyperlink r:id="rId59">
        <w:r>
          <w:rPr>
            <w:rFonts w:ascii="Calibri" w:hAnsi="Calibri"/>
            <w:color w:val="175C58"/>
            <w:u w:val="single"/>
            <w:sz w:val="15"/>
          </w:rPr>
          <w:t xml:space="preserve">https://www.ofgem.gov.uk/consultation/ai-technical-sandbox</w:t>
        </w:r>
      </w:hyperlink>
    </w:p>
    <w:p>
      <w:pPr>
        <w:spacing w:before="0" w:after="50" w:line="240" w:lineRule="auto"/>
        <w:ind w:left="567" w:hanging="567"/>
      </w:pPr>
      <w:r>
        <w:rPr>
          <w:rFonts w:ascii="Calibri" w:hAnsi="Calibri" w:eastAsia="Calibri"/>
          <w:b/>
          <w:color w:val="009162"/>
          <w:sz w:val="16"/>
        </w:rPr>
        <w:t xml:space="preserve">[S49]  </w:t>
      </w:r>
      <w:r>
        <w:rPr>
          <w:rFonts w:ascii="Calibri" w:hAnsi="Calibri" w:eastAsia="Calibri"/>
          <w:sz w:val="16"/>
        </w:rPr>
        <w:t xml:space="preserve">ADGM, ADGM admits 4th RegLab cohort and announces successful RegLab graduates (авг. 2019). </w:t>
      </w:r>
      <w:hyperlink r:id="rId60">
        <w:r>
          <w:rPr>
            <w:rFonts w:ascii="Calibri" w:hAnsi="Calibri"/>
            <w:color w:val="175C58"/>
            <w:u w:val="single"/>
            <w:sz w:val="15"/>
          </w:rPr>
          <w:t xml:space="preserve">https://www.adgm.com/media/announcements/adgm-admits-4th-reglab-cohort</w:t>
        </w:r>
      </w:hyperlink>
    </w:p>
    <w:p>
      <w:pPr>
        <w:spacing w:before="0" w:after="50" w:line="240" w:lineRule="auto"/>
        <w:ind w:left="567" w:hanging="567"/>
      </w:pPr>
      <w:r>
        <w:rPr>
          <w:rFonts w:ascii="Calibri" w:hAnsi="Calibri" w:eastAsia="Calibri"/>
          <w:b/>
          <w:color w:val="009162"/>
          <w:sz w:val="16"/>
        </w:rPr>
        <w:t xml:space="preserve">[S50]  </w:t>
      </w:r>
      <w:r>
        <w:rPr>
          <w:rFonts w:ascii="Calibri" w:hAnsi="Calibri" w:eastAsia="Calibri"/>
          <w:sz w:val="16"/>
        </w:rPr>
        <w:t xml:space="preserve">DFSA, пояснительное руководство по Innovation Testing Licence (1 мая 2025); Tokenisation Regulatory Sandbox (2025). </w:t>
      </w:r>
      <w:hyperlink r:id="rId61">
        <w:r>
          <w:rPr>
            <w:rFonts w:ascii="Calibri" w:hAnsi="Calibri"/>
            <w:color w:val="175C58"/>
            <w:u w:val="single"/>
            <w:sz w:val="15"/>
          </w:rPr>
          <w:t xml:space="preserve">https://www.dfsa.ae/news/dfsa-launches-innovation-testing-licence-explainer-guide-boost-innovation-difc</w:t>
        </w:r>
      </w:hyperlink>
    </w:p>
    <w:p>
      <w:pPr>
        <w:spacing w:before="0" w:after="50" w:line="240" w:lineRule="auto"/>
        <w:ind w:left="567" w:hanging="567"/>
      </w:pPr>
      <w:r>
        <w:rPr>
          <w:rFonts w:ascii="Calibri" w:hAnsi="Calibri" w:eastAsia="Calibri"/>
          <w:b/>
          <w:color w:val="009162"/>
          <w:sz w:val="16"/>
        </w:rPr>
        <w:t xml:space="preserve">[S51]  </w:t>
      </w:r>
      <w:r>
        <w:rPr>
          <w:rFonts w:ascii="Calibri" w:hAnsi="Calibri" w:eastAsia="Calibri"/>
          <w:sz w:val="16"/>
        </w:rPr>
        <w:t xml:space="preserve">Европейская комиссия, Proposal for a Council Recommendation on regulatory sandboxes, COM(2026) 568 (9 сент. 2026). </w:t>
      </w:r>
      <w:hyperlink r:id="rId62">
        <w:r>
          <w:rPr>
            <w:rFonts w:ascii="Calibri" w:hAnsi="Calibri"/>
            <w:color w:val="175C58"/>
            <w:u w:val="single"/>
            <w:sz w:val="15"/>
          </w:rPr>
          <w:t xml:space="preserve">https://eur-lex.europa.eu/legal-content/EN/TXT/?uri=celex%3A52026DC0568</w:t>
        </w:r>
      </w:hyperlink>
    </w:p>
    <w:p>
      <w:pPr>
        <w:spacing w:before="0" w:after="50" w:line="240" w:lineRule="auto"/>
        <w:ind w:left="567" w:hanging="567"/>
      </w:pPr>
      <w:r>
        <w:rPr>
          <w:rFonts w:ascii="Calibri" w:hAnsi="Calibri" w:eastAsia="Calibri"/>
          <w:b/>
          <w:color w:val="009162"/>
          <w:sz w:val="16"/>
        </w:rPr>
        <w:t xml:space="preserve">[S52]  </w:t>
      </w:r>
      <w:r>
        <w:rPr>
          <w:rFonts w:ascii="Calibri" w:hAnsi="Calibri" w:eastAsia="Calibri"/>
          <w:sz w:val="16"/>
        </w:rPr>
        <w:t xml:space="preserve">Европейская комиссия (DG RTD), Use of regulatory sandboxes in EU Member States: 2025 survey report (2026). </w:t>
      </w:r>
      <w:hyperlink r:id="rId63">
        <w:r>
          <w:rPr>
            <w:rFonts w:ascii="Calibri" w:hAnsi="Calibri"/>
            <w:color w:val="175C58"/>
            <w:u w:val="single"/>
            <w:sz w:val="15"/>
          </w:rPr>
          <w:t xml:space="preserve">https://op.europa.eu/en/publication-detail/-/publication/6942cc0e-3d27-11f1-814f-01aa75ed71a1/language-en</w:t>
        </w:r>
      </w:hyperlink>
    </w:p>
    <w:p>
      <w:pPr>
        <w:spacing w:before="0" w:after="50" w:line="240" w:lineRule="auto"/>
        <w:ind w:left="567" w:hanging="567"/>
      </w:pPr>
      <w:r>
        <w:rPr>
          <w:rFonts w:ascii="Calibri" w:hAnsi="Calibri" w:eastAsia="Calibri"/>
          <w:b/>
          <w:color w:val="009162"/>
          <w:sz w:val="16"/>
        </w:rPr>
        <w:t xml:space="preserve">[S53]  </w:t>
      </w:r>
      <w:r>
        <w:rPr>
          <w:rFonts w:ascii="Calibri" w:hAnsi="Calibri" w:eastAsia="Calibri"/>
          <w:sz w:val="16"/>
        </w:rPr>
        <w:t xml:space="preserve">EBA, EIOPA и ESMA, Joint report on innovation facilitators (ESA 2023 27, дек. 2023). </w:t>
      </w:r>
      <w:hyperlink r:id="rId64">
        <w:r>
          <w:rPr>
            <w:rFonts w:ascii="Calibri" w:hAnsi="Calibri"/>
            <w:color w:val="175C58"/>
            <w:u w:val="single"/>
            <w:sz w:val="15"/>
          </w:rPr>
          <w:t xml:space="preserve">https://www.esma.europa.eu/sites/default/files/2023-12/ESA_2023_27_Joint_ESAs_Report_on_Innovation_Facilitators_2023.pdf</w:t>
        </w:r>
      </w:hyperlink>
    </w:p>
    <w:p>
      <w:pPr>
        <w:spacing w:before="0" w:after="50" w:line="240" w:lineRule="auto"/>
        <w:ind w:left="567" w:hanging="567"/>
      </w:pPr>
      <w:r>
        <w:rPr>
          <w:rFonts w:ascii="Calibri" w:hAnsi="Calibri" w:eastAsia="Calibri"/>
          <w:b/>
          <w:color w:val="009162"/>
          <w:sz w:val="16"/>
        </w:rPr>
        <w:t xml:space="preserve">[S54]  </w:t>
      </w:r>
      <w:r>
        <w:rPr>
          <w:rFonts w:ascii="Calibri" w:hAnsi="Calibri" w:eastAsia="Calibri"/>
          <w:sz w:val="16"/>
        </w:rPr>
        <w:t xml:space="preserve">ОЭСР, Regulatory sandbox toolkit (июль 2025). </w:t>
      </w:r>
      <w:hyperlink r:id="rId65">
        <w:r>
          <w:rPr>
            <w:rFonts w:ascii="Calibri" w:hAnsi="Calibri"/>
            <w:color w:val="175C58"/>
            <w:u w:val="single"/>
            <w:sz w:val="15"/>
          </w:rPr>
          <w:t xml:space="preserve">https://www.oecd.org/en/publications/regulatory-sandbox-toolkit_de36fa62-en.html</w:t>
        </w:r>
      </w:hyperlink>
    </w:p>
    <w:p>
      <w:pPr>
        <w:spacing w:before="0" w:after="50" w:line="240" w:lineRule="auto"/>
        <w:ind w:left="567" w:hanging="567"/>
      </w:pPr>
      <w:r>
        <w:rPr>
          <w:rFonts w:ascii="Calibri" w:hAnsi="Calibri" w:eastAsia="Calibri"/>
          <w:b/>
          <w:color w:val="009162"/>
          <w:sz w:val="16"/>
        </w:rPr>
        <w:t xml:space="preserve">[S55]  </w:t>
      </w:r>
      <w:r>
        <w:rPr>
          <w:rFonts w:ascii="Calibri" w:hAnsi="Calibri" w:eastAsia="Calibri"/>
          <w:sz w:val="16"/>
        </w:rPr>
        <w:t xml:space="preserve">МВФ, FinTech Note 2023/004, Institutional arrangements for fintech regulation (июнь 2023). </w:t>
      </w:r>
      <w:hyperlink r:id="rId66">
        <w:r>
          <w:rPr>
            <w:rFonts w:ascii="Calibri" w:hAnsi="Calibri"/>
            <w:color w:val="175C58"/>
            <w:u w:val="single"/>
            <w:sz w:val="15"/>
          </w:rPr>
          <w:t xml:space="preserve">https://www.imf.org/en/publications/fintech-notes/issues/2023/06/23/institutional-arrangements-for-fintech-regulation-supervisory-monitoring</w:t>
        </w:r>
      </w:hyperlink>
    </w:p>
    <w:p>
      <w:pPr>
        <w:spacing w:before="0" w:after="50" w:line="240" w:lineRule="auto"/>
        <w:ind w:left="567" w:hanging="567"/>
      </w:pPr>
      <w:r>
        <w:rPr>
          <w:rFonts w:ascii="Calibri" w:hAnsi="Calibri" w:eastAsia="Calibri"/>
          <w:b/>
          <w:color w:val="009162"/>
          <w:sz w:val="16"/>
        </w:rPr>
        <w:t xml:space="preserve">[S56]  </w:t>
      </w:r>
      <w:r>
        <w:rPr>
          <w:rFonts w:ascii="Calibri" w:hAnsi="Calibri" w:eastAsia="Calibri"/>
          <w:sz w:val="16"/>
        </w:rPr>
        <w:t xml:space="preserve">The Korea Times, Government to strengthen support for regulatory sandbox firms (15 февр. 2023). </w:t>
      </w:r>
      <w:hyperlink r:id="rId67">
        <w:r>
          <w:rPr>
            <w:rFonts w:ascii="Calibri" w:hAnsi="Calibri"/>
            <w:color w:val="175C58"/>
            <w:u w:val="single"/>
            <w:sz w:val="15"/>
          </w:rPr>
          <w:t xml:space="preserve">https://www.koreatimes.co.kr/business/companies/20230215/govt-to-strengthen-support-for-regulatory-sandbox-firms</w:t>
        </w:r>
      </w:hyperlink>
    </w:p>
    <w:p>
      <w:pPr>
        <w:spacing w:before="0" w:after="50" w:line="240" w:lineRule="auto"/>
        <w:ind w:left="567" w:hanging="567"/>
      </w:pPr>
      <w:r>
        <w:rPr>
          <w:rFonts w:ascii="Calibri" w:hAnsi="Calibri" w:eastAsia="Calibri"/>
          <w:b/>
          <w:color w:val="009162"/>
          <w:sz w:val="16"/>
        </w:rPr>
        <w:t xml:space="preserve">[S57]  </w:t>
      </w:r>
      <w:r>
        <w:rPr>
          <w:rFonts w:ascii="Calibri" w:hAnsi="Calibri" w:eastAsia="Calibri"/>
          <w:sz w:val="16"/>
        </w:rPr>
        <w:t xml:space="preserve">Запись в lex.uz: ЗРУ-1169 от 19 августа 2026 г. «О Международном центре цифровых технологий» (название и дата; текст еще не изучен). </w:t>
      </w:r>
      <w:hyperlink r:id="rId68">
        <w:r>
          <w:rPr>
            <w:rFonts w:ascii="Calibri" w:hAnsi="Calibri"/>
            <w:color w:val="175C58"/>
            <w:u w:val="single"/>
            <w:sz w:val="15"/>
          </w:rPr>
          <w:t xml:space="preserve">https://lex.uz/docs/8420999</w:t>
        </w:r>
      </w:hyperlink>
    </w:p>
    <w:p>
      <w:pPr>
        <w:spacing w:before="0" w:after="50" w:line="240" w:lineRule="auto"/>
        <w:ind w:left="567" w:hanging="567"/>
      </w:pPr>
      <w:r>
        <w:rPr>
          <w:rFonts w:ascii="Calibri" w:hAnsi="Calibri" w:eastAsia="Calibri"/>
          <w:b/>
          <w:color w:val="009162"/>
          <w:sz w:val="16"/>
        </w:rPr>
        <w:t xml:space="preserve">[S58]  </w:t>
      </w:r>
      <w:r>
        <w:rPr>
          <w:rFonts w:ascii="Calibri" w:hAnsi="Calibri" w:eastAsia="Calibri"/>
          <w:sz w:val="16"/>
        </w:rPr>
        <w:t xml:space="preserve">lex.uz: Указ Президента УП-244 от 9 ноября 2022 г. (межотраслевой специальный правовой режим «Регуляторная песочница»; название). </w:t>
      </w:r>
      <w:hyperlink r:id="rId69">
        <w:r>
          <w:rPr>
            <w:rFonts w:ascii="Calibri" w:hAnsi="Calibri"/>
            <w:color w:val="175C58"/>
            <w:u w:val="single"/>
            <w:sz w:val="15"/>
          </w:rPr>
          <w:t xml:space="preserve">https://lex.uz/ru/docs/6279884</w:t>
        </w:r>
      </w:hyperlink>
    </w:p>
    <w:p>
      <w:pPr>
        <w:spacing w:before="0" w:after="50" w:line="240" w:lineRule="auto"/>
        <w:ind w:left="567" w:hanging="567"/>
      </w:pPr>
      <w:r>
        <w:rPr>
          <w:rFonts w:ascii="Calibri" w:hAnsi="Calibri" w:eastAsia="Calibri"/>
          <w:b/>
          <w:color w:val="009162"/>
          <w:sz w:val="16"/>
        </w:rPr>
        <w:t xml:space="preserve">[S59]  </w:t>
      </w:r>
      <w:r>
        <w:rPr>
          <w:rFonts w:ascii="Calibri" w:hAnsi="Calibri" w:eastAsia="Calibri"/>
          <w:sz w:val="16"/>
        </w:rPr>
        <w:t xml:space="preserve">Паспорт акта на lex.uz: Закон ЗРУ-1127 от 27 марта 2026 г. «О правовом эксперименте» (название, дата). </w:t>
      </w:r>
      <w:hyperlink r:id="rId70">
        <w:r>
          <w:rPr>
            <w:rFonts w:ascii="Calibri" w:hAnsi="Calibri"/>
            <w:color w:val="175C58"/>
            <w:u w:val="single"/>
            <w:sz w:val="15"/>
          </w:rPr>
          <w:t xml:space="preserve">https://lex.uz/doc-passport/-8099398</w:t>
        </w:r>
      </w:hyperlink>
    </w:p>
    <w:p>
      <w:pPr>
        <w:spacing w:before="0" w:after="50" w:line="240" w:lineRule="auto"/>
        <w:ind w:left="567" w:hanging="567"/>
      </w:pPr>
      <w:r>
        <w:rPr>
          <w:rFonts w:ascii="Calibri" w:hAnsi="Calibri" w:eastAsia="Calibri"/>
          <w:b/>
          <w:color w:val="009162"/>
          <w:sz w:val="16"/>
        </w:rPr>
        <w:t xml:space="preserve">[S60]  </w:t>
      </w:r>
      <w:r>
        <w:rPr>
          <w:rFonts w:ascii="Calibri" w:hAnsi="Calibri" w:eastAsia="Calibri"/>
          <w:sz w:val="16"/>
        </w:rPr>
        <w:t xml:space="preserve">lex.uz: Положение NAPP рег. № 3493 от 29 января 2024 г. (регуляторная песочница в сфере рынка капитала), Положение рег. № 3409 от 30 декабря 2022 г. (специальный режим в сфере оборота криптоактивов) и ПП-291 от 2 сентября 2023 г. (названия). </w:t>
      </w:r>
      <w:hyperlink r:id="rId71">
        <w:r>
          <w:rPr>
            <w:rFonts w:ascii="Calibri" w:hAnsi="Calibri"/>
            <w:color w:val="175C58"/>
            <w:u w:val="single"/>
            <w:sz w:val="15"/>
          </w:rPr>
          <w:t xml:space="preserve">https://www.lex.uz/ru/docs/6783404</w:t>
        </w:r>
      </w:hyperlink>
    </w:p>
    <w:p>
      <w:pPr>
        <w:spacing w:before="0" w:after="50" w:line="240" w:lineRule="auto"/>
        <w:ind w:left="567" w:hanging="567"/>
      </w:pPr>
      <w:r>
        <w:rPr>
          <w:rFonts w:ascii="Calibri" w:hAnsi="Calibri" w:eastAsia="Calibri"/>
          <w:b/>
          <w:color w:val="009162"/>
          <w:sz w:val="16"/>
        </w:rPr>
        <w:t xml:space="preserve">[S61]  </w:t>
      </w:r>
      <w:r>
        <w:rPr>
          <w:rFonts w:ascii="Calibri" w:hAnsi="Calibri" w:eastAsia="Calibri"/>
          <w:sz w:val="16"/>
        </w:rPr>
        <w:t xml:space="preserve">lex.uz: Постановление № 717 от 29 ноября 2021 г. (принято, вероятно, Кабинетом Министров), специальный режим поддержки технологий ИИ (название). </w:t>
      </w:r>
      <w:hyperlink r:id="rId72">
        <w:r>
          <w:rPr>
            <w:rFonts w:ascii="Calibri" w:hAnsi="Calibri"/>
            <w:color w:val="175C58"/>
            <w:u w:val="single"/>
            <w:sz w:val="15"/>
          </w:rPr>
          <w:t xml:space="preserve">https://lex.uz/docs/5746496</w:t>
        </w:r>
      </w:hyperlink>
    </w:p>
    <w:sectPr w:rsidR="00FC693F" w:rsidRPr="0006063C" w:rsidSect="00034616">
      <w:headerReference w:type="default" r:id="rId73"/>
      <w:footerReference w:type="default" r:id="rId74"/>
      <w:headerReference w:type="first" r:id="rId75"/>
      <w:footerReference w:type="first" r:id="rId76"/>
      <w:pgSz w:w="11906" w:h="16838"/>
      <w:pgMar w:top="1134" w:right="1134" w:bottom="1020" w:left="1134"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rFonts w:ascii="Calibri" w:hAnsi="Calibri" w:eastAsia="Calibri"/>
        <w:color w:val="6B6E70"/>
        <w:sz w:val="16"/>
      </w:rPr>
      <w:t>Проект для принятия решения руководством. Статус подтверждения данных: см. с. 2.</w:t>
      <w:tab/>
    </w:r>
    <w:r>
      <w:rPr>
        <w:rFonts w:ascii="Calibri" w:hAnsi="Calibri"/>
        <w:color w:val="6B6E70"/>
        <w:sz w:val="16"/>
      </w:rPr>
      <w:fldChar w:fldCharType="begin"/>
    </w:r>
    <w:r>
      <w:rPr>
        <w:rFonts w:ascii="Calibri" w:hAnsi="Calibri"/>
        <w:color w:val="6B6E70"/>
        <w:sz w:val="16"/>
      </w:rPr>
      <w:instrText xml:space="preserve"> PAGE </w:instrText>
    </w:r>
    <w:r>
      <w:rPr>
        <w:rFonts w:ascii="Calibri" w:hAnsi="Calibri"/>
        <w:color w:val="6B6E70"/>
        <w:sz w:val="16"/>
      </w:rPr>
      <w:fldChar w:fldCharType="separate"/>
    </w:r>
    <w:r>
      <w:rPr>
        <w:rFonts w:ascii="Calibri" w:hAnsi="Calibri"/>
        <w:color w:val="6B6E70"/>
        <w:sz w:val="16"/>
      </w:rPr>
      <w:t>1</w:t>
    </w:r>
    <w:r>
      <w:rPr>
        <w:rFonts w:ascii="Calibri" w:hAnsi="Calibri"/>
        <w:color w:val="6B6E70"/>
        <w:sz w:val="16"/>
      </w:rPr>
      <w:fldChar w:fldCharType="end"/>
    </w:r>
    <w:r>
      <w:rPr>
        <w:rFonts w:ascii="Calibri" w:hAnsi="Calibri" w:eastAsia="Calibri"/>
        <w:color w:val="6B6E70"/>
        <w:sz w:val="16"/>
      </w:rPr>
      <w:t xml:space="preserve"> / </w:t>
    </w:r>
    <w:r>
      <w:rPr>
        <w:rFonts w:ascii="Calibri" w:hAnsi="Calibri"/>
        <w:color w:val="6B6E70"/>
        <w:sz w:val="16"/>
      </w:rPr>
      <w:fldChar w:fldCharType="begin"/>
    </w:r>
    <w:r>
      <w:rPr>
        <w:rFonts w:ascii="Calibri" w:hAnsi="Calibri"/>
        <w:color w:val="6B6E70"/>
        <w:sz w:val="16"/>
      </w:rPr>
      <w:instrText xml:space="preserve"> NUMPAGES </w:instrText>
    </w:r>
    <w:r>
      <w:rPr>
        <w:rFonts w:ascii="Calibri" w:hAnsi="Calibri"/>
        <w:color w:val="6B6E70"/>
        <w:sz w:val="16"/>
      </w:rPr>
      <w:fldChar w:fldCharType="separate"/>
    </w:r>
    <w:r>
      <w:rPr>
        <w:rFonts w:ascii="Calibri" w:hAnsi="Calibri"/>
        <w:color w:val="6B6E70"/>
        <w:sz w:val="16"/>
      </w:rPr>
      <w:t>1</w:t>
    </w:r>
    <w:r>
      <w:rPr>
        <w:rFonts w:ascii="Calibri" w:hAnsi="Calibri"/>
        <w:color w:val="6B6E70"/>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09162"/>
      </w:pBdr>
    </w:pPr>
    <w:r/>
    <w:r>
      <w:rPr>
        <w:rFonts w:ascii="Calibri" w:hAnsi="Calibri" w:eastAsia="Calibri"/>
        <w:color w:val="6B6E70"/>
        <w:sz w:val="16"/>
      </w:rPr>
      <w:t>Enterprise Uzbekistan  |  Регуляторная песочница: международный сравнительный анализ и проектные решения</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
    <w:multiLevelType w:val="hybridMultilevel"/>
    <w:lvl w:ilvl="0">
      <w:start w:val="1"/>
      <w:numFmt w:val="bullet"/>
      <w:lvlText w:val="■"/>
      <w:lvlJc w:val="left"/>
      <w:pPr>
        <w:ind w:left="340" w:hanging="260"/>
      </w:pPr>
      <w:rPr>
        <w:rFonts w:ascii="Arial" w:hAnsi="Arial"/>
        <w:color w:val="009162"/>
        <w:sz w:val="14"/>
      </w:rPr>
    </w:lvl>
  </w:abstractNum>
  <w:abstractNum w:abstractNumId="91">
    <w:multiLevelType w:val="hybridMultilevel"/>
    <w:lvl w:ilvl="0">
      <w:start w:val="1"/>
      <w:numFmt w:val="decimal"/>
      <w:lvlText w:val="%1."/>
      <w:lvlJc w:val="left"/>
      <w:pPr>
        <w:ind w:left="380" w:hanging="320"/>
      </w:pPr>
      <w:rPr>
        <w:b/>
        <w:color w:val="175C58"/>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39393B"/>
      <w:sz w:val="20"/>
      <w:lang w:val="ru-RU" w:eastAsia="en-US"/>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40" w:lineRule="auto"/>
      <w:outlineLvl w:val="0"/>
    </w:pPr>
    <w:rPr>
      <w:rFonts w:asciiTheme="majorHAnsi" w:eastAsiaTheme="majorEastAsia" w:hAnsiTheme="majorHAnsi" w:cstheme="majorBidi" w:ascii="Calibri" w:hAnsi="Calibri" w:eastAsia="Calibri"/>
      <w:b/>
      <w:bCs/>
      <w:color w:val="175C58"/>
      <w:sz w:val="36"/>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ascii="Calibri" w:hAnsi="Calibri" w:eastAsia="Calibri"/>
      <w:b/>
      <w:bCs/>
      <w:color w:val="009162"/>
      <w:sz w:val="26"/>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Calibri" w:hAnsi="Calibri" w:eastAsia="Calibri"/>
      <w:b/>
      <w:bCs/>
      <w:color w:val="393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638" w:val="right" w:leader="dot"/>
      </w:tabs>
      <w:spacing w:after="60" w:before="100"/>
      <w:ind w:left="0"/>
    </w:pPr>
    <w:rPr>
      <w:rFonts w:ascii="Calibri" w:hAnsi="Calibri"/>
      <w:b/>
      <w:sz w:val="20"/>
    </w:rPr>
  </w:style>
  <w:style w:type="paragraph" w:customStyle="1" w:styleId="TOC2">
    <w:name w:val="TOC 2"/>
    <w:basedOn w:val="Normal"/>
    <w:pPr>
      <w:tabs>
        <w:tab w:pos="9638" w:val="right" w:leader="dot"/>
      </w:tabs>
      <w:spacing w:after="40" w:before="0"/>
      <w:ind w:left="340"/>
    </w:pPr>
    <w:rPr>
      <w:rFonts w:ascii="Calibri" w:hAnsi="Calibri"/>
      <w:b w:val="0"/>
      <w:sz w:val="19"/>
    </w:rPr>
  </w:style>
  <w:style w:type="paragraph" w:customStyle="1" w:styleId="ExhibitTitle">
    <w:name w:val="ExhibitTitle"/>
    <w:basedOn w:val="Normal"/>
    <w:pPr>
      <w:keepNext/>
      <w:spacing w:before="160" w:after="60"/>
    </w:pPr>
    <w:rPr>
      <w:b/>
      <w:color w:val="175C5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fca.org.uk/publication/research-and-data/regulatory-sandbox-lessons-learned-report.pdf" TargetMode="External"/><Relationship Id="rId14" Type="http://schemas.openxmlformats.org/officeDocument/2006/relationships/hyperlink" Target="https://www.bis.org/publ/work901.pdf" TargetMode="External"/><Relationship Id="rId15" Type="http://schemas.openxmlformats.org/officeDocument/2006/relationships/hyperlink" Target="https://www.fca.org.uk/freedom-information/information-number-sandbox-applications-received-2021-2025-may-2026" TargetMode="External"/><Relationship Id="rId16" Type="http://schemas.openxmlformats.org/officeDocument/2006/relationships/hyperlink" Target="https://www.fca.org.uk/firms/digital-sandbox-pilot-fca-datasprint" TargetMode="External"/><Relationship Id="rId17" Type="http://schemas.openxmlformats.org/officeDocument/2006/relationships/hyperlink" Target="https://ico.org.uk/for-organisations/advice-and-services/regulatory-sandbox/previous-participants" TargetMode="External"/><Relationship Id="rId18" Type="http://schemas.openxmlformats.org/officeDocument/2006/relationships/hyperlink" Target="https://www.ofgem.gov.uk/guidance/innovation-link-outcome-sandbox-window-1" TargetMode="External"/><Relationship Id="rId19" Type="http://schemas.openxmlformats.org/officeDocument/2006/relationships/hyperlink" Target="https://www.mas.gov.sg/news/parliamentary-replies/2025/written-reply-on-mas-regulatory-sandboxes" TargetMode="External"/><Relationship Id="rId20" Type="http://schemas.openxmlformats.org/officeDocument/2006/relationships/hyperlink" Target="https://www.mas.gov.sg/publications/consultations/2018/consultation-paper-on-sandbox-express" TargetMode="External"/><Relationship Id="rId21" Type="http://schemas.openxmlformats.org/officeDocument/2006/relationships/hyperlink" Target="https://www.mas.gov.sg/news/media-releases/2021/mas-enhances-fintech-regulatory-sandbox-with-sandbox-plus" TargetMode="External"/><Relationship Id="rId22" Type="http://schemas.openxmlformats.org/officeDocument/2006/relationships/hyperlink" Target="https://wam.ae/en/article/b18wfrc-uae-launches-global-tradetech-sandbox-during-world" TargetMode="External"/><Relationship Id="rId23" Type="http://schemas.openxmlformats.org/officeDocument/2006/relationships/hyperlink" Target="https://www.weforum.org/publications/advancing-digital-trade-insights-from-the-uae-tradetech-regulatory-sandbox" TargetMode="External"/><Relationship Id="rId24" Type="http://schemas.openxmlformats.org/officeDocument/2006/relationships/hyperlink" Target="https://www.weforum.org/press/2025/07/new-global-platform-launched-to-reimagine-regulation-in-age-of-disruptive-tech" TargetMode="External"/><Relationship Id="rId25" Type="http://schemas.openxmlformats.org/officeDocument/2006/relationships/hyperlink" Target="https://www.adgm.com/media/announcements/adgm-reglab-attracts-record-number-of-applications-for-its-3rd-cohort" TargetMode="External"/><Relationship Id="rId26" Type="http://schemas.openxmlformats.org/officeDocument/2006/relationships/hyperlink" Target="https://www.dfsa.ae/news/robo-advisory-firm-sarwa-first-graduate-dfsas-regulatory-sandbox" TargetMode="External"/><Relationship Id="rId27" Type="http://schemas.openxmlformats.org/officeDocument/2006/relationships/hyperlink" Target="https://www.mnb.hu/letoltes/gfin-cbt-pilot-lessons-learned.pdf" TargetMode="External"/><Relationship Id="rId28" Type="http://schemas.openxmlformats.org/officeDocument/2006/relationships/hyperlink" Target="https://www.worldbank.org/en/topic/fintech/brief/key-data-from-regulatory-sandboxes-across-the-globe" TargetMode="External"/><Relationship Id="rId29" Type="http://schemas.openxmlformats.org/officeDocument/2006/relationships/hyperlink" Target="https://blockchain-observatory.ec.europa.eu/european-blockchain-sandbox-announces-selected-projects-first-cohort_en" TargetMode="External"/><Relationship Id="rId30" Type="http://schemas.openxmlformats.org/officeDocument/2006/relationships/hyperlink" Target="https://www.whitecase.com/insight-alert/eu-ai-omnibus-enters-force-amending-ai-act" TargetMode="External"/><Relationship Id="rId31" Type="http://schemas.openxmlformats.org/officeDocument/2006/relationships/hyperlink" Target="https://digital.gob.es/en/comunicacion/notas-prensa/secretaria-digitalizacion-e-inteligencia-artificial/2026/06/el-gobierno-concluye-con-exito-el-primer-sandbox-de-inteligencia" TargetMode="External"/><Relationship Id="rId32" Type="http://schemas.openxmlformats.org/officeDocument/2006/relationships/hyperlink" Target="https://www.cas.go.jp/jp/seisaku/s-portal/pdf/underlyinglaw/Japans_Regulatory_Sandbox_presentation.pdf" TargetMode="External"/><Relationship Id="rId33" Type="http://schemas.openxmlformats.org/officeDocument/2006/relationships/hyperlink" Target="https://www.hkma.gov.hk/eng/news-and-media/press-releases/2026/08/20260827-3/" TargetMode="External"/><Relationship Id="rId34" Type="http://schemas.openxmlformats.org/officeDocument/2006/relationships/hyperlink" Target="https://www.sama.gov.sa/en-US/MediaCenter/News/Pages/news-849.aspx" TargetMode="External"/><Relationship Id="rId35" Type="http://schemas.openxmlformats.org/officeDocument/2006/relationships/hyperlink" Target="https://fsc.go.kr/eng/pr020101/82001" TargetMode="External"/><Relationship Id="rId36" Type="http://schemas.openxmlformats.org/officeDocument/2006/relationships/hyperlink" Target="https://www.canberratimes.com.au/story/9306576/enhanced-regulatory-sandbox-a-bridge-to-nowhere-for-fintech/" TargetMode="External"/><Relationship Id="rId37" Type="http://schemas.openxmlformats.org/officeDocument/2006/relationships/hyperlink" Target="https://www.cbb.gov.bh/media-center/central-bank-of-bahrain-announces-first-company-to-successfully-complete-the-regulatory-sandbox-stage/" TargetMode="External"/><Relationship Id="rId38" Type="http://schemas.openxmlformats.org/officeDocument/2006/relationships/hyperlink" Target="https://oecd.org/sti/regulatory-sandboxes-in-artificial-intelligence-8f80a0e6-en.htm" TargetMode="External"/><Relationship Id="rId39" Type="http://schemas.openxmlformats.org/officeDocument/2006/relationships/hyperlink" Target="https://www.gazeta.uz/en/2026/08/21/enterprise-uzbekistan/" TargetMode="External"/><Relationship Id="rId40" Type="http://schemas.openxmlformats.org/officeDocument/2006/relationships/hyperlink" Target="https://lex.uz/ru/docs/7865800" TargetMode="External"/><Relationship Id="rId41" Type="http://schemas.openxmlformats.org/officeDocument/2006/relationships/hyperlink" Target="https://www.uzdaily.uz/en/uzbekistan-central-bank-to-update-financial-sandbox-rules/" TargetMode="External"/><Relationship Id="rId42" Type="http://schemas.openxmlformats.org/officeDocument/2006/relationships/hyperlink" Target="https://daryo.uz/en/2026/06/18/uzbekistan-adds-5-firms-to-capital-markets-sandbox-for-foreign-currency-bond-issuance-framework/" TargetMode="External"/><Relationship Id="rId43" Type="http://schemas.openxmlformats.org/officeDocument/2006/relationships/hyperlink" Target="https://www.prnewswire.com/news-releases/driving-digital-trade-transformation-nayaone-powers-world-economic-forums-groundbreaking-tradetech-regulatory-sandbox-302362263.html" TargetMode="External"/><Relationship Id="rId44" Type="http://schemas.openxmlformats.org/officeDocument/2006/relationships/hyperlink" Target="https://fintech.global/2025/12/04/fca-begins-live-ai-testing-with-major-uk-banks/" TargetMode="External"/><Relationship Id="rId45" Type="http://schemas.openxmlformats.org/officeDocument/2006/relationships/hyperlink" Target="https://www.gtreview.com/news/fintech/singapore-and-abu-dhabi-pilot-first-mletr-enabled-trade-transaction/" TargetMode="External"/><Relationship Id="rId46" Type="http://schemas.openxmlformats.org/officeDocument/2006/relationships/hyperlink" Target="https://www.qna.org.qa/en/News-Area/News/2024-04/27/0045-qcb-approves-5-companies-as-a-first-cohort-for-bnpl-service" TargetMode="External"/><Relationship Id="rId47" Type="http://schemas.openxmlformats.org/officeDocument/2006/relationships/hyperlink" Target="https://afsa.aifc.kz/?p=21628" TargetMode="External"/><Relationship Id="rId48" Type="http://schemas.openxmlformats.org/officeDocument/2006/relationships/hyperlink" Target="https://kun.uz/kr/news/2023/11/29/ozbekistonda-tartibga-solish-qumdonini-joriy-etish-tartibi-belgilandi" TargetMode="External"/><Relationship Id="rId49" Type="http://schemas.openxmlformats.org/officeDocument/2006/relationships/hyperlink" Target="https://www.spot.uz/ru/2026/04/04/legal-experiment/" TargetMode="External"/><Relationship Id="rId50" Type="http://schemas.openxmlformats.org/officeDocument/2006/relationships/hyperlink" Target="https://www.fca.org.uk/publication/information-sheets/fca-regulatory-sandbox-application-guide.pdf" TargetMode="External"/><Relationship Id="rId51" Type="http://schemas.openxmlformats.org/officeDocument/2006/relationships/hyperlink" Target="https://www.fca.org.uk/publication/corporate/innovation-insights.pdf" TargetMode="External"/><Relationship Id="rId52" Type="http://schemas.openxmlformats.org/officeDocument/2006/relationships/hyperlink" Target="https://www.fca.org.uk/news/press-releases/4-firms-selected-test-stablecoin-regulatory-sandbox" TargetMode="External"/><Relationship Id="rId53" Type="http://schemas.openxmlformats.org/officeDocument/2006/relationships/hyperlink" Target="https://fca.org.uk/news/news-stories/launch-permanent-digital-sandbox" TargetMode="External"/><Relationship Id="rId54" Type="http://schemas.openxmlformats.org/officeDocument/2006/relationships/hyperlink" Target="https://www.fca.org.uk/news/press-releases/anthropic-supercharged-sandbox" TargetMode="External"/><Relationship Id="rId55" Type="http://schemas.openxmlformats.org/officeDocument/2006/relationships/hyperlink" Target="https://www.fca.org.uk/news/press-releases/fca-announces-second-cohort-ai-live-testing" TargetMode="External"/><Relationship Id="rId56" Type="http://schemas.openxmlformats.org/officeDocument/2006/relationships/hyperlink" Target="https://www.legislation.gov.uk/uksi/2023/1398/made" TargetMode="External"/><Relationship Id="rId57" Type="http://schemas.openxmlformats.org/officeDocument/2006/relationships/hyperlink" Target="https://ico.org.uk/media2/dfpbrra3/statutory-regulatory-sandbox-economic-analyis.pdf" TargetMode="External"/><Relationship Id="rId58" Type="http://schemas.openxmlformats.org/officeDocument/2006/relationships/hyperlink" Target="https://www.lewissilkin.com/insights/2026/09/29/what-the-icos-transformation-into-the-information-commission-means-for-you" TargetMode="External"/><Relationship Id="rId59" Type="http://schemas.openxmlformats.org/officeDocument/2006/relationships/hyperlink" Target="https://www.ofgem.gov.uk/consultation/ai-technical-sandbox" TargetMode="External"/><Relationship Id="rId60" Type="http://schemas.openxmlformats.org/officeDocument/2006/relationships/hyperlink" Target="https://www.adgm.com/media/announcements/adgm-admits-4th-reglab-cohort" TargetMode="External"/><Relationship Id="rId61" Type="http://schemas.openxmlformats.org/officeDocument/2006/relationships/hyperlink" Target="https://www.dfsa.ae/news/dfsa-launches-innovation-testing-licence-explainer-guide-boost-innovation-difc" TargetMode="External"/><Relationship Id="rId62" Type="http://schemas.openxmlformats.org/officeDocument/2006/relationships/hyperlink" Target="https://eur-lex.europa.eu/legal-content/EN/TXT/?uri=celex%3A52026DC0568" TargetMode="External"/><Relationship Id="rId63" Type="http://schemas.openxmlformats.org/officeDocument/2006/relationships/hyperlink" Target="https://op.europa.eu/en/publication-detail/-/publication/6942cc0e-3d27-11f1-814f-01aa75ed71a1/language-en" TargetMode="External"/><Relationship Id="rId64" Type="http://schemas.openxmlformats.org/officeDocument/2006/relationships/hyperlink" Target="https://www.esma.europa.eu/sites/default/files/2023-12/ESA_2023_27_Joint_ESAs_Report_on_Innovation_Facilitators_2023.pdf" TargetMode="External"/><Relationship Id="rId65" Type="http://schemas.openxmlformats.org/officeDocument/2006/relationships/hyperlink" Target="https://www.oecd.org/en/publications/regulatory-sandbox-toolkit_de36fa62-en.html" TargetMode="External"/><Relationship Id="rId66" Type="http://schemas.openxmlformats.org/officeDocument/2006/relationships/hyperlink" Target="https://www.imf.org/en/publications/fintech-notes/issues/2023/06/23/institutional-arrangements-for-fintech-regulation-supervisory-monitoring" TargetMode="External"/><Relationship Id="rId67" Type="http://schemas.openxmlformats.org/officeDocument/2006/relationships/hyperlink" Target="https://www.koreatimes.co.kr/business/companies/20230215/govt-to-strengthen-support-for-regulatory-sandbox-firms" TargetMode="External"/><Relationship Id="rId68" Type="http://schemas.openxmlformats.org/officeDocument/2006/relationships/hyperlink" Target="https://lex.uz/docs/8420999" TargetMode="External"/><Relationship Id="rId69" Type="http://schemas.openxmlformats.org/officeDocument/2006/relationships/hyperlink" Target="https://lex.uz/ru/docs/6279884" TargetMode="External"/><Relationship Id="rId70" Type="http://schemas.openxmlformats.org/officeDocument/2006/relationships/hyperlink" Target="https://lex.uz/doc-passport/-8099398" TargetMode="External"/><Relationship Id="rId71" Type="http://schemas.openxmlformats.org/officeDocument/2006/relationships/hyperlink" Target="https://www.lex.uz/ru/docs/6783404" TargetMode="External"/><Relationship Id="rId72" Type="http://schemas.openxmlformats.org/officeDocument/2006/relationships/hyperlink" Target="https://lex.uz/docs/5746496" TargetMode="External"/><Relationship Id="rId73" Type="http://schemas.openxmlformats.org/officeDocument/2006/relationships/header" Target="header1.xml"/><Relationship Id="rId74" Type="http://schemas.openxmlformats.org/officeDocument/2006/relationships/footer" Target="footer1.xml"/><Relationship Id="rId75" Type="http://schemas.openxmlformats.org/officeDocument/2006/relationships/header" Target="header2.xml"/><Relationship Id="rId7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Uzbekistan. Регуляторная песочница: международный сравнительный анализ и проектные решения</dc:title>
  <dc:subject/>
  <dc:creator>Advisory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