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POP-IA-03 – Consolidação e Geração do Relatório</w:t>
      </w:r>
    </w:p>
    <w:p>
      <w:pPr>
        <w:pStyle w:val="Heading2"/>
        <w:rPr/>
      </w:pPr>
      <w:r>
        <w:rPr/>
        <w:t>Objetivo</w:t>
      </w:r>
    </w:p>
    <w:p>
      <w:pPr>
        <w:pStyle w:val="Normal"/>
        <w:rPr/>
      </w:pPr>
      <w:r>
        <w:rPr/>
        <w:t>Consolidar os resultados produzidos pelas RCAs e gerar o relatório técnico.</w:t>
      </w:r>
    </w:p>
    <w:p>
      <w:pPr>
        <w:pStyle w:val="Heading2"/>
        <w:rPr/>
      </w:pPr>
      <w:r>
        <w:rPr/>
        <w:t>Tratamento de conflitos</w:t>
      </w:r>
    </w:p>
    <w:p>
      <w:pPr>
        <w:pStyle w:val="ListBullet"/>
        <w:numPr>
          <w:ilvl w:val="0"/>
          <w:numId w:val="1"/>
        </w:numPr>
        <w:rPr/>
      </w:pPr>
      <w:r>
        <w:rPr/>
        <w:t>Aplicar a hierarquia das fontes documentais.</w:t>
      </w:r>
    </w:p>
    <w:p>
      <w:pPr>
        <w:pStyle w:val="ListBullet"/>
        <w:numPr>
          <w:ilvl w:val="0"/>
          <w:numId w:val="1"/>
        </w:numPr>
        <w:rPr/>
      </w:pPr>
      <w:r>
        <w:rPr/>
        <w:t>Persistindo conflito, classificar como 'Necessita análise humana'.</w:t>
      </w:r>
    </w:p>
    <w:p>
      <w:pPr>
        <w:pStyle w:val="Heading2"/>
        <w:rPr/>
      </w:pPr>
      <w:r>
        <w:rPr/>
        <w:t>Consolidação</w:t>
      </w:r>
    </w:p>
    <w:p>
      <w:pPr>
        <w:pStyle w:val="ListBullet"/>
        <w:numPr>
          <w:ilvl w:val="0"/>
          <w:numId w:val="1"/>
        </w:numPr>
        <w:rPr/>
      </w:pPr>
      <w:r>
        <w:rPr/>
        <w:t>Agrupar conformidades.</w:t>
      </w:r>
    </w:p>
    <w:p>
      <w:pPr>
        <w:pStyle w:val="ListBullet"/>
        <w:numPr>
          <w:ilvl w:val="0"/>
          <w:numId w:val="1"/>
        </w:numPr>
        <w:rPr/>
      </w:pPr>
      <w:r>
        <w:rPr/>
        <w:t>Agrupar não conformidades.</w:t>
      </w:r>
    </w:p>
    <w:p>
      <w:pPr>
        <w:pStyle w:val="ListBullet"/>
        <w:numPr>
          <w:ilvl w:val="0"/>
          <w:numId w:val="1"/>
        </w:numPr>
        <w:rPr/>
      </w:pPr>
      <w:r>
        <w:rPr/>
        <w:t>Relacionar pendências documentais.</w:t>
      </w:r>
    </w:p>
    <w:p>
      <w:pPr>
        <w:pStyle w:val="ListBullet"/>
        <w:numPr>
          <w:ilvl w:val="0"/>
          <w:numId w:val="1"/>
        </w:numPr>
        <w:rPr/>
      </w:pPr>
      <w:r>
        <w:rPr/>
        <w:t>Relacionar casos que exigem manifestação do RT.</w:t>
      </w:r>
    </w:p>
    <w:p>
      <w:pPr>
        <w:pStyle w:val="Heading2"/>
        <w:rPr/>
      </w:pPr>
      <w:r>
        <w:rPr/>
        <w:t>Estrutura do Relatório</w:t>
      </w:r>
    </w:p>
    <w:p>
      <w:pPr>
        <w:pStyle w:val="ListBullet"/>
        <w:numPr>
          <w:ilvl w:val="0"/>
          <w:numId w:val="1"/>
        </w:numPr>
        <w:rPr/>
      </w:pPr>
      <w:r>
        <w:rPr/>
        <w:t>Identificação do processo</w:t>
      </w:r>
    </w:p>
    <w:p>
      <w:pPr>
        <w:pStyle w:val="ListBullet"/>
        <w:numPr>
          <w:ilvl w:val="0"/>
          <w:numId w:val="1"/>
        </w:numPr>
        <w:rPr/>
      </w:pPr>
      <w:r>
        <w:rPr/>
        <w:t>Documentos analisados</w:t>
      </w:r>
    </w:p>
    <w:p>
      <w:pPr>
        <w:pStyle w:val="ListBullet"/>
        <w:numPr>
          <w:ilvl w:val="0"/>
          <w:numId w:val="1"/>
        </w:numPr>
        <w:rPr/>
      </w:pPr>
      <w:r>
        <w:rPr/>
        <w:t>Resumo executivo</w:t>
      </w:r>
    </w:p>
    <w:p>
      <w:pPr>
        <w:pStyle w:val="ListBullet"/>
        <w:numPr>
          <w:ilvl w:val="0"/>
          <w:numId w:val="1"/>
        </w:numPr>
        <w:rPr/>
      </w:pPr>
      <w:r>
        <w:rPr/>
        <w:t>Lista de Não Conformidades</w:t>
      </w:r>
    </w:p>
    <w:p>
      <w:pPr>
        <w:pStyle w:val="ListBullet"/>
        <w:numPr>
          <w:ilvl w:val="0"/>
          <w:numId w:val="1"/>
        </w:numPr>
        <w:rPr/>
      </w:pPr>
      <w:r>
        <w:rPr/>
        <w:t>Lista de Pendências</w:t>
      </w:r>
    </w:p>
    <w:p>
      <w:pPr>
        <w:pStyle w:val="ListBullet"/>
        <w:numPr>
          <w:ilvl w:val="0"/>
          <w:numId w:val="1"/>
        </w:numPr>
        <w:rPr/>
      </w:pPr>
      <w:r>
        <w:rPr/>
        <w:t>Regras executadas</w:t>
      </w:r>
    </w:p>
    <w:p>
      <w:pPr>
        <w:pStyle w:val="ListBullet"/>
        <w:numPr>
          <w:ilvl w:val="0"/>
          <w:numId w:val="1"/>
        </w:numPr>
        <w:rPr/>
      </w:pPr>
      <w:r>
        <w:rPr/>
        <w:t>Evidências utilizadas</w:t>
      </w:r>
    </w:p>
    <w:p>
      <w:pPr>
        <w:pStyle w:val="ListBullet"/>
        <w:numPr>
          <w:ilvl w:val="0"/>
          <w:numId w:val="1"/>
        </w:numPr>
        <w:rPr/>
      </w:pPr>
      <w:r>
        <w:rPr/>
        <w:t>Justificativas</w:t>
      </w:r>
    </w:p>
    <w:p>
      <w:pPr>
        <w:pStyle w:val="ListBullet"/>
        <w:numPr>
          <w:ilvl w:val="0"/>
          <w:numId w:val="1"/>
        </w:numPr>
        <w:rPr/>
      </w:pPr>
      <w:r>
        <w:rPr/>
        <w:t>Histórico e versão da Base de Conhecimento</w:t>
      </w:r>
    </w:p>
    <w:p>
      <w:pPr>
        <w:pStyle w:val="Heading2"/>
        <w:rPr/>
      </w:pPr>
      <w:r>
        <w:rPr/>
        <w:t>Auditoria</w:t>
      </w:r>
    </w:p>
    <w:p>
      <w:pPr>
        <w:pStyle w:val="ListBullet"/>
        <w:numPr>
          <w:ilvl w:val="0"/>
          <w:numId w:val="1"/>
        </w:numPr>
        <w:rPr/>
      </w:pPr>
      <w:r>
        <w:rPr/>
        <w:t>Registrar data, versão do POP-IA, versão da Base de Conhecimento e regras executadas.</w:t>
      </w:r>
    </w:p>
    <w:p>
      <w:pPr>
        <w:pStyle w:val="Heading2"/>
        <w:rPr/>
      </w:pPr>
      <w:r>
        <w:rPr/>
        <w:t>Produto</w:t>
      </w:r>
    </w:p>
    <w:p>
      <w:pPr>
        <w:pStyle w:val="Normal"/>
        <w:rPr/>
      </w:pPr>
      <w:r>
        <w:rPr/>
        <w:t>Relatório técnico estruturado para apoio ao vistoriador.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Todo o relatório técnico deve ser produzido exclusivamente em português (pt-BR). É proibido utilizar identificadores internos, nomes de critérios, códigos DSL ou termos em inglês na saída ao usuário. Identificadores como CRITERION, REQUIREMENT, NONCONFORMITY e SMSCI destinam-se apenas ao processo interno de inferência.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mailMerge>
    <w:mainDocumentType w:val="formLetters"/>
    <w:dataType w:val="textFile"/>
    <w:query w:val="SELECT * FROM Endereços1.dbo.Faxinal$"/>
  </w:mailMerge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2</Pages>
  <Words>160</Words>
  <Characters>1001</Characters>
  <CharactersWithSpaces>1120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2026-07-21T18:44:08Z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