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POP-IA-01 – Preparação da Análise</w:t>
      </w:r>
    </w:p>
    <w:p>
      <w:pPr>
        <w:pStyle w:val="Heading2"/>
      </w:pPr>
      <w:r>
        <w:t>Objetivo</w:t>
      </w:r>
    </w:p>
    <w:p>
      <w:r>
        <w:t>Padronizar a preparação da análise documental antes da execução das regras da Base de Conhecimento.</w:t>
      </w:r>
    </w:p>
    <w:p>
      <w:pPr>
        <w:pStyle w:val="Heading2"/>
      </w:pPr>
      <w:r>
        <w:t>Entradas</w:t>
      </w:r>
    </w:p>
    <w:p>
      <w:pPr>
        <w:pStyle w:val="ListBullet"/>
      </w:pPr>
      <w:r>
        <w:t>Solicitação de Habite-se</w:t>
      </w:r>
    </w:p>
    <w:p>
      <w:pPr>
        <w:pStyle w:val="ListBullet"/>
      </w:pPr>
      <w:r>
        <w:t>Atestado para Construção, Reforma ou Ampliação (ACRA)</w:t>
      </w:r>
    </w:p>
    <w:p>
      <w:pPr>
        <w:pStyle w:val="ListBullet"/>
      </w:pPr>
      <w:r>
        <w:t>Cadastro do processo no e-SCI</w:t>
      </w:r>
    </w:p>
    <w:p>
      <w:pPr>
        <w:pStyle w:val="ListBullet"/>
      </w:pPr>
      <w:r>
        <w:t>DRTs, Relatórios de Conformidade e demais documentos anexados</w:t>
      </w:r>
    </w:p>
    <w:p>
      <w:pPr>
        <w:pStyle w:val="Heading2"/>
      </w:pPr>
      <w:r>
        <w:t>Procedimento</w:t>
      </w:r>
    </w:p>
    <w:p>
      <w:pPr>
        <w:pStyle w:val="ListBullet"/>
      </w:pPr>
      <w:r>
        <w:t>1. Inventariar todos os documentos recebidos.</w:t>
      </w:r>
    </w:p>
    <w:p>
      <w:pPr>
        <w:pStyle w:val="ListBullet"/>
      </w:pPr>
      <w:r>
        <w:t>2. Identificar documentos ausentes, duplicados, ilegíveis ou inconsistentes.</w:t>
      </w:r>
    </w:p>
    <w:p>
      <w:pPr>
        <w:pStyle w:val="ListBullet"/>
      </w:pPr>
      <w:r>
        <w:t>3. Definir as fontes primárias (e-SCI, Solicitação, ACRA) e secundárias (DRT, Relatórios etc.).</w:t>
      </w:r>
    </w:p>
    <w:p>
      <w:pPr>
        <w:pStyle w:val="ListBullet"/>
      </w:pPr>
      <w:r>
        <w:t>4. Extrair os dados relevantes de cada documento.</w:t>
      </w:r>
    </w:p>
    <w:p>
      <w:pPr>
        <w:pStyle w:val="ListBullet"/>
      </w:pPr>
      <w:r>
        <w:t>5. Resolver duplicidades utilizando a hierarquia de fontes.</w:t>
      </w:r>
    </w:p>
    <w:p>
      <w:pPr>
        <w:pStyle w:val="ListBullet"/>
      </w:pPr>
      <w:r>
        <w:t>6. Construir a Memória de Trabalho do processo.</w:t>
      </w:r>
    </w:p>
    <w:p>
      <w:pPr>
        <w:pStyle w:val="Heading2"/>
      </w:pPr>
      <w:r>
        <w:t>Memória de Trabalho</w:t>
      </w:r>
    </w:p>
    <w:p>
      <w:pPr>
        <w:pStyle w:val="ListBullet"/>
      </w:pPr>
      <w:r>
        <w:t>Número do processo</w:t>
      </w:r>
    </w:p>
    <w:p>
      <w:pPr>
        <w:pStyle w:val="ListBullet"/>
      </w:pPr>
      <w:r>
        <w:t>Endereço</w:t>
      </w:r>
    </w:p>
    <w:p>
      <w:pPr>
        <w:pStyle w:val="ListBullet"/>
      </w:pPr>
      <w:r>
        <w:t>Responsável Técnico</w:t>
      </w:r>
    </w:p>
    <w:p>
      <w:pPr>
        <w:pStyle w:val="ListBullet"/>
      </w:pPr>
      <w:r>
        <w:t>Responsável pelo imóvel</w:t>
      </w:r>
    </w:p>
    <w:p>
      <w:pPr>
        <w:pStyle w:val="ListBullet"/>
      </w:pPr>
      <w:r>
        <w:t>Área, altura, ocupação e pavimentos</w:t>
      </w:r>
    </w:p>
    <w:p>
      <w:pPr>
        <w:pStyle w:val="ListBullet"/>
      </w:pPr>
      <w:r>
        <w:t>Lista de SMSCI previstos</w:t>
      </w:r>
    </w:p>
    <w:p>
      <w:pPr>
        <w:pStyle w:val="ListBullet"/>
      </w:pPr>
      <w:r>
        <w:t>Documentos presentes e ausentes</w:t>
      </w:r>
    </w:p>
    <w:p>
      <w:pPr>
        <w:pStyle w:val="Heading2"/>
      </w:pPr>
      <w:r>
        <w:t>Produto</w:t>
      </w:r>
    </w:p>
    <w:p>
      <w:r>
        <w:t>Memória de Trabalho consolidada e pronta para a execução das regras.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