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POP-IA-02 – Execução da Base de Conhecimento</w:t>
      </w:r>
    </w:p>
    <w:p>
      <w:pPr>
        <w:pStyle w:val="Heading2"/>
      </w:pPr>
      <w:r>
        <w:t>Objetivo</w:t>
      </w:r>
    </w:p>
    <w:p>
      <w:r>
        <w:t>Executar as Regras Canônicas de Avaliação (RCA) sobre a Memória de Trabalho.</w:t>
      </w:r>
    </w:p>
    <w:p>
      <w:pPr>
        <w:pStyle w:val="Heading2"/>
      </w:pPr>
      <w:r>
        <w:t>Entradas</w:t>
      </w:r>
    </w:p>
    <w:p>
      <w:pPr>
        <w:pStyle w:val="ListBullet"/>
      </w:pPr>
      <w:r>
        <w:t>Memória de Trabalho</w:t>
      </w:r>
    </w:p>
    <w:p>
      <w:pPr>
        <w:pStyle w:val="ListBullet"/>
      </w:pPr>
      <w:r>
        <w:t>Base de Conhecimento</w:t>
      </w:r>
    </w:p>
    <w:p>
      <w:pPr>
        <w:pStyle w:val="ListBullet"/>
      </w:pPr>
      <w:r>
        <w:t>Regras Canônicas aplicáveis</w:t>
      </w:r>
    </w:p>
    <w:p>
      <w:pPr>
        <w:pStyle w:val="Heading2"/>
      </w:pPr>
      <w:r>
        <w:t>Fluxo</w:t>
      </w:r>
    </w:p>
    <w:p>
      <w:pPr>
        <w:pStyle w:val="ListBullet"/>
      </w:pPr>
      <w:r>
        <w:t>Selecionar apenas as regras aplicáveis ao processo.</w:t>
      </w:r>
    </w:p>
    <w:p>
      <w:pPr>
        <w:pStyle w:val="ListBullet"/>
      </w:pPr>
      <w:r>
        <w:t>Verificar pré-condições.</w:t>
      </w:r>
    </w:p>
    <w:p>
      <w:pPr>
        <w:pStyle w:val="ListBullet"/>
      </w:pPr>
      <w:r>
        <w:t>Localizar evidências.</w:t>
      </w:r>
    </w:p>
    <w:p>
      <w:pPr>
        <w:pStyle w:val="ListBullet"/>
      </w:pPr>
      <w:r>
        <w:t>Aplicar a condição lógica da RCA.</w:t>
      </w:r>
    </w:p>
    <w:p>
      <w:pPr>
        <w:pStyle w:val="ListBullet"/>
      </w:pPr>
      <w:r>
        <w:t>Registrar o resultado e a justificativa.</w:t>
      </w:r>
    </w:p>
    <w:p>
      <w:pPr>
        <w:pStyle w:val="Heading2"/>
      </w:pPr>
      <w:r>
        <w:t>Estados possíveis</w:t>
      </w:r>
    </w:p>
    <w:p>
      <w:pPr>
        <w:pStyle w:val="ListBullet"/>
      </w:pPr>
      <w:r>
        <w:t>Conforme</w:t>
      </w:r>
    </w:p>
    <w:p>
      <w:pPr>
        <w:pStyle w:val="ListBullet"/>
      </w:pPr>
      <w:r>
        <w:t>Não Conforme</w:t>
      </w:r>
    </w:p>
    <w:p>
      <w:pPr>
        <w:pStyle w:val="ListBullet"/>
      </w:pPr>
      <w:r>
        <w:t>Informação insuficiente</w:t>
      </w:r>
    </w:p>
    <w:p>
      <w:pPr>
        <w:pStyle w:val="ListBullet"/>
      </w:pPr>
      <w:r>
        <w:t>Não foi possível verificar</w:t>
      </w:r>
    </w:p>
    <w:p>
      <w:pPr>
        <w:pStyle w:val="ListBullet"/>
      </w:pPr>
      <w:r>
        <w:t>Necessita manifestação do RT</w:t>
      </w:r>
    </w:p>
    <w:p>
      <w:pPr>
        <w:pStyle w:val="ListBullet"/>
      </w:pPr>
      <w:r>
        <w:t>Necessita análise humana</w:t>
      </w:r>
    </w:p>
    <w:p>
      <w:pPr>
        <w:pStyle w:val="ListBullet"/>
      </w:pPr>
      <w:r>
        <w:t>Não se aplica</w:t>
      </w:r>
    </w:p>
    <w:p>
      <w:pPr>
        <w:pStyle w:val="Heading2"/>
      </w:pPr>
      <w:r>
        <w:t>Produto</w:t>
      </w:r>
    </w:p>
    <w:p>
      <w:r>
        <w:t>Lista completa de resultados individuais das regras executadas.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