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11111"/>
          <w:sz w:val="48"/>
        </w:rPr>
        <w:t>Nuglet + Knowledge Bits</w:t>
      </w:r>
    </w:p>
    <w:p>
      <w:pPr>
        <w:spacing w:before="0" w:after="280"/>
      </w:pPr>
      <w:r>
        <w:rPr>
          <w:rFonts w:ascii="Calibri" w:hAnsi="Calibri"/>
          <w:b/>
          <w:color w:val="667085"/>
          <w:sz w:val="28"/>
        </w:rPr>
        <w:t>Product, Content, and Growth Strategy</w:t>
      </w:r>
    </w:p>
    <w:p>
      <w:pPr>
        <w:pStyle w:val="StrategyMetadata"/>
      </w:pPr>
      <w:r>
        <w:rPr>
          <w:rFonts w:ascii="Calibri" w:hAnsi="Calibri"/>
          <w:b/>
          <w:color w:val="111111"/>
          <w:sz w:val="21"/>
        </w:rPr>
        <w:t xml:space="preserve">Status: </w:t>
      </w:r>
      <w:r>
        <w:rPr>
          <w:rFonts w:ascii="Calibri" w:hAnsi="Calibri"/>
          <w:color w:val="1F2937"/>
          <w:sz w:val="21"/>
        </w:rPr>
        <w:t>Working strategy</w:t>
      </w:r>
    </w:p>
    <w:p>
      <w:pPr>
        <w:pStyle w:val="StrategyMetadata"/>
      </w:pPr>
      <w:r>
        <w:rPr>
          <w:rFonts w:ascii="Calibri" w:hAnsi="Calibri"/>
          <w:b/>
          <w:color w:val="111111"/>
          <w:sz w:val="21"/>
        </w:rPr>
        <w:t xml:space="preserve">Date: </w:t>
      </w:r>
      <w:r>
        <w:rPr>
          <w:rFonts w:ascii="Calibri" w:hAnsi="Calibri"/>
          <w:color w:val="1F2937"/>
          <w:sz w:val="21"/>
        </w:rPr>
        <w:t>28 July 2026</w:t>
      </w:r>
    </w:p>
    <w:p>
      <w:pPr>
        <w:pStyle w:val="StrategyMetadata"/>
      </w:pPr>
      <w:r>
        <w:rPr>
          <w:rFonts w:ascii="Calibri" w:hAnsi="Calibri"/>
          <w:b/>
          <w:color w:val="111111"/>
          <w:sz w:val="21"/>
        </w:rPr>
        <w:t xml:space="preserve">Scope: </w:t>
      </w:r>
      <w:r>
        <w:rPr>
          <w:rFonts w:ascii="Calibri" w:hAnsi="Calibri"/>
          <w:color w:val="1F2937"/>
          <w:sz w:val="21"/>
        </w:rPr>
        <w:t>Nuglet consumer product, Knowledge Bits production engine, organic discovery, paid acquisition, and future machine distribution</w:t>
      </w:r>
    </w:p>
    <w:p>
      <w:pPr>
        <w:pStyle w:val="StrategyCallout"/>
        <w:shd w:fill="EAF2F8"/>
        <w:pBdr>
          <w:left w:val="single" w:sz="18" w:space="10" w:color="2E74B5"/>
        </w:pBdr>
      </w:pPr>
      <w:r>
        <w:rPr>
          <w:rFonts w:ascii="Calibri" w:hAnsi="Calibri"/>
          <w:i w:val="0"/>
          <w:color w:val="1F4D78"/>
          <w:sz w:val="22"/>
        </w:rPr>
        <w:t>Build one trusted knowledge core, express it in the formats people and machines need, and use those releases to grow Nuglet before scaling paid acquisition or broadening Knowledge Bits into a standalone platform.</w:t>
      </w:r>
    </w:p>
    <w:p>
      <w:pPr>
        <w:pStyle w:val="Heading1"/>
      </w:pPr>
      <w:r>
        <w:t>Executive summary</w:t>
      </w:r>
    </w:p>
    <w:p>
      <w:r>
        <w:rPr>
          <w:rFonts w:ascii="Calibri" w:hAnsi="Calibri"/>
          <w:i w:val="0"/>
          <w:color w:val="1F2937"/>
          <w:sz w:val="22"/>
        </w:rPr>
        <w:t>Nuglet began as one product: a consumer learning experience supported by an internal content operation. As the product expanded across backend, web, mobile, growth, research, media, review, and publishing, the operational content workflow began to conflict with the needs of the learner-facing applications. Long-running provider work, editorial evidence, production credentials, retries, and approval state did not belong in the same product boundary as subscriptions, lesson delivery, mobile interaction, and public web performance.</w:t>
      </w:r>
    </w:p>
    <w:p>
      <w:r>
        <w:rPr>
          <w:rFonts w:ascii="Calibri" w:hAnsi="Calibri"/>
          <w:i w:val="0"/>
          <w:color w:val="1F2937"/>
          <w:sz w:val="22"/>
        </w:rPr>
        <w:t>Knowledge Bits emerged from that pressure. The separation was not part of the original plan; it became necessary once the content system was large enough to slow and complicate the consumer product. The split now creates a strategic advantage:</w:t>
      </w:r>
    </w:p>
    <w:p>
      <w:pPr>
        <w:keepLines/>
        <w:widowControl/>
        <w:numPr>
          <w:ilvl w:val="0"/>
          <w:numId w:val="10"/>
        </w:numPr>
      </w:pPr>
      <w:r>
        <w:rPr>
          <w:rFonts w:ascii="Calibri" w:hAnsi="Calibri"/>
          <w:b/>
          <w:i w:val="0"/>
          <w:color w:val="1F2937"/>
          <w:sz w:val="22"/>
        </w:rPr>
        <w:t>Knowledge Bits</w:t>
      </w:r>
      <w:r>
        <w:rPr>
          <w:rFonts w:ascii="Calibri" w:hAnsi="Calibri"/>
          <w:i w:val="0"/>
          <w:color w:val="1F2937"/>
          <w:sz w:val="22"/>
        </w:rPr>
        <w:t xml:space="preserve"> turns a seed idea and trusted sources into reviewed, versioned, multi-format knowledge releases.</w:t>
      </w:r>
    </w:p>
    <w:p>
      <w:pPr>
        <w:keepLines/>
        <w:widowControl/>
        <w:numPr>
          <w:ilvl w:val="0"/>
          <w:numId w:val="10"/>
        </w:numPr>
      </w:pPr>
      <w:r>
        <w:rPr>
          <w:rFonts w:ascii="Calibri" w:hAnsi="Calibri"/>
          <w:b/>
          <w:i w:val="0"/>
          <w:color w:val="1F2937"/>
          <w:sz w:val="22"/>
        </w:rPr>
        <w:t>Nuglet</w:t>
      </w:r>
      <w:r>
        <w:rPr>
          <w:rFonts w:ascii="Calibri" w:hAnsi="Calibri"/>
          <w:i w:val="0"/>
          <w:color w:val="1F2937"/>
          <w:sz w:val="22"/>
        </w:rPr>
        <w:t xml:space="preserve"> turns those releases into a focused learning experience, public discovery surfaces, subscriptions, and a return habit.</w:t>
      </w:r>
    </w:p>
    <w:p>
      <w:r>
        <w:rPr>
          <w:rFonts w:ascii="Calibri" w:hAnsi="Calibri"/>
          <w:i w:val="0"/>
          <w:color w:val="1F2937"/>
          <w:sz w:val="22"/>
        </w:rPr>
        <w:t>This is more than a repository decision. It separates two different businesses and operating rhythms while allowing them to reinforce each other.</w:t>
      </w:r>
    </w:p>
    <w:p>
      <w:r>
        <w:rPr>
          <w:rFonts w:ascii="Calibri" w:hAnsi="Calibri"/>
          <w:i w:val="0"/>
          <w:color w:val="1F2937"/>
          <w:sz w:val="22"/>
        </w:rPr>
        <w:t>The near-term priority is not maximum content volume or maximum traffic. Nuglet still has a small number of known users, an audience hypothesis rather than a proven segment, and limited evidence about conversion and retention. Organic search, AI-answer discovery, direct sharing, and carefully chosen content clusters should therefore be used as learning channels. They can reveal which questions, topics, promises, and formats attract the right people before the company pays to acquire them at scale.</w:t>
      </w:r>
    </w:p>
    <w:p>
      <w:r>
        <w:rPr>
          <w:rFonts w:ascii="Calibri" w:hAnsi="Calibri"/>
          <w:i w:val="0"/>
          <w:color w:val="1F2937"/>
          <w:sz w:val="22"/>
        </w:rPr>
        <w:t>Paid acquisition should remain a bounded experiment until Nuglet can identify:</w:t>
      </w:r>
    </w:p>
    <w:p>
      <w:pPr>
        <w:keepLines/>
        <w:widowControl/>
        <w:numPr>
          <w:ilvl w:val="0"/>
          <w:numId w:val="11"/>
        </w:numPr>
      </w:pPr>
      <w:r>
        <w:rPr>
          <w:rFonts w:ascii="Calibri" w:hAnsi="Calibri"/>
          <w:i w:val="0"/>
          <w:color w:val="1F2937"/>
          <w:sz w:val="22"/>
        </w:rPr>
        <w:t>a specific customer segment and urgent learning job;</w:t>
      </w:r>
    </w:p>
    <w:p>
      <w:pPr>
        <w:keepLines/>
        <w:widowControl/>
        <w:numPr>
          <w:ilvl w:val="0"/>
          <w:numId w:val="11"/>
        </w:numPr>
      </w:pPr>
      <w:r>
        <w:rPr>
          <w:rFonts w:ascii="Calibri" w:hAnsi="Calibri"/>
          <w:i w:val="0"/>
          <w:color w:val="1F2937"/>
          <w:sz w:val="22"/>
        </w:rPr>
        <w:t>a promise that earns a qualified click;</w:t>
      </w:r>
    </w:p>
    <w:p>
      <w:pPr>
        <w:keepLines/>
        <w:widowControl/>
        <w:numPr>
          <w:ilvl w:val="0"/>
          <w:numId w:val="11"/>
        </w:numPr>
      </w:pPr>
      <w:r>
        <w:rPr>
          <w:rFonts w:ascii="Calibri" w:hAnsi="Calibri"/>
          <w:i w:val="0"/>
          <w:color w:val="1F2937"/>
          <w:sz w:val="22"/>
        </w:rPr>
        <w:t>a first lesson that creates a useful moment;</w:t>
      </w:r>
    </w:p>
    <w:p>
      <w:pPr>
        <w:keepLines/>
        <w:widowControl/>
        <w:numPr>
          <w:ilvl w:val="0"/>
          <w:numId w:val="11"/>
        </w:numPr>
      </w:pPr>
      <w:r>
        <w:rPr>
          <w:rFonts w:ascii="Calibri" w:hAnsi="Calibri"/>
          <w:i w:val="0"/>
          <w:color w:val="1F2937"/>
          <w:sz w:val="22"/>
        </w:rPr>
        <w:t>a return behavior that predicts retention; and</w:t>
      </w:r>
    </w:p>
    <w:p>
      <w:pPr>
        <w:keepLines/>
        <w:widowControl/>
        <w:numPr>
          <w:ilvl w:val="0"/>
          <w:numId w:val="11"/>
        </w:numPr>
      </w:pPr>
      <w:r>
        <w:rPr>
          <w:rFonts w:ascii="Calibri" w:hAnsi="Calibri"/>
          <w:i w:val="0"/>
          <w:color w:val="1F2937"/>
          <w:sz w:val="22"/>
        </w:rPr>
        <w:t>a conversion rate and lifetime-value hypothesis that justify a CAC ceiling.</w:t>
      </w:r>
    </w:p>
    <w:p>
      <w:r>
        <w:rPr>
          <w:rFonts w:ascii="Calibri" w:hAnsi="Calibri"/>
          <w:i w:val="0"/>
          <w:color w:val="1F2937"/>
          <w:sz w:val="22"/>
        </w:rPr>
        <w:t>Longer term, the same source-grounded knowledge core can serve more than Nuglet. Knowledge Bits can produce text, audio, video, images, infographics, quizzes, challenges, evidence, and destination-ready payloads for publishers, learning products, newsletters, customer education systems, APIs, and agent clients. x402 may eventually provide an HTTP-native way for machines to pay for access to individual resources or production capabilities. That is an option, not a current dependency.</w:t>
      </w:r>
    </w:p>
    <w:p>
      <w:pPr>
        <w:pStyle w:val="Heading1"/>
      </w:pPr>
      <w:r>
        <w:t>1. The strategy in one sentence</w:t>
      </w:r>
    </w:p>
    <w:p>
      <w:r>
        <w:rPr>
          <w:rFonts w:ascii="Calibri" w:hAnsi="Calibri"/>
          <w:i w:val="0"/>
          <w:color w:val="1F2937"/>
          <w:sz w:val="22"/>
        </w:rPr>
        <w:t>Use Knowledge Bits to produce trustworthy, reusable, multi-format knowledge; use Nuglet to turn that knowledge into an excellent consumer learning experience and an organic discovery loop; scale paid and machine distribution only after the audience, economics, rights, and quality model are proven.</w:t>
      </w:r>
    </w:p>
    <w:p>
      <w:pPr>
        <w:pStyle w:val="Heading1"/>
      </w:pPr>
      <w:r>
        <w:t>2. Why the products separated</w:t>
      </w:r>
    </w:p>
    <w:p>
      <w:r>
        <w:rPr>
          <w:rFonts w:ascii="Calibri" w:hAnsi="Calibri"/>
          <w:i w:val="0"/>
          <w:color w:val="1F2937"/>
          <w:sz w:val="22"/>
        </w:rPr>
        <w:t>The original Nuglet monorepo combined several distinct concerns:</w:t>
      </w:r>
    </w:p>
    <w:p>
      <w:pPr>
        <w:keepLines/>
        <w:widowControl/>
        <w:numPr>
          <w:ilvl w:val="0"/>
          <w:numId w:val="10"/>
        </w:numPr>
      </w:pPr>
      <w:r>
        <w:rPr>
          <w:rFonts w:ascii="Calibri" w:hAnsi="Calibri"/>
          <w:i w:val="0"/>
          <w:color w:val="1F2937"/>
          <w:sz w:val="22"/>
        </w:rPr>
        <w:t>consumer subscriptions and entitlements;</w:t>
      </w:r>
    </w:p>
    <w:p>
      <w:pPr>
        <w:keepLines/>
        <w:widowControl/>
        <w:numPr>
          <w:ilvl w:val="0"/>
          <w:numId w:val="10"/>
        </w:numPr>
      </w:pPr>
      <w:r>
        <w:rPr>
          <w:rFonts w:ascii="Calibri" w:hAnsi="Calibri"/>
          <w:i w:val="0"/>
          <w:color w:val="1F2937"/>
          <w:sz w:val="22"/>
        </w:rPr>
        <w:t>web and mobile learner experiences;</w:t>
      </w:r>
    </w:p>
    <w:p>
      <w:pPr>
        <w:keepLines/>
        <w:widowControl/>
        <w:numPr>
          <w:ilvl w:val="0"/>
          <w:numId w:val="10"/>
        </w:numPr>
      </w:pPr>
      <w:r>
        <w:rPr>
          <w:rFonts w:ascii="Calibri" w:hAnsi="Calibri"/>
          <w:i w:val="0"/>
          <w:color w:val="1F2937"/>
          <w:sz w:val="22"/>
        </w:rPr>
        <w:t>public lesson and SEO pages;</w:t>
      </w:r>
    </w:p>
    <w:p>
      <w:pPr>
        <w:keepLines/>
        <w:widowControl/>
        <w:numPr>
          <w:ilvl w:val="0"/>
          <w:numId w:val="10"/>
        </w:numPr>
      </w:pPr>
      <w:r>
        <w:rPr>
          <w:rFonts w:ascii="Calibri" w:hAnsi="Calibri"/>
          <w:i w:val="0"/>
          <w:color w:val="1F2937"/>
          <w:sz w:val="22"/>
        </w:rPr>
        <w:t>research and source capture;</w:t>
      </w:r>
    </w:p>
    <w:p>
      <w:pPr>
        <w:keepLines/>
        <w:widowControl/>
        <w:numPr>
          <w:ilvl w:val="0"/>
          <w:numId w:val="10"/>
        </w:numPr>
      </w:pPr>
      <w:r>
        <w:rPr>
          <w:rFonts w:ascii="Calibri" w:hAnsi="Calibri"/>
          <w:i w:val="0"/>
          <w:color w:val="1F2937"/>
          <w:sz w:val="22"/>
        </w:rPr>
        <w:t>model and media-provider execution;</w:t>
      </w:r>
    </w:p>
    <w:p>
      <w:pPr>
        <w:keepLines/>
        <w:widowControl/>
        <w:numPr>
          <w:ilvl w:val="0"/>
          <w:numId w:val="10"/>
        </w:numPr>
      </w:pPr>
      <w:r>
        <w:rPr>
          <w:rFonts w:ascii="Calibri" w:hAnsi="Calibri"/>
          <w:i w:val="0"/>
          <w:color w:val="1F2937"/>
          <w:sz w:val="22"/>
        </w:rPr>
        <w:t>deterministic quality checks;</w:t>
      </w:r>
    </w:p>
    <w:p>
      <w:pPr>
        <w:keepLines/>
        <w:widowControl/>
        <w:numPr>
          <w:ilvl w:val="0"/>
          <w:numId w:val="10"/>
        </w:numPr>
      </w:pPr>
      <w:r>
        <w:rPr>
          <w:rFonts w:ascii="Calibri" w:hAnsi="Calibri"/>
          <w:i w:val="0"/>
          <w:color w:val="1F2937"/>
          <w:sz w:val="22"/>
        </w:rPr>
        <w:t>editorial review and approval;</w:t>
      </w:r>
    </w:p>
    <w:p>
      <w:pPr>
        <w:keepLines/>
        <w:widowControl/>
        <w:numPr>
          <w:ilvl w:val="0"/>
          <w:numId w:val="10"/>
        </w:numPr>
      </w:pPr>
      <w:r>
        <w:rPr>
          <w:rFonts w:ascii="Calibri" w:hAnsi="Calibri"/>
          <w:i w:val="0"/>
          <w:color w:val="1F2937"/>
          <w:sz w:val="22"/>
        </w:rPr>
        <w:t>delivery, recovery, and production evidence.</w:t>
      </w:r>
    </w:p>
    <w:p>
      <w:r>
        <w:rPr>
          <w:rFonts w:ascii="Calibri" w:hAnsi="Calibri"/>
          <w:i w:val="0"/>
          <w:color w:val="1F2937"/>
          <w:sz w:val="22"/>
        </w:rPr>
        <w:t>These concerns have different security boundaries, runtimes, failure modes, release cadences, and definitions of success.</w:t>
      </w:r>
    </w:p>
    <w:p>
      <w:r>
        <w:rPr>
          <w:rFonts w:ascii="Calibri" w:hAnsi="Calibri"/>
          <w:i w:val="0"/>
          <w:color w:val="1F2937"/>
          <w:sz w:val="22"/>
        </w:rPr>
        <w:t>Nuglet must optimize for learner value, conversion, retention, accessibility, page speed, and web/mobile coherence. Knowledge Bits must optimize for source integrity, long-running job recovery, provider replaceability, editorial control, content consistency, and reliable delivery.</w:t>
      </w:r>
    </w:p>
    <w:p>
      <w:r>
        <w:rPr>
          <w:rFonts w:ascii="Calibri" w:hAnsi="Calibri"/>
          <w:i w:val="0"/>
          <w:color w:val="1F2937"/>
          <w:sz w:val="22"/>
        </w:rPr>
        <w:t>Separating them creates five benefits:</w:t>
      </w:r>
    </w:p>
    <w:p>
      <w:pPr>
        <w:keepLines/>
        <w:widowControl/>
        <w:numPr>
          <w:ilvl w:val="0"/>
          <w:numId w:val="12"/>
        </w:numPr>
      </w:pPr>
      <w:r>
        <w:rPr>
          <w:rFonts w:ascii="Calibri" w:hAnsi="Calibri"/>
          <w:b/>
          <w:i w:val="0"/>
          <w:color w:val="1F2937"/>
          <w:sz w:val="22"/>
        </w:rPr>
        <w:t>Operational clarity.</w:t>
      </w:r>
      <w:r>
        <w:rPr>
          <w:rFonts w:ascii="Calibri" w:hAnsi="Calibri"/>
          <w:i w:val="0"/>
          <w:color w:val="1F2937"/>
          <w:sz w:val="22"/>
        </w:rPr>
        <w:t xml:space="preserve"> Provider jobs and editorial exceptions no longer compete with consumer application work.</w:t>
      </w:r>
    </w:p>
    <w:p>
      <w:pPr>
        <w:keepLines/>
        <w:widowControl/>
        <w:numPr>
          <w:ilvl w:val="0"/>
          <w:numId w:val="12"/>
        </w:numPr>
      </w:pPr>
      <w:r>
        <w:rPr>
          <w:rFonts w:ascii="Calibri" w:hAnsi="Calibri"/>
          <w:b/>
          <w:i w:val="0"/>
          <w:color w:val="1F2937"/>
          <w:sz w:val="22"/>
        </w:rPr>
        <w:t>Security isolation.</w:t>
      </w:r>
      <w:r>
        <w:rPr>
          <w:rFonts w:ascii="Calibri" w:hAnsi="Calibri"/>
          <w:i w:val="0"/>
          <w:color w:val="1F2937"/>
          <w:sz w:val="22"/>
        </w:rPr>
        <w:t xml:space="preserve"> Content workers do not need Nuglet user, billing, or production-database authority.</w:t>
      </w:r>
    </w:p>
    <w:p>
      <w:pPr>
        <w:keepLines/>
        <w:widowControl/>
        <w:numPr>
          <w:ilvl w:val="0"/>
          <w:numId w:val="12"/>
        </w:numPr>
      </w:pPr>
      <w:r>
        <w:rPr>
          <w:rFonts w:ascii="Calibri" w:hAnsi="Calibri"/>
          <w:b/>
          <w:i w:val="0"/>
          <w:color w:val="1F2937"/>
          <w:sz w:val="22"/>
        </w:rPr>
        <w:t>Simpler product ownership.</w:t>
      </w:r>
      <w:r>
        <w:rPr>
          <w:rFonts w:ascii="Calibri" w:hAnsi="Calibri"/>
          <w:i w:val="0"/>
          <w:color w:val="1F2937"/>
          <w:sz w:val="22"/>
        </w:rPr>
        <w:t xml:space="preserve"> Nuglet owns the audience; Knowledge Bits owns production.</w:t>
      </w:r>
    </w:p>
    <w:p>
      <w:pPr>
        <w:keepLines/>
        <w:widowControl/>
        <w:numPr>
          <w:ilvl w:val="0"/>
          <w:numId w:val="12"/>
        </w:numPr>
      </w:pPr>
      <w:r>
        <w:rPr>
          <w:rFonts w:ascii="Calibri" w:hAnsi="Calibri"/>
          <w:b/>
          <w:i w:val="0"/>
          <w:color w:val="1F2937"/>
          <w:sz w:val="22"/>
        </w:rPr>
        <w:t>Independent evolution.</w:t>
      </w:r>
      <w:r>
        <w:rPr>
          <w:rFonts w:ascii="Calibri" w:hAnsi="Calibri"/>
          <w:i w:val="0"/>
          <w:color w:val="1F2937"/>
          <w:sz w:val="22"/>
        </w:rPr>
        <w:t xml:space="preserve"> The engine can add recipes, providers, and destinations without expanding the learner application.</w:t>
      </w:r>
    </w:p>
    <w:p>
      <w:pPr>
        <w:keepLines/>
        <w:widowControl/>
        <w:numPr>
          <w:ilvl w:val="0"/>
          <w:numId w:val="12"/>
        </w:numPr>
      </w:pPr>
      <w:r>
        <w:rPr>
          <w:rFonts w:ascii="Calibri" w:hAnsi="Calibri"/>
          <w:b/>
          <w:i w:val="0"/>
          <w:color w:val="1F2937"/>
          <w:sz w:val="22"/>
        </w:rPr>
        <w:t>Optionality.</w:t>
      </w:r>
      <w:r>
        <w:rPr>
          <w:rFonts w:ascii="Calibri" w:hAnsi="Calibri"/>
          <w:i w:val="0"/>
          <w:color w:val="1F2937"/>
          <w:sz w:val="22"/>
        </w:rPr>
        <w:t xml:space="preserve"> Knowledge Bits can eventually serve other products without turning Nuglet into a general-purpose content platform.</w:t>
      </w:r>
    </w:p>
    <w:p>
      <w:r>
        <w:rPr>
          <w:rFonts w:ascii="Calibri" w:hAnsi="Calibri"/>
          <w:i w:val="0"/>
          <w:color w:val="1F2937"/>
          <w:sz w:val="22"/>
        </w:rPr>
        <w:t>The boundary should remain explicit:</w:t>
      </w:r>
    </w:p>
    <w:p>
      <w:pPr>
        <w:pStyle w:val="Heading2"/>
      </w:pPr>
      <w:r>
        <w:t>Knowledge Bits owns</w:t>
      </w:r>
    </w:p>
    <w:p>
      <w:pPr>
        <w:keepLines/>
        <w:widowControl/>
        <w:numPr>
          <w:ilvl w:val="0"/>
          <w:numId w:val="10"/>
        </w:numPr>
      </w:pPr>
      <w:r>
        <w:rPr>
          <w:rFonts w:ascii="Calibri" w:hAnsi="Calibri"/>
          <w:i w:val="0"/>
          <w:color w:val="1F2937"/>
          <w:sz w:val="22"/>
        </w:rPr>
        <w:t>idea intake and research briefs;</w:t>
      </w:r>
    </w:p>
    <w:p>
      <w:pPr>
        <w:keepLines/>
        <w:widowControl/>
        <w:numPr>
          <w:ilvl w:val="0"/>
          <w:numId w:val="10"/>
        </w:numPr>
      </w:pPr>
      <w:r>
        <w:rPr>
          <w:rFonts w:ascii="Calibri" w:hAnsi="Calibri"/>
          <w:i w:val="0"/>
          <w:color w:val="1F2937"/>
          <w:sz w:val="22"/>
        </w:rPr>
        <w:t>source discovery, acceptance, and evidence capture;</w:t>
      </w:r>
    </w:p>
    <w:p>
      <w:pPr>
        <w:keepLines/>
        <w:widowControl/>
        <w:numPr>
          <w:ilvl w:val="0"/>
          <w:numId w:val="10"/>
        </w:numPr>
      </w:pPr>
      <w:r>
        <w:rPr>
          <w:rFonts w:ascii="Calibri" w:hAnsi="Calibri"/>
          <w:i w:val="0"/>
          <w:color w:val="1F2937"/>
          <w:sz w:val="22"/>
        </w:rPr>
        <w:t>source-grounded drafting and structured generation;</w:t>
      </w:r>
    </w:p>
    <w:p>
      <w:pPr>
        <w:keepLines/>
        <w:widowControl/>
        <w:numPr>
          <w:ilvl w:val="0"/>
          <w:numId w:val="10"/>
        </w:numPr>
      </w:pPr>
      <w:r>
        <w:rPr>
          <w:rFonts w:ascii="Calibri" w:hAnsi="Calibri"/>
          <w:i w:val="0"/>
          <w:color w:val="1F2937"/>
          <w:sz w:val="22"/>
        </w:rPr>
        <w:t>deterministic and editorial quality checks;</w:t>
      </w:r>
    </w:p>
    <w:p>
      <w:pPr>
        <w:keepLines/>
        <w:widowControl/>
        <w:numPr>
          <w:ilvl w:val="0"/>
          <w:numId w:val="10"/>
        </w:numPr>
      </w:pPr>
      <w:r>
        <w:rPr>
          <w:rFonts w:ascii="Calibri" w:hAnsi="Calibri"/>
          <w:i w:val="0"/>
          <w:color w:val="1F2937"/>
          <w:sz w:val="22"/>
        </w:rPr>
        <w:t>text, audio, video, image, infographic, and quiz production;</w:t>
      </w:r>
    </w:p>
    <w:p>
      <w:pPr>
        <w:keepLines/>
        <w:widowControl/>
        <w:numPr>
          <w:ilvl w:val="0"/>
          <w:numId w:val="10"/>
        </w:numPr>
      </w:pPr>
      <w:r>
        <w:rPr>
          <w:rFonts w:ascii="Calibri" w:hAnsi="Calibri"/>
          <w:i w:val="0"/>
          <w:color w:val="1F2937"/>
          <w:sz w:val="22"/>
        </w:rPr>
        <w:t>human review packages and approval records;</w:t>
      </w:r>
    </w:p>
    <w:p>
      <w:pPr>
        <w:keepLines/>
        <w:widowControl/>
        <w:numPr>
          <w:ilvl w:val="0"/>
          <w:numId w:val="10"/>
        </w:numPr>
      </w:pPr>
      <w:r>
        <w:rPr>
          <w:rFonts w:ascii="Calibri" w:hAnsi="Calibri"/>
          <w:i w:val="0"/>
          <w:color w:val="1F2937"/>
          <w:sz w:val="22"/>
        </w:rPr>
        <w:t>revision history, provenance, delivery attempts, and recovery;</w:t>
      </w:r>
    </w:p>
    <w:p>
      <w:pPr>
        <w:keepLines/>
        <w:widowControl/>
        <w:numPr>
          <w:ilvl w:val="0"/>
          <w:numId w:val="10"/>
        </w:numPr>
      </w:pPr>
      <w:r>
        <w:rPr>
          <w:rFonts w:ascii="Calibri" w:hAnsi="Calibri"/>
          <w:i w:val="0"/>
          <w:color w:val="1F2937"/>
          <w:sz w:val="22"/>
        </w:rPr>
        <w:t>destination-neutral recipes and destination adapters.</w:t>
      </w:r>
    </w:p>
    <w:p>
      <w:pPr>
        <w:pStyle w:val="Heading2"/>
      </w:pPr>
      <w:r>
        <w:t>Nuglet owns</w:t>
      </w:r>
    </w:p>
    <w:p>
      <w:pPr>
        <w:keepLines/>
        <w:widowControl/>
        <w:numPr>
          <w:ilvl w:val="0"/>
          <w:numId w:val="10"/>
        </w:numPr>
      </w:pPr>
      <w:r>
        <w:rPr>
          <w:rFonts w:ascii="Calibri" w:hAnsi="Calibri"/>
          <w:i w:val="0"/>
          <w:color w:val="1F2937"/>
          <w:sz w:val="22"/>
        </w:rPr>
        <w:t>the definition of a Nuglet lesson;</w:t>
      </w:r>
    </w:p>
    <w:p>
      <w:pPr>
        <w:keepLines/>
        <w:widowControl/>
        <w:numPr>
          <w:ilvl w:val="0"/>
          <w:numId w:val="10"/>
        </w:numPr>
      </w:pPr>
      <w:r>
        <w:rPr>
          <w:rFonts w:ascii="Calibri" w:hAnsi="Calibri"/>
          <w:i w:val="0"/>
          <w:color w:val="1F2937"/>
          <w:sz w:val="22"/>
        </w:rPr>
        <w:t>lesson mapping and public projection;</w:t>
      </w:r>
    </w:p>
    <w:p>
      <w:pPr>
        <w:keepLines/>
        <w:widowControl/>
        <w:numPr>
          <w:ilvl w:val="0"/>
          <w:numId w:val="10"/>
        </w:numPr>
      </w:pPr>
      <w:r>
        <w:rPr>
          <w:rFonts w:ascii="Calibri" w:hAnsi="Calibri"/>
          <w:i w:val="0"/>
          <w:color w:val="1F2937"/>
          <w:sz w:val="22"/>
        </w:rPr>
        <w:t>web and mobile learner experiences;</w:t>
      </w:r>
    </w:p>
    <w:p>
      <w:pPr>
        <w:keepLines/>
        <w:widowControl/>
        <w:numPr>
          <w:ilvl w:val="0"/>
          <w:numId w:val="10"/>
        </w:numPr>
      </w:pPr>
      <w:r>
        <w:rPr>
          <w:rFonts w:ascii="Calibri" w:hAnsi="Calibri"/>
          <w:i w:val="0"/>
          <w:color w:val="1F2937"/>
          <w:sz w:val="22"/>
        </w:rPr>
        <w:t>subscriptions, access, identity, and billing;</w:t>
      </w:r>
    </w:p>
    <w:p>
      <w:pPr>
        <w:keepLines/>
        <w:widowControl/>
        <w:numPr>
          <w:ilvl w:val="0"/>
          <w:numId w:val="10"/>
        </w:numPr>
      </w:pPr>
      <w:r>
        <w:rPr>
          <w:rFonts w:ascii="Calibri" w:hAnsi="Calibri"/>
          <w:i w:val="0"/>
          <w:color w:val="1F2937"/>
          <w:sz w:val="22"/>
        </w:rPr>
        <w:t>activation, completion, review, and return loops;</w:t>
      </w:r>
    </w:p>
    <w:p>
      <w:pPr>
        <w:keepLines/>
        <w:widowControl/>
        <w:numPr>
          <w:ilvl w:val="0"/>
          <w:numId w:val="10"/>
        </w:numPr>
      </w:pPr>
      <w:r>
        <w:rPr>
          <w:rFonts w:ascii="Calibri" w:hAnsi="Calibri"/>
          <w:i w:val="0"/>
          <w:color w:val="1F2937"/>
          <w:sz w:val="22"/>
        </w:rPr>
        <w:t>public lesson, topic, guide, comparison, and learning-path pages;</w:t>
      </w:r>
    </w:p>
    <w:p>
      <w:pPr>
        <w:keepLines/>
        <w:widowControl/>
        <w:numPr>
          <w:ilvl w:val="0"/>
          <w:numId w:val="10"/>
        </w:numPr>
      </w:pPr>
      <w:r>
        <w:rPr>
          <w:rFonts w:ascii="Calibri" w:hAnsi="Calibri"/>
          <w:i w:val="0"/>
          <w:color w:val="1F2937"/>
          <w:sz w:val="22"/>
        </w:rPr>
        <w:t>SEO, structured data, internal linking, conversion paths, and analytics;</w:t>
      </w:r>
    </w:p>
    <w:p>
      <w:pPr>
        <w:keepLines/>
        <w:widowControl/>
        <w:numPr>
          <w:ilvl w:val="0"/>
          <w:numId w:val="10"/>
        </w:numPr>
      </w:pPr>
      <w:r>
        <w:rPr>
          <w:rFonts w:ascii="Calibri" w:hAnsi="Calibri"/>
          <w:i w:val="0"/>
          <w:color w:val="1F2937"/>
          <w:sz w:val="22"/>
        </w:rPr>
        <w:t>the final relationship with the learner.</w:t>
      </w:r>
    </w:p>
    <w:p>
      <w:pPr>
        <w:pStyle w:val="Heading1"/>
      </w:pPr>
      <w:r>
        <w:t>3. The product model: living knowledge, versioned releases</w:t>
      </w:r>
    </w:p>
    <w:p>
      <w:r>
        <w:rPr>
          <w:rFonts w:ascii="Calibri" w:hAnsi="Calibri"/>
          <w:i w:val="0"/>
          <w:color w:val="1F2937"/>
          <w:sz w:val="22"/>
        </w:rPr>
        <w:t>The knowledge product should not be described as permanently immutable. Real Nuglets change: claims are corrected, explanations improve, visuals are replaced, formats are added, and the needs of a destination evolve.</w:t>
      </w:r>
    </w:p>
    <w:p>
      <w:r>
        <w:rPr>
          <w:rFonts w:ascii="Calibri" w:hAnsi="Calibri"/>
          <w:i w:val="0"/>
          <w:color w:val="1F2937"/>
          <w:sz w:val="22"/>
        </w:rPr>
        <w:t>The useful distinction is:</w:t>
      </w:r>
    </w:p>
    <w:p>
      <w:pPr>
        <w:keepLines/>
        <w:widowControl/>
        <w:numPr>
          <w:ilvl w:val="0"/>
          <w:numId w:val="10"/>
        </w:numPr>
      </w:pPr>
      <w:r>
        <w:rPr>
          <w:rFonts w:ascii="Calibri" w:hAnsi="Calibri"/>
          <w:b/>
          <w:i w:val="0"/>
          <w:color w:val="1F2937"/>
          <w:sz w:val="22"/>
        </w:rPr>
        <w:t>The knowledge product is living.</w:t>
      </w:r>
      <w:r>
        <w:rPr>
          <w:rFonts w:ascii="Calibri" w:hAnsi="Calibri"/>
          <w:i w:val="0"/>
          <w:color w:val="1F2937"/>
          <w:sz w:val="22"/>
        </w:rPr>
        <w:t xml:space="preserve"> It can improve through new revisions.</w:t>
      </w:r>
    </w:p>
    <w:p>
      <w:pPr>
        <w:keepLines/>
        <w:widowControl/>
        <w:numPr>
          <w:ilvl w:val="0"/>
          <w:numId w:val="10"/>
        </w:numPr>
      </w:pPr>
      <w:r>
        <w:rPr>
          <w:rFonts w:ascii="Calibri" w:hAnsi="Calibri"/>
          <w:b/>
          <w:i w:val="0"/>
          <w:color w:val="1F2937"/>
          <w:sz w:val="22"/>
        </w:rPr>
        <w:t>An approved release is fixed and auditable.</w:t>
      </w:r>
      <w:r>
        <w:rPr>
          <w:rFonts w:ascii="Calibri" w:hAnsi="Calibri"/>
          <w:i w:val="0"/>
          <w:color w:val="1F2937"/>
          <w:sz w:val="22"/>
        </w:rPr>
        <w:t xml:space="preserve"> The system can prove what was reviewed, delivered, licensed, or purchased at a particular moment.</w:t>
      </w:r>
    </w:p>
    <w:p>
      <w:r>
        <w:rPr>
          <w:rFonts w:ascii="Calibri" w:hAnsi="Calibri"/>
          <w:i w:val="0"/>
          <w:color w:val="1F2937"/>
          <w:sz w:val="22"/>
        </w:rPr>
        <w:t>Immutability is therefore an approval and audit mechanism, not the moat.</w:t>
      </w:r>
    </w:p>
    <w:p>
      <w:r>
        <w:rPr>
          <w:rFonts w:ascii="Calibri" w:hAnsi="Calibri"/>
          <w:i w:val="0"/>
          <w:color w:val="1F2937"/>
          <w:sz w:val="22"/>
        </w:rPr>
        <w:t xml:space="preserve">The core commercial outcome is a </w:t>
      </w:r>
      <w:r>
        <w:rPr>
          <w:rFonts w:ascii="Calibri" w:hAnsi="Calibri"/>
          <w:b/>
          <w:i w:val="0"/>
          <w:color w:val="1F2937"/>
          <w:sz w:val="22"/>
        </w:rPr>
        <w:t>reviewed, destination-ready knowledge release</w:t>
      </w:r>
      <w:r>
        <w:rPr>
          <w:rFonts w:ascii="Calibri" w:hAnsi="Calibri"/>
          <w:i w:val="0"/>
          <w:color w:val="1F2937"/>
          <w:sz w:val="22"/>
        </w:rPr>
        <w:t>. The core technical object is a versioned package containing its content, evidence, assets, production history, and destination payload.</w:t>
      </w:r>
    </w:p>
    <w:p>
      <w:r>
        <w:rPr>
          <w:rFonts w:ascii="Calibri" w:hAnsi="Calibri"/>
          <w:i w:val="0"/>
          <w:color w:val="1F2937"/>
          <w:sz w:val="22"/>
        </w:rPr>
        <w:t>Customers buy the outcome: trustworthy content in the required formats, ready to use. They do not buy prompts, model tokens, or permanence for its own sake.</w:t>
      </w:r>
    </w:p>
    <w:p>
      <w:pPr>
        <w:pStyle w:val="Heading1"/>
      </w:pPr>
      <w:r>
        <w:t>4. One knowledge core, many expressions</w:t>
      </w:r>
    </w:p>
    <w:p>
      <w:r>
        <w:rPr>
          <w:rFonts w:ascii="Calibri" w:hAnsi="Calibri"/>
          <w:i w:val="0"/>
          <w:color w:val="1F2937"/>
          <w:sz w:val="22"/>
        </w:rPr>
        <w:t>Knowledge Bits should create a canonical, source-grounded knowledge core before producing channel-specific assets.</w:t>
      </w:r>
    </w:p>
    <w:p>
      <w:pPr>
        <w:pStyle w:val="StrategyCode"/>
        <w:shd w:fill="F2F4F7"/>
      </w:pPr>
      <w:r>
        <w:rPr>
          <w:rFonts w:ascii="Consolas" w:hAnsi="Consolas"/>
          <w:color w:val="1F4D78"/>
          <w:sz w:val="18"/>
        </w:rPr>
        <w:t>Seed idea</w:t>
      </w:r>
    </w:p>
    <w:p>
      <w:pPr>
        <w:pStyle w:val="StrategyCode"/>
        <w:shd w:fill="F2F4F7"/>
      </w:pPr>
      <w:r>
        <w:rPr>
          <w:rFonts w:ascii="Consolas" w:hAnsi="Consolas"/>
          <w:color w:val="1F4D78"/>
          <w:sz w:val="18"/>
        </w:rPr>
        <w:t>→ research brief and rights policy</w:t>
      </w:r>
    </w:p>
    <w:p>
      <w:pPr>
        <w:pStyle w:val="StrategyCode"/>
        <w:shd w:fill="F2F4F7"/>
      </w:pPr>
      <w:r>
        <w:rPr>
          <w:rFonts w:ascii="Consolas" w:hAnsi="Consolas"/>
          <w:color w:val="1F4D78"/>
          <w:sz w:val="18"/>
        </w:rPr>
        <w:t>→ trusted source set and captured evidence</w:t>
      </w:r>
    </w:p>
    <w:p>
      <w:pPr>
        <w:pStyle w:val="StrategyCode"/>
        <w:shd w:fill="F2F4F7"/>
      </w:pPr>
      <w:r>
        <w:rPr>
          <w:rFonts w:ascii="Consolas" w:hAnsi="Consolas"/>
          <w:color w:val="1F4D78"/>
          <w:sz w:val="18"/>
        </w:rPr>
        <w:t>→ structured knowledge core</w:t>
      </w:r>
    </w:p>
    <w:p>
      <w:pPr>
        <w:pStyle w:val="StrategyCode"/>
        <w:shd w:fill="F2F4F7"/>
      </w:pPr>
      <w:r>
        <w:rPr>
          <w:rFonts w:ascii="Consolas" w:hAnsi="Consolas"/>
          <w:color w:val="1F4D78"/>
          <w:sz w:val="18"/>
        </w:rPr>
        <w:t>→ destination and format recipes</w:t>
      </w:r>
    </w:p>
    <w:p>
      <w:pPr>
        <w:pStyle w:val="StrategyCode"/>
        <w:shd w:fill="F2F4F7"/>
      </w:pPr>
      <w:r>
        <w:rPr>
          <w:rFonts w:ascii="Consolas" w:hAnsi="Consolas"/>
          <w:color w:val="1F4D78"/>
          <w:sz w:val="18"/>
        </w:rPr>
        <w:t>→ quality checks and human review</w:t>
      </w:r>
    </w:p>
    <w:p>
      <w:pPr>
        <w:pStyle w:val="StrategyCode"/>
        <w:shd w:fill="F2F4F7"/>
      </w:pPr>
      <w:r>
        <w:rPr>
          <w:rFonts w:ascii="Consolas" w:hAnsi="Consolas"/>
          <w:color w:val="1F4D78"/>
          <w:sz w:val="18"/>
        </w:rPr>
        <w:t>→ versioned release</w:t>
      </w:r>
    </w:p>
    <w:p>
      <w:pPr>
        <w:pStyle w:val="StrategyCode"/>
        <w:shd w:fill="F2F4F7"/>
      </w:pPr>
      <w:r>
        <w:rPr>
          <w:rFonts w:ascii="Consolas" w:hAnsi="Consolas"/>
          <w:color w:val="1F4D78"/>
          <w:sz w:val="18"/>
        </w:rPr>
        <w:t>→ distribution and measurement</w:t>
      </w:r>
    </w:p>
    <w:p>
      <w:r>
        <w:rPr>
          <w:rFonts w:ascii="Calibri" w:hAnsi="Calibri"/>
          <w:i w:val="0"/>
          <w:color w:val="1F2937"/>
          <w:sz w:val="22"/>
        </w:rPr>
        <w:t>A seed idea may begin as:</w:t>
      </w:r>
    </w:p>
    <w:p>
      <w:pPr>
        <w:keepLines/>
        <w:widowControl/>
        <w:numPr>
          <w:ilvl w:val="0"/>
          <w:numId w:val="10"/>
        </w:numPr>
      </w:pPr>
      <w:r>
        <w:rPr>
          <w:rFonts w:ascii="Calibri" w:hAnsi="Calibri"/>
          <w:i w:val="0"/>
          <w:color w:val="1F2937"/>
          <w:sz w:val="22"/>
        </w:rPr>
        <w:t>a question or practical problem;</w:t>
      </w:r>
    </w:p>
    <w:p>
      <w:pPr>
        <w:keepLines/>
        <w:widowControl/>
        <w:numPr>
          <w:ilvl w:val="0"/>
          <w:numId w:val="10"/>
        </w:numPr>
      </w:pPr>
      <w:r>
        <w:rPr>
          <w:rFonts w:ascii="Calibri" w:hAnsi="Calibri"/>
          <w:i w:val="0"/>
          <w:color w:val="1F2937"/>
          <w:sz w:val="22"/>
        </w:rPr>
        <w:t>a book, paper, article, or document collection;</w:t>
      </w:r>
    </w:p>
    <w:p>
      <w:pPr>
        <w:keepLines/>
        <w:widowControl/>
        <w:numPr>
          <w:ilvl w:val="0"/>
          <w:numId w:val="10"/>
        </w:numPr>
      </w:pPr>
      <w:r>
        <w:rPr>
          <w:rFonts w:ascii="Calibri" w:hAnsi="Calibri"/>
          <w:i w:val="0"/>
          <w:color w:val="1F2937"/>
          <w:sz w:val="22"/>
        </w:rPr>
        <w:t>a quotation or observation that deserves investigation;</w:t>
      </w:r>
    </w:p>
    <w:p>
      <w:pPr>
        <w:keepLines/>
        <w:widowControl/>
        <w:numPr>
          <w:ilvl w:val="0"/>
          <w:numId w:val="10"/>
        </w:numPr>
      </w:pPr>
      <w:r>
        <w:rPr>
          <w:rFonts w:ascii="Calibri" w:hAnsi="Calibri"/>
          <w:i w:val="0"/>
          <w:color w:val="1F2937"/>
          <w:sz w:val="22"/>
        </w:rPr>
        <w:t>a customer brief;</w:t>
      </w:r>
    </w:p>
    <w:p>
      <w:pPr>
        <w:keepLines/>
        <w:widowControl/>
        <w:numPr>
          <w:ilvl w:val="0"/>
          <w:numId w:val="10"/>
        </w:numPr>
      </w:pPr>
      <w:r>
        <w:rPr>
          <w:rFonts w:ascii="Calibri" w:hAnsi="Calibri"/>
          <w:i w:val="0"/>
          <w:color w:val="1F2937"/>
          <w:sz w:val="22"/>
        </w:rPr>
        <w:t>a concept, mental model, or current discussion;</w:t>
      </w:r>
    </w:p>
    <w:p>
      <w:pPr>
        <w:keepLines/>
        <w:widowControl/>
        <w:numPr>
          <w:ilvl w:val="0"/>
          <w:numId w:val="10"/>
        </w:numPr>
      </w:pPr>
      <w:r>
        <w:rPr>
          <w:rFonts w:ascii="Calibri" w:hAnsi="Calibri"/>
          <w:i w:val="0"/>
          <w:color w:val="1F2937"/>
          <w:sz w:val="22"/>
        </w:rPr>
        <w:t>a request to explain, compare, teach, or apply something.</w:t>
      </w:r>
    </w:p>
    <w:p>
      <w:r>
        <w:rPr>
          <w:rFonts w:ascii="Calibri" w:hAnsi="Calibri"/>
          <w:i w:val="0"/>
          <w:color w:val="1F2937"/>
          <w:sz w:val="22"/>
        </w:rPr>
        <w:t>The resulting knowledge core can be expressed as:</w:t>
      </w:r>
    </w:p>
    <w:p>
      <w:pPr>
        <w:keepLines/>
        <w:widowControl/>
        <w:numPr>
          <w:ilvl w:val="0"/>
          <w:numId w:val="10"/>
        </w:numPr>
      </w:pPr>
      <w:r>
        <w:rPr>
          <w:rFonts w:ascii="Calibri" w:hAnsi="Calibri"/>
          <w:i w:val="0"/>
          <w:color w:val="1F2937"/>
          <w:sz w:val="22"/>
        </w:rPr>
        <w:t>short, medium, and deep text;</w:t>
      </w:r>
    </w:p>
    <w:p>
      <w:pPr>
        <w:keepLines/>
        <w:widowControl/>
        <w:numPr>
          <w:ilvl w:val="0"/>
          <w:numId w:val="10"/>
        </w:numPr>
      </w:pPr>
      <w:r>
        <w:rPr>
          <w:rFonts w:ascii="Calibri" w:hAnsi="Calibri"/>
          <w:i w:val="0"/>
          <w:color w:val="1F2937"/>
          <w:sz w:val="22"/>
        </w:rPr>
        <w:t>a public answer or evidence-backed guide;</w:t>
      </w:r>
    </w:p>
    <w:p>
      <w:pPr>
        <w:keepLines/>
        <w:widowControl/>
        <w:numPr>
          <w:ilvl w:val="0"/>
          <w:numId w:val="10"/>
        </w:numPr>
      </w:pPr>
      <w:r>
        <w:rPr>
          <w:rFonts w:ascii="Calibri" w:hAnsi="Calibri"/>
          <w:i w:val="0"/>
          <w:color w:val="1F2937"/>
          <w:sz w:val="22"/>
        </w:rPr>
        <w:t>brief and conversational audio;</w:t>
      </w:r>
    </w:p>
    <w:p>
      <w:pPr>
        <w:keepLines/>
        <w:widowControl/>
        <w:numPr>
          <w:ilvl w:val="0"/>
          <w:numId w:val="10"/>
        </w:numPr>
      </w:pPr>
      <w:r>
        <w:rPr>
          <w:rFonts w:ascii="Calibri" w:hAnsi="Calibri"/>
          <w:i w:val="0"/>
          <w:color w:val="1F2937"/>
          <w:sz w:val="22"/>
        </w:rPr>
        <w:t>short video or social creative;</w:t>
      </w:r>
    </w:p>
    <w:p>
      <w:pPr>
        <w:keepLines/>
        <w:widowControl/>
        <w:numPr>
          <w:ilvl w:val="0"/>
          <w:numId w:val="10"/>
        </w:numPr>
      </w:pPr>
      <w:r>
        <w:rPr>
          <w:rFonts w:ascii="Calibri" w:hAnsi="Calibri"/>
          <w:i w:val="0"/>
          <w:color w:val="1F2937"/>
          <w:sz w:val="22"/>
        </w:rPr>
        <w:t>hero images, diagrams, and infographics;</w:t>
      </w:r>
    </w:p>
    <w:p>
      <w:pPr>
        <w:keepLines/>
        <w:widowControl/>
        <w:numPr>
          <w:ilvl w:val="0"/>
          <w:numId w:val="10"/>
        </w:numPr>
      </w:pPr>
      <w:r>
        <w:rPr>
          <w:rFonts w:ascii="Calibri" w:hAnsi="Calibri"/>
          <w:i w:val="0"/>
          <w:color w:val="1F2937"/>
          <w:sz w:val="22"/>
        </w:rPr>
        <w:t>quizzes, challenges, prompts, and active-recall exercises;</w:t>
      </w:r>
    </w:p>
    <w:p>
      <w:pPr>
        <w:keepLines/>
        <w:widowControl/>
        <w:numPr>
          <w:ilvl w:val="0"/>
          <w:numId w:val="10"/>
        </w:numPr>
      </w:pPr>
      <w:r>
        <w:rPr>
          <w:rFonts w:ascii="Calibri" w:hAnsi="Calibri"/>
          <w:i w:val="0"/>
          <w:color w:val="1F2937"/>
          <w:sz w:val="22"/>
        </w:rPr>
        <w:t>citations, evidence summaries, and provenance;</w:t>
      </w:r>
    </w:p>
    <w:p>
      <w:pPr>
        <w:keepLines/>
        <w:widowControl/>
        <w:numPr>
          <w:ilvl w:val="0"/>
          <w:numId w:val="10"/>
        </w:numPr>
      </w:pPr>
      <w:r>
        <w:rPr>
          <w:rFonts w:ascii="Calibri" w:hAnsi="Calibri"/>
          <w:i w:val="0"/>
          <w:color w:val="1F2937"/>
          <w:sz w:val="22"/>
        </w:rPr>
        <w:t>newsletters, partner feeds, learning-platform payloads, or API responses.</w:t>
      </w:r>
    </w:p>
    <w:p>
      <w:r>
        <w:rPr>
          <w:rFonts w:ascii="Calibri" w:hAnsi="Calibri"/>
          <w:i w:val="0"/>
          <w:color w:val="1F2937"/>
          <w:sz w:val="22"/>
        </w:rPr>
        <w:t>NotebookLM and other models are provider tools inside this workflow. They help with grounded research and synthesis, but they are not the product boundary and do not approve their own output.</w:t>
      </w:r>
    </w:p>
    <w:p>
      <w:pPr>
        <w:pStyle w:val="Heading1"/>
      </w:pPr>
      <w:r>
        <w:t>5. Nuglet's consumer proposition</w:t>
      </w:r>
    </w:p>
    <w:p>
      <w:r>
        <w:rPr>
          <w:rFonts w:ascii="Calibri" w:hAnsi="Calibri"/>
          <w:i w:val="0"/>
          <w:color w:val="1F2937"/>
          <w:sz w:val="22"/>
        </w:rPr>
        <w:t>Nuglet is not a general content library. Its consumer promise remains focused:</w:t>
      </w:r>
    </w:p>
    <w:p>
      <w:pPr>
        <w:pStyle w:val="StrategyCallout"/>
        <w:shd w:fill="EAF2F8"/>
        <w:pBdr>
          <w:left w:val="single" w:sz="18" w:space="10" w:color="2E74B5"/>
        </w:pBdr>
      </w:pPr>
      <w:r>
        <w:rPr>
          <w:rFonts w:ascii="Calibri" w:hAnsi="Calibri"/>
          <w:i w:val="0"/>
          <w:color w:val="1F4D78"/>
          <w:sz w:val="22"/>
        </w:rPr>
        <w:t>One useful idea before the feed gets you.</w:t>
      </w:r>
    </w:p>
    <w:p>
      <w:r>
        <w:rPr>
          <w:rFonts w:ascii="Calibri" w:hAnsi="Calibri"/>
          <w:i w:val="0"/>
          <w:color w:val="1F2937"/>
          <w:sz w:val="22"/>
        </w:rPr>
        <w:t>The working audience hypothesis is a curious, phone-first adult who wants to keep learning but does not consistently finish courses, books, newsletters, or saved content. This audience is still broad and unproven. The small group of personally known users should be treated as a discovery cohort, not as market validation.</w:t>
      </w:r>
    </w:p>
    <w:p>
      <w:r>
        <w:rPr>
          <w:rFonts w:ascii="Calibri" w:hAnsi="Calibri"/>
          <w:i w:val="0"/>
          <w:color w:val="1F2937"/>
          <w:sz w:val="22"/>
        </w:rPr>
        <w:t>Nuglet should win through:</w:t>
      </w:r>
    </w:p>
    <w:p>
      <w:pPr>
        <w:keepLines/>
        <w:widowControl/>
        <w:numPr>
          <w:ilvl w:val="0"/>
          <w:numId w:val="10"/>
        </w:numPr>
      </w:pPr>
      <w:r>
        <w:rPr>
          <w:rFonts w:ascii="Calibri" w:hAnsi="Calibri"/>
          <w:i w:val="0"/>
          <w:color w:val="1F2937"/>
          <w:sz w:val="22"/>
        </w:rPr>
        <w:t>a small, finishable daily commitment;</w:t>
      </w:r>
    </w:p>
    <w:p>
      <w:pPr>
        <w:keepLines/>
        <w:widowControl/>
        <w:numPr>
          <w:ilvl w:val="0"/>
          <w:numId w:val="10"/>
        </w:numPr>
      </w:pPr>
      <w:r>
        <w:rPr>
          <w:rFonts w:ascii="Calibri" w:hAnsi="Calibri"/>
          <w:i w:val="0"/>
          <w:color w:val="1F2937"/>
          <w:sz w:val="22"/>
        </w:rPr>
        <w:t>trustworthy editorial selection;</w:t>
      </w:r>
    </w:p>
    <w:p>
      <w:pPr>
        <w:keepLines/>
        <w:widowControl/>
        <w:numPr>
          <w:ilvl w:val="0"/>
          <w:numId w:val="10"/>
        </w:numPr>
      </w:pPr>
      <w:r>
        <w:rPr>
          <w:rFonts w:ascii="Calibri" w:hAnsi="Calibri"/>
          <w:i w:val="0"/>
          <w:color w:val="1F2937"/>
          <w:sz w:val="22"/>
        </w:rPr>
        <w:t>multiple depths and formats for the same useful idea;</w:t>
      </w:r>
    </w:p>
    <w:p>
      <w:pPr>
        <w:keepLines/>
        <w:widowControl/>
        <w:numPr>
          <w:ilvl w:val="0"/>
          <w:numId w:val="10"/>
        </w:numPr>
      </w:pPr>
      <w:r>
        <w:rPr>
          <w:rFonts w:ascii="Calibri" w:hAnsi="Calibri"/>
          <w:i w:val="0"/>
          <w:color w:val="1F2937"/>
          <w:sz w:val="22"/>
        </w:rPr>
        <w:t>a practical takeaway, challenge, or mental rep;</w:t>
      </w:r>
    </w:p>
    <w:p>
      <w:pPr>
        <w:keepLines/>
        <w:widowControl/>
        <w:numPr>
          <w:ilvl w:val="0"/>
          <w:numId w:val="10"/>
        </w:numPr>
      </w:pPr>
      <w:r>
        <w:rPr>
          <w:rFonts w:ascii="Calibri" w:hAnsi="Calibri"/>
          <w:i w:val="0"/>
          <w:color w:val="1F2937"/>
          <w:sz w:val="22"/>
        </w:rPr>
        <w:t>a calm experience that ends rather than becoming another infinite feed;</w:t>
      </w:r>
    </w:p>
    <w:p>
      <w:pPr>
        <w:keepLines/>
        <w:widowControl/>
        <w:numPr>
          <w:ilvl w:val="0"/>
          <w:numId w:val="10"/>
        </w:numPr>
      </w:pPr>
      <w:r>
        <w:rPr>
          <w:rFonts w:ascii="Calibri" w:hAnsi="Calibri"/>
          <w:i w:val="0"/>
          <w:color w:val="1F2937"/>
          <w:sz w:val="22"/>
        </w:rPr>
        <w:t>review and return mechanisms that help useful ideas stick.</w:t>
      </w:r>
    </w:p>
    <w:p>
      <w:r>
        <w:rPr>
          <w:rFonts w:ascii="Calibri" w:hAnsi="Calibri"/>
          <w:i w:val="0"/>
          <w:color w:val="1F2937"/>
          <w:sz w:val="22"/>
        </w:rPr>
        <w:t>The immediate product question is not whether the architecture can support many topics. It can. The question is which audience, moment, topic cluster, and promise create the strongest activation and return behavior.</w:t>
      </w:r>
    </w:p>
    <w:p>
      <w:pPr>
        <w:pStyle w:val="Heading1"/>
      </w:pPr>
      <w:r>
        <w:t>6. The growth model</w:t>
      </w:r>
    </w:p>
    <w:p>
      <w:pPr>
        <w:pStyle w:val="Heading2"/>
      </w:pPr>
      <w:r>
        <w:t>6.1 Organic discovery as a learning system</w:t>
      </w:r>
    </w:p>
    <w:p>
      <w:r>
        <w:rPr>
          <w:rFonts w:ascii="Calibri" w:hAnsi="Calibri"/>
          <w:i w:val="0"/>
          <w:color w:val="1F2937"/>
          <w:sz w:val="22"/>
        </w:rPr>
        <w:t>Organic growth should not mean publishing the maximum number of generated pages. It should mean repeatedly answering real questions for the target audience, showing the evidence behind the answer, and connecting each useful answer to an appropriate Nuglet experience.</w:t>
      </w:r>
    </w:p>
    <w:p>
      <w:r>
        <w:rPr>
          <w:rFonts w:ascii="Calibri" w:hAnsi="Calibri"/>
          <w:i w:val="0"/>
          <w:color w:val="1F2937"/>
          <w:sz w:val="22"/>
        </w:rPr>
        <w:t>The intended loop is:</w:t>
      </w:r>
    </w:p>
    <w:p>
      <w:pPr>
        <w:pStyle w:val="StrategyCode"/>
        <w:shd w:fill="F2F4F7"/>
      </w:pPr>
      <w:r>
        <w:rPr>
          <w:rFonts w:ascii="Consolas" w:hAnsi="Consolas"/>
          <w:color w:val="1F4D78"/>
          <w:sz w:val="18"/>
        </w:rPr>
        <w:t>Audience question or tension</w:t>
      </w:r>
    </w:p>
    <w:p>
      <w:pPr>
        <w:pStyle w:val="StrategyCode"/>
        <w:shd w:fill="F2F4F7"/>
      </w:pPr>
      <w:r>
        <w:rPr>
          <w:rFonts w:ascii="Consolas" w:hAnsi="Consolas"/>
          <w:color w:val="1F4D78"/>
          <w:sz w:val="18"/>
        </w:rPr>
        <w:t>→ source-grounded public answer</w:t>
      </w:r>
    </w:p>
    <w:p>
      <w:pPr>
        <w:pStyle w:val="StrategyCode"/>
        <w:shd w:fill="F2F4F7"/>
      </w:pPr>
      <w:r>
        <w:rPr>
          <w:rFonts w:ascii="Consolas" w:hAnsi="Consolas"/>
          <w:color w:val="1F4D78"/>
          <w:sz w:val="18"/>
        </w:rPr>
        <w:t>→ relevant Nuglet preview</w:t>
      </w:r>
    </w:p>
    <w:p>
      <w:pPr>
        <w:pStyle w:val="StrategyCode"/>
        <w:shd w:fill="F2F4F7"/>
      </w:pPr>
      <w:r>
        <w:rPr>
          <w:rFonts w:ascii="Consolas" w:hAnsi="Consolas"/>
          <w:color w:val="1F4D78"/>
          <w:sz w:val="18"/>
        </w:rPr>
        <w:t>→ first useful lesson completed</w:t>
      </w:r>
    </w:p>
    <w:p>
      <w:pPr>
        <w:pStyle w:val="StrategyCode"/>
        <w:shd w:fill="F2F4F7"/>
      </w:pPr>
      <w:r>
        <w:rPr>
          <w:rFonts w:ascii="Consolas" w:hAnsi="Consolas"/>
          <w:color w:val="1F4D78"/>
          <w:sz w:val="18"/>
        </w:rPr>
        <w:t>→ signup or subscription</w:t>
      </w:r>
    </w:p>
    <w:p>
      <w:pPr>
        <w:pStyle w:val="StrategyCode"/>
        <w:shd w:fill="F2F4F7"/>
      </w:pPr>
      <w:r>
        <w:rPr>
          <w:rFonts w:ascii="Consolas" w:hAnsi="Consolas"/>
          <w:color w:val="1F4D78"/>
          <w:sz w:val="18"/>
        </w:rPr>
        <w:t>→ return, review, and application</w:t>
      </w:r>
    </w:p>
    <w:p>
      <w:pPr>
        <w:pStyle w:val="StrategyCode"/>
        <w:shd w:fill="F2F4F7"/>
      </w:pPr>
      <w:r>
        <w:rPr>
          <w:rFonts w:ascii="Consolas" w:hAnsi="Consolas"/>
          <w:color w:val="1F4D78"/>
          <w:sz w:val="18"/>
        </w:rPr>
        <w:t>→ sharing, discussion, or another discovery surface</w:t>
      </w:r>
    </w:p>
    <w:p>
      <w:r>
        <w:rPr>
          <w:rFonts w:ascii="Calibri" w:hAnsi="Calibri"/>
          <w:i w:val="0"/>
          <w:color w:val="1F2937"/>
          <w:sz w:val="22"/>
        </w:rPr>
        <w:t>Each content cluster should begin with a real audience problem and produce a connected set of assets:</w:t>
      </w:r>
    </w:p>
    <w:p>
      <w:pPr>
        <w:keepLines/>
        <w:widowControl/>
        <w:numPr>
          <w:ilvl w:val="0"/>
          <w:numId w:val="10"/>
        </w:numPr>
      </w:pPr>
      <w:r>
        <w:rPr>
          <w:rFonts w:ascii="Calibri" w:hAnsi="Calibri"/>
          <w:i w:val="0"/>
          <w:color w:val="1F2937"/>
          <w:sz w:val="22"/>
        </w:rPr>
        <w:t>one canonical lesson or knowledge release;</w:t>
      </w:r>
    </w:p>
    <w:p>
      <w:pPr>
        <w:keepLines/>
        <w:widowControl/>
        <w:numPr>
          <w:ilvl w:val="0"/>
          <w:numId w:val="10"/>
        </w:numPr>
      </w:pPr>
      <w:r>
        <w:rPr>
          <w:rFonts w:ascii="Calibri" w:hAnsi="Calibri"/>
          <w:i w:val="0"/>
          <w:color w:val="1F2937"/>
          <w:sz w:val="22"/>
        </w:rPr>
        <w:t>one or more search-intent pages where the intent is genuinely distinct;</w:t>
      </w:r>
    </w:p>
    <w:p>
      <w:pPr>
        <w:keepLines/>
        <w:widowControl/>
        <w:numPr>
          <w:ilvl w:val="0"/>
          <w:numId w:val="10"/>
        </w:numPr>
      </w:pPr>
      <w:r>
        <w:rPr>
          <w:rFonts w:ascii="Calibri" w:hAnsi="Calibri"/>
          <w:i w:val="0"/>
          <w:color w:val="1F2937"/>
          <w:sz w:val="22"/>
        </w:rPr>
        <w:t>topic and learning-path connections;</w:t>
      </w:r>
    </w:p>
    <w:p>
      <w:pPr>
        <w:keepLines/>
        <w:widowControl/>
        <w:numPr>
          <w:ilvl w:val="0"/>
          <w:numId w:val="10"/>
        </w:numPr>
      </w:pPr>
      <w:r>
        <w:rPr>
          <w:rFonts w:ascii="Calibri" w:hAnsi="Calibri"/>
          <w:i w:val="0"/>
          <w:color w:val="1F2937"/>
          <w:sz w:val="22"/>
        </w:rPr>
        <w:t>short social, audio, image, and video derivatives;</w:t>
      </w:r>
    </w:p>
    <w:p>
      <w:pPr>
        <w:keepLines/>
        <w:widowControl/>
        <w:numPr>
          <w:ilvl w:val="0"/>
          <w:numId w:val="10"/>
        </w:numPr>
      </w:pPr>
      <w:r>
        <w:rPr>
          <w:rFonts w:ascii="Calibri" w:hAnsi="Calibri"/>
          <w:i w:val="0"/>
          <w:color w:val="1F2937"/>
          <w:sz w:val="22"/>
        </w:rPr>
        <w:t>a clear route into a relevant first Nuglet;</w:t>
      </w:r>
    </w:p>
    <w:p>
      <w:pPr>
        <w:keepLines/>
        <w:widowControl/>
        <w:numPr>
          <w:ilvl w:val="0"/>
          <w:numId w:val="10"/>
        </w:numPr>
      </w:pPr>
      <w:r>
        <w:rPr>
          <w:rFonts w:ascii="Calibri" w:hAnsi="Calibri"/>
          <w:i w:val="0"/>
          <w:color w:val="1F2937"/>
          <w:sz w:val="22"/>
        </w:rPr>
        <w:t>instrumentation from discovery through completion and payment.</w:t>
      </w:r>
    </w:p>
    <w:p>
      <w:r>
        <w:rPr>
          <w:rFonts w:ascii="Calibri" w:hAnsi="Calibri"/>
          <w:i w:val="0"/>
          <w:color w:val="1F2937"/>
          <w:sz w:val="22"/>
        </w:rPr>
        <w:t>This allows one research investment to compound across formats without creating duplicate, contradictory, or thin pages.</w:t>
      </w:r>
    </w:p>
    <w:p>
      <w:pPr>
        <w:pStyle w:val="Heading2"/>
      </w:pPr>
      <w:r>
        <w:t>6.2 SEO and AI-answer discovery</w:t>
      </w:r>
    </w:p>
    <w:p>
      <w:r>
        <w:rPr>
          <w:rFonts w:ascii="Calibri" w:hAnsi="Calibri"/>
          <w:i w:val="0"/>
          <w:color w:val="1F2937"/>
          <w:sz w:val="22"/>
        </w:rPr>
        <w:t>The strategy should treat traditional SEO and discovery through generative search or answer engines as related, not separate production programs.</w:t>
      </w:r>
    </w:p>
    <w:p>
      <w:r>
        <w:rPr>
          <w:rFonts w:ascii="Calibri" w:hAnsi="Calibri"/>
          <w:i w:val="0"/>
          <w:color w:val="1F2937"/>
          <w:sz w:val="22"/>
        </w:rPr>
        <w:t>The same fundamentals serve both:</w:t>
      </w:r>
    </w:p>
    <w:p>
      <w:pPr>
        <w:keepLines/>
        <w:widowControl/>
        <w:numPr>
          <w:ilvl w:val="0"/>
          <w:numId w:val="10"/>
        </w:numPr>
      </w:pPr>
      <w:r>
        <w:rPr>
          <w:rFonts w:ascii="Calibri" w:hAnsi="Calibri"/>
          <w:i w:val="0"/>
          <w:color w:val="1F2937"/>
          <w:sz w:val="22"/>
        </w:rPr>
        <w:t>helpful, reliable, people-first content;</w:t>
      </w:r>
    </w:p>
    <w:p>
      <w:pPr>
        <w:keepLines/>
        <w:widowControl/>
        <w:numPr>
          <w:ilvl w:val="0"/>
          <w:numId w:val="10"/>
        </w:numPr>
      </w:pPr>
      <w:r>
        <w:rPr>
          <w:rFonts w:ascii="Calibri" w:hAnsi="Calibri"/>
          <w:i w:val="0"/>
          <w:color w:val="1F2937"/>
          <w:sz w:val="22"/>
        </w:rPr>
        <w:t>visible source references and a clear evidence trail;</w:t>
      </w:r>
    </w:p>
    <w:p>
      <w:pPr>
        <w:keepLines/>
        <w:widowControl/>
        <w:numPr>
          <w:ilvl w:val="0"/>
          <w:numId w:val="10"/>
        </w:numPr>
      </w:pPr>
      <w:r>
        <w:rPr>
          <w:rFonts w:ascii="Calibri" w:hAnsi="Calibri"/>
          <w:i w:val="0"/>
          <w:color w:val="1F2937"/>
          <w:sz w:val="22"/>
        </w:rPr>
        <w:t>important information available in readable text;</w:t>
      </w:r>
    </w:p>
    <w:p>
      <w:pPr>
        <w:keepLines/>
        <w:widowControl/>
        <w:numPr>
          <w:ilvl w:val="0"/>
          <w:numId w:val="10"/>
        </w:numPr>
      </w:pPr>
      <w:r>
        <w:rPr>
          <w:rFonts w:ascii="Calibri" w:hAnsi="Calibri"/>
          <w:i w:val="0"/>
          <w:color w:val="1F2937"/>
          <w:sz w:val="22"/>
        </w:rPr>
        <w:t>strong page titles, descriptions, internal links, and canonical routes;</w:t>
      </w:r>
    </w:p>
    <w:p>
      <w:pPr>
        <w:keepLines/>
        <w:widowControl/>
        <w:numPr>
          <w:ilvl w:val="0"/>
          <w:numId w:val="10"/>
        </w:numPr>
      </w:pPr>
      <w:r>
        <w:rPr>
          <w:rFonts w:ascii="Calibri" w:hAnsi="Calibri"/>
          <w:i w:val="0"/>
          <w:color w:val="1F2937"/>
          <w:sz w:val="22"/>
        </w:rPr>
        <w:t>structured data that matches what the user can see;</w:t>
      </w:r>
    </w:p>
    <w:p>
      <w:pPr>
        <w:keepLines/>
        <w:widowControl/>
        <w:numPr>
          <w:ilvl w:val="0"/>
          <w:numId w:val="10"/>
        </w:numPr>
      </w:pPr>
      <w:r>
        <w:rPr>
          <w:rFonts w:ascii="Calibri" w:hAnsi="Calibri"/>
          <w:i w:val="0"/>
          <w:color w:val="1F2937"/>
          <w:sz w:val="22"/>
        </w:rPr>
        <w:t>useful images and videos where they improve understanding;</w:t>
      </w:r>
    </w:p>
    <w:p>
      <w:pPr>
        <w:keepLines/>
        <w:widowControl/>
        <w:numPr>
          <w:ilvl w:val="0"/>
          <w:numId w:val="10"/>
        </w:numPr>
      </w:pPr>
      <w:r>
        <w:rPr>
          <w:rFonts w:ascii="Calibri" w:hAnsi="Calibri"/>
          <w:i w:val="0"/>
          <w:color w:val="1F2937"/>
          <w:sz w:val="22"/>
        </w:rPr>
        <w:t>a clear relationship between public answers, topics, lessons, and the product;</w:t>
      </w:r>
    </w:p>
    <w:p>
      <w:pPr>
        <w:keepLines/>
        <w:widowControl/>
        <w:numPr>
          <w:ilvl w:val="0"/>
          <w:numId w:val="10"/>
        </w:numPr>
      </w:pPr>
      <w:r>
        <w:rPr>
          <w:rFonts w:ascii="Calibri" w:hAnsi="Calibri"/>
          <w:i w:val="0"/>
          <w:color w:val="1F2937"/>
          <w:sz w:val="22"/>
        </w:rPr>
        <w:t>regular Search Console and conversion review.</w:t>
      </w:r>
    </w:p>
    <w:p>
      <w:r>
        <w:rPr>
          <w:rFonts w:ascii="Calibri" w:hAnsi="Calibri"/>
          <w:i w:val="0"/>
          <w:color w:val="1F2937"/>
          <w:sz w:val="22"/>
        </w:rPr>
        <w:t>Nuglet already has public lesson, topic, guide, comparison, plan, and discovery surfaces. The next step is to connect them to the Knowledge Bits production lifecycle so that a reviewed release can propose the right public derivatives without automatically publishing them.</w:t>
      </w:r>
    </w:p>
    <w:p>
      <w:r>
        <w:rPr>
          <w:rFonts w:ascii="Calibri" w:hAnsi="Calibri"/>
          <w:i w:val="0"/>
          <w:color w:val="1F2937"/>
          <w:sz w:val="22"/>
        </w:rPr>
        <w:t>Human publication review should remain the gate. AI-assisted production must add genuine user value; scaled pages created mainly to manipulate search would undermine trust and create search-policy risk.</w:t>
      </w:r>
    </w:p>
    <w:p>
      <w:pPr>
        <w:pStyle w:val="Heading2"/>
      </w:pPr>
      <w:r>
        <w:t>6.3 Paid acquisition</w:t>
      </w:r>
    </w:p>
    <w:p>
      <w:r>
        <w:rPr>
          <w:rFonts w:ascii="Calibri" w:hAnsi="Calibri"/>
          <w:i w:val="0"/>
          <w:color w:val="1F2937"/>
          <w:sz w:val="22"/>
        </w:rPr>
        <w:t>Paid traffic can accelerate a proven funnel, but it is an expensive way to discover a vague customer.</w:t>
      </w:r>
    </w:p>
    <w:p>
      <w:r>
        <w:rPr>
          <w:rFonts w:ascii="Calibri" w:hAnsi="Calibri"/>
          <w:i w:val="0"/>
          <w:color w:val="1F2937"/>
          <w:sz w:val="22"/>
        </w:rPr>
        <w:t>Near-term paid activity should be limited to small learning experiments:</w:t>
      </w:r>
    </w:p>
    <w:p>
      <w:pPr>
        <w:keepLines/>
        <w:widowControl/>
        <w:numPr>
          <w:ilvl w:val="0"/>
          <w:numId w:val="10"/>
        </w:numPr>
      </w:pPr>
      <w:r>
        <w:rPr>
          <w:rFonts w:ascii="Calibri" w:hAnsi="Calibri"/>
          <w:i w:val="0"/>
          <w:color w:val="1F2937"/>
          <w:sz w:val="22"/>
        </w:rPr>
        <w:t>compare audience and promise variants;</w:t>
      </w:r>
    </w:p>
    <w:p>
      <w:pPr>
        <w:keepLines/>
        <w:widowControl/>
        <w:numPr>
          <w:ilvl w:val="0"/>
          <w:numId w:val="10"/>
        </w:numPr>
      </w:pPr>
      <w:r>
        <w:rPr>
          <w:rFonts w:ascii="Calibri" w:hAnsi="Calibri"/>
          <w:i w:val="0"/>
          <w:color w:val="1F2937"/>
          <w:sz w:val="22"/>
        </w:rPr>
        <w:t>test which topic creates qualified intent;</w:t>
      </w:r>
    </w:p>
    <w:p>
      <w:pPr>
        <w:keepLines/>
        <w:widowControl/>
        <w:numPr>
          <w:ilvl w:val="0"/>
          <w:numId w:val="10"/>
        </w:numPr>
      </w:pPr>
      <w:r>
        <w:rPr>
          <w:rFonts w:ascii="Calibri" w:hAnsi="Calibri"/>
          <w:i w:val="0"/>
          <w:color w:val="1F2937"/>
          <w:sz w:val="22"/>
        </w:rPr>
        <w:t>measure landing-to-preview and preview-to-completion behavior;</w:t>
      </w:r>
    </w:p>
    <w:p>
      <w:pPr>
        <w:keepLines/>
        <w:widowControl/>
        <w:numPr>
          <w:ilvl w:val="0"/>
          <w:numId w:val="10"/>
        </w:numPr>
      </w:pPr>
      <w:r>
        <w:rPr>
          <w:rFonts w:ascii="Calibri" w:hAnsi="Calibri"/>
          <w:i w:val="0"/>
          <w:color w:val="1F2937"/>
          <w:sz w:val="22"/>
        </w:rPr>
        <w:t>collect qualitative feedback from people outside the founder's network;</w:t>
      </w:r>
    </w:p>
    <w:p>
      <w:pPr>
        <w:keepLines/>
        <w:widowControl/>
        <w:numPr>
          <w:ilvl w:val="0"/>
          <w:numId w:val="10"/>
        </w:numPr>
      </w:pPr>
      <w:r>
        <w:rPr>
          <w:rFonts w:ascii="Calibri" w:hAnsi="Calibri"/>
          <w:i w:val="0"/>
          <w:color w:val="1F2937"/>
          <w:sz w:val="22"/>
        </w:rPr>
        <w:t>establish an early CAC range without assuming it can scale.</w:t>
      </w:r>
    </w:p>
    <w:p>
      <w:r>
        <w:rPr>
          <w:rFonts w:ascii="Calibri" w:hAnsi="Calibri"/>
          <w:i w:val="0"/>
          <w:color w:val="1F2937"/>
          <w:sz w:val="22"/>
        </w:rPr>
        <w:t>Do not scale spend until the team has evidence for:</w:t>
      </w:r>
    </w:p>
    <w:p>
      <w:pPr>
        <w:keepLines/>
        <w:widowControl/>
        <w:numPr>
          <w:ilvl w:val="0"/>
          <w:numId w:val="10"/>
        </w:numPr>
      </w:pPr>
      <w:r>
        <w:rPr>
          <w:rFonts w:ascii="Calibri" w:hAnsi="Calibri"/>
          <w:i w:val="0"/>
          <w:color w:val="1F2937"/>
          <w:sz w:val="22"/>
        </w:rPr>
        <w:t>a defined audience and acquisition promise;</w:t>
      </w:r>
    </w:p>
    <w:p>
      <w:pPr>
        <w:keepLines/>
        <w:widowControl/>
        <w:numPr>
          <w:ilvl w:val="0"/>
          <w:numId w:val="10"/>
        </w:numPr>
      </w:pPr>
      <w:r>
        <w:rPr>
          <w:rFonts w:ascii="Calibri" w:hAnsi="Calibri"/>
          <w:i w:val="0"/>
          <w:color w:val="1F2937"/>
          <w:sz w:val="22"/>
        </w:rPr>
        <w:t>reliable analytics from impression to verified subscription;</w:t>
      </w:r>
    </w:p>
    <w:p>
      <w:pPr>
        <w:keepLines/>
        <w:widowControl/>
        <w:numPr>
          <w:ilvl w:val="0"/>
          <w:numId w:val="10"/>
        </w:numPr>
      </w:pPr>
      <w:r>
        <w:rPr>
          <w:rFonts w:ascii="Calibri" w:hAnsi="Calibri"/>
          <w:i w:val="0"/>
          <w:color w:val="1F2937"/>
          <w:sz w:val="22"/>
        </w:rPr>
        <w:t>first-lesson completion and a clear useful moment;</w:t>
      </w:r>
    </w:p>
    <w:p>
      <w:pPr>
        <w:keepLines/>
        <w:widowControl/>
        <w:numPr>
          <w:ilvl w:val="0"/>
          <w:numId w:val="10"/>
        </w:numPr>
      </w:pPr>
      <w:r>
        <w:rPr>
          <w:rFonts w:ascii="Calibri" w:hAnsi="Calibri"/>
          <w:i w:val="0"/>
          <w:color w:val="1F2937"/>
          <w:sz w:val="22"/>
        </w:rPr>
        <w:t>a retention signal, initially D7 and then D30;</w:t>
      </w:r>
    </w:p>
    <w:p>
      <w:pPr>
        <w:keepLines/>
        <w:widowControl/>
        <w:numPr>
          <w:ilvl w:val="0"/>
          <w:numId w:val="10"/>
        </w:numPr>
      </w:pPr>
      <w:r>
        <w:rPr>
          <w:rFonts w:ascii="Calibri" w:hAnsi="Calibri"/>
          <w:i w:val="0"/>
          <w:color w:val="1F2937"/>
          <w:sz w:val="22"/>
        </w:rPr>
        <w:t>a plan and price that people actually choose;</w:t>
      </w:r>
    </w:p>
    <w:p>
      <w:pPr>
        <w:keepLines/>
        <w:widowControl/>
        <w:numPr>
          <w:ilvl w:val="0"/>
          <w:numId w:val="10"/>
        </w:numPr>
      </w:pPr>
      <w:r>
        <w:rPr>
          <w:rFonts w:ascii="Calibri" w:hAnsi="Calibri"/>
          <w:i w:val="0"/>
          <w:color w:val="1F2937"/>
          <w:sz w:val="22"/>
        </w:rPr>
        <w:t>a credible LTV and CAC payback hypothesis.</w:t>
      </w:r>
    </w:p>
    <w:p>
      <w:r>
        <w:rPr>
          <w:rFonts w:ascii="Calibri" w:hAnsi="Calibri"/>
          <w:i w:val="0"/>
          <w:color w:val="1F2937"/>
          <w:sz w:val="22"/>
        </w:rPr>
        <w:t>Organic discovery and direct user learning come first because they reduce the cost of finding the message and experience worth amplifying.</w:t>
      </w:r>
    </w:p>
    <w:p>
      <w:pPr>
        <w:pStyle w:val="Heading1"/>
      </w:pPr>
      <w:r>
        <w:t>7. Knowledge Bits as a standalone opportunity</w:t>
      </w:r>
    </w:p>
    <w:p>
      <w:r>
        <w:rPr>
          <w:rFonts w:ascii="Calibri" w:hAnsi="Calibri"/>
          <w:i w:val="0"/>
          <w:color w:val="1F2937"/>
          <w:sz w:val="22"/>
        </w:rPr>
        <w:t>Nuglet is the proving ground and first destination for Knowledge Bits. It supplies real operational pressure: incomplete sources, provider failures, cross-format drift, human revisions, media requirements, delivery errors, and changing product needs.</w:t>
      </w:r>
    </w:p>
    <w:p>
      <w:r>
        <w:rPr>
          <w:rFonts w:ascii="Calibri" w:hAnsi="Calibri"/>
          <w:i w:val="0"/>
          <w:color w:val="1F2937"/>
          <w:sz w:val="22"/>
        </w:rPr>
        <w:t>That internal proof can become an external offer, but the early offer should be narrow:</w:t>
      </w:r>
    </w:p>
    <w:p>
      <w:pPr>
        <w:pStyle w:val="StrategyCallout"/>
        <w:shd w:fill="EAF2F8"/>
        <w:pBdr>
          <w:left w:val="single" w:sz="18" w:space="10" w:color="2E74B5"/>
        </w:pBdr>
      </w:pPr>
      <w:r>
        <w:rPr>
          <w:rFonts w:ascii="Calibri" w:hAnsi="Calibri"/>
          <w:i w:val="0"/>
          <w:color w:val="1F4D78"/>
          <w:sz w:val="22"/>
        </w:rPr>
        <w:t>Give us a brief, an approved source policy, and a destination. Receive a reviewed, source-grounded, multi-format content release on a predictable cadence.</w:t>
      </w:r>
    </w:p>
    <w:p>
      <w:r>
        <w:rPr>
          <w:rFonts w:ascii="Calibri" w:hAnsi="Calibri"/>
          <w:i w:val="0"/>
          <w:color w:val="1F2937"/>
          <w:sz w:val="22"/>
        </w:rPr>
        <w:t>The strongest initial external customers are likely to have:</w:t>
      </w:r>
    </w:p>
    <w:p>
      <w:pPr>
        <w:keepLines/>
        <w:widowControl/>
        <w:numPr>
          <w:ilvl w:val="0"/>
          <w:numId w:val="10"/>
        </w:numPr>
      </w:pPr>
      <w:r>
        <w:rPr>
          <w:rFonts w:ascii="Calibri" w:hAnsi="Calibri"/>
          <w:i w:val="0"/>
          <w:color w:val="1F2937"/>
          <w:sz w:val="22"/>
        </w:rPr>
        <w:t>a recurring publishing or education workflow;</w:t>
      </w:r>
    </w:p>
    <w:p>
      <w:pPr>
        <w:keepLines/>
        <w:widowControl/>
        <w:numPr>
          <w:ilvl w:val="0"/>
          <w:numId w:val="10"/>
        </w:numPr>
      </w:pPr>
      <w:r>
        <w:rPr>
          <w:rFonts w:ascii="Calibri" w:hAnsi="Calibri"/>
          <w:i w:val="0"/>
          <w:color w:val="1F2937"/>
          <w:sz w:val="22"/>
        </w:rPr>
        <w:t>identifiable source material;</w:t>
      </w:r>
    </w:p>
    <w:p>
      <w:pPr>
        <w:keepLines/>
        <w:widowControl/>
        <w:numPr>
          <w:ilvl w:val="0"/>
          <w:numId w:val="10"/>
        </w:numPr>
      </w:pPr>
      <w:r>
        <w:rPr>
          <w:rFonts w:ascii="Calibri" w:hAnsi="Calibri"/>
          <w:i w:val="0"/>
          <w:color w:val="1F2937"/>
          <w:sz w:val="22"/>
        </w:rPr>
        <w:t>meaningful reputational cost when content is wrong;</w:t>
      </w:r>
    </w:p>
    <w:p>
      <w:pPr>
        <w:keepLines/>
        <w:widowControl/>
        <w:numPr>
          <w:ilvl w:val="0"/>
          <w:numId w:val="10"/>
        </w:numPr>
      </w:pPr>
      <w:r>
        <w:rPr>
          <w:rFonts w:ascii="Calibri" w:hAnsi="Calibri"/>
          <w:i w:val="0"/>
          <w:color w:val="1F2937"/>
          <w:sz w:val="22"/>
        </w:rPr>
        <w:t>several required formats or destinations;</w:t>
      </w:r>
    </w:p>
    <w:p>
      <w:pPr>
        <w:keepLines/>
        <w:widowControl/>
        <w:numPr>
          <w:ilvl w:val="0"/>
          <w:numId w:val="10"/>
        </w:numPr>
      </w:pPr>
      <w:r>
        <w:rPr>
          <w:rFonts w:ascii="Calibri" w:hAnsi="Calibri"/>
          <w:i w:val="0"/>
          <w:color w:val="1F2937"/>
          <w:sz w:val="22"/>
        </w:rPr>
        <w:t>too much manual coordination between research, drafting, review, media, and publishing.</w:t>
      </w:r>
    </w:p>
    <w:p>
      <w:r>
        <w:rPr>
          <w:rFonts w:ascii="Calibri" w:hAnsi="Calibri"/>
          <w:i w:val="0"/>
          <w:color w:val="1F2937"/>
          <w:sz w:val="22"/>
        </w:rPr>
        <w:t>Potential early segments include specialist publishers, professional associations, research-led newsletters, customer education teams, learning products, and content agencies.</w:t>
      </w:r>
    </w:p>
    <w:p>
      <w:r>
        <w:rPr>
          <w:rFonts w:ascii="Calibri" w:hAnsi="Calibri"/>
          <w:i w:val="0"/>
          <w:color w:val="1F2937"/>
          <w:sz w:val="22"/>
        </w:rPr>
        <w:t>The first business model should be a productized managed service. It can price the production outcome while revealing actual costs, review load, failure rates, and integration needs before a multi-tenant platform is built.</w:t>
      </w:r>
    </w:p>
    <w:p>
      <w:r>
        <w:rPr>
          <w:rFonts w:ascii="Calibri" w:hAnsi="Calibri"/>
          <w:i w:val="0"/>
          <w:color w:val="1F2937"/>
          <w:sz w:val="22"/>
        </w:rPr>
        <w:t>Possible pricing dimensions include:</w:t>
      </w:r>
    </w:p>
    <w:p>
      <w:pPr>
        <w:keepLines/>
        <w:widowControl/>
        <w:numPr>
          <w:ilvl w:val="0"/>
          <w:numId w:val="10"/>
        </w:numPr>
      </w:pPr>
      <w:r>
        <w:rPr>
          <w:rFonts w:ascii="Calibri" w:hAnsi="Calibri"/>
          <w:i w:val="0"/>
          <w:color w:val="1F2937"/>
          <w:sz w:val="22"/>
        </w:rPr>
        <w:t>approved releases per month;</w:t>
      </w:r>
    </w:p>
    <w:p>
      <w:pPr>
        <w:keepLines/>
        <w:widowControl/>
        <w:numPr>
          <w:ilvl w:val="0"/>
          <w:numId w:val="10"/>
        </w:numPr>
      </w:pPr>
      <w:r>
        <w:rPr>
          <w:rFonts w:ascii="Calibri" w:hAnsi="Calibri"/>
          <w:i w:val="0"/>
          <w:color w:val="1F2937"/>
          <w:sz w:val="22"/>
        </w:rPr>
        <w:t>source depth and research complexity;</w:t>
      </w:r>
    </w:p>
    <w:p>
      <w:pPr>
        <w:keepLines/>
        <w:widowControl/>
        <w:numPr>
          <w:ilvl w:val="0"/>
          <w:numId w:val="10"/>
        </w:numPr>
      </w:pPr>
      <w:r>
        <w:rPr>
          <w:rFonts w:ascii="Calibri" w:hAnsi="Calibri"/>
          <w:i w:val="0"/>
          <w:color w:val="1F2937"/>
          <w:sz w:val="22"/>
        </w:rPr>
        <w:t>number and cost of media formats;</w:t>
      </w:r>
    </w:p>
    <w:p>
      <w:pPr>
        <w:keepLines/>
        <w:widowControl/>
        <w:numPr>
          <w:ilvl w:val="0"/>
          <w:numId w:val="10"/>
        </w:numPr>
      </w:pPr>
      <w:r>
        <w:rPr>
          <w:rFonts w:ascii="Calibri" w:hAnsi="Calibri"/>
          <w:i w:val="0"/>
          <w:color w:val="1F2937"/>
          <w:sz w:val="22"/>
        </w:rPr>
        <w:t>language variants;</w:t>
      </w:r>
    </w:p>
    <w:p>
      <w:pPr>
        <w:keepLines/>
        <w:widowControl/>
        <w:numPr>
          <w:ilvl w:val="0"/>
          <w:numId w:val="10"/>
        </w:numPr>
      </w:pPr>
      <w:r>
        <w:rPr>
          <w:rFonts w:ascii="Calibri" w:hAnsi="Calibri"/>
          <w:i w:val="0"/>
          <w:color w:val="1F2937"/>
          <w:sz w:val="22"/>
        </w:rPr>
        <w:t>human review requirements;</w:t>
      </w:r>
    </w:p>
    <w:p>
      <w:pPr>
        <w:keepLines/>
        <w:widowControl/>
        <w:numPr>
          <w:ilvl w:val="0"/>
          <w:numId w:val="10"/>
        </w:numPr>
      </w:pPr>
      <w:r>
        <w:rPr>
          <w:rFonts w:ascii="Calibri" w:hAnsi="Calibri"/>
          <w:i w:val="0"/>
          <w:color w:val="1F2937"/>
          <w:sz w:val="22"/>
        </w:rPr>
        <w:t>turnaround time;</w:t>
      </w:r>
    </w:p>
    <w:p>
      <w:pPr>
        <w:keepLines/>
        <w:widowControl/>
        <w:numPr>
          <w:ilvl w:val="0"/>
          <w:numId w:val="10"/>
        </w:numPr>
      </w:pPr>
      <w:r>
        <w:rPr>
          <w:rFonts w:ascii="Calibri" w:hAnsi="Calibri"/>
          <w:i w:val="0"/>
          <w:color w:val="1F2937"/>
          <w:sz w:val="22"/>
        </w:rPr>
        <w:t>destination integrations;</w:t>
      </w:r>
    </w:p>
    <w:p>
      <w:pPr>
        <w:keepLines/>
        <w:widowControl/>
        <w:numPr>
          <w:ilvl w:val="0"/>
          <w:numId w:val="10"/>
        </w:numPr>
      </w:pPr>
      <w:r>
        <w:rPr>
          <w:rFonts w:ascii="Calibri" w:hAnsi="Calibri"/>
          <w:i w:val="0"/>
          <w:color w:val="1F2937"/>
          <w:sz w:val="22"/>
        </w:rPr>
        <w:t>evidence-retention and policy requirements.</w:t>
      </w:r>
    </w:p>
    <w:p>
      <w:r>
        <w:rPr>
          <w:rFonts w:ascii="Calibri" w:hAnsi="Calibri"/>
          <w:i w:val="0"/>
          <w:color w:val="1F2937"/>
          <w:sz w:val="22"/>
        </w:rPr>
        <w:t>The engine should not primarily charge by tokens or internal retries. Those are production inputs and reliability costs, not customer outcomes.</w:t>
      </w:r>
    </w:p>
    <w:p>
      <w:pPr>
        <w:pStyle w:val="Heading1"/>
      </w:pPr>
      <w:r>
        <w:t>8. Future machine distribution and x402</w:t>
      </w:r>
    </w:p>
    <w:p>
      <w:r>
        <w:rPr>
          <w:rFonts w:ascii="Calibri" w:hAnsi="Calibri"/>
          <w:i w:val="0"/>
          <w:color w:val="1F2937"/>
          <w:sz w:val="22"/>
        </w:rPr>
        <w:t>The future opportunity is not limited to human readers. A well-structured Knowledge Bit can be consumed by another product, API, model context system, or autonomous agent.</w:t>
      </w:r>
    </w:p>
    <w:p>
      <w:r>
        <w:rPr>
          <w:rFonts w:ascii="Calibri" w:hAnsi="Calibri"/>
          <w:i w:val="0"/>
          <w:color w:val="1F2937"/>
          <w:sz w:val="22"/>
        </w:rPr>
        <w:t xml:space="preserve">x402 is an open HTTP payment standard built around </w:t>
      </w:r>
      <w:r>
        <w:rPr>
          <w:rFonts w:ascii="Consolas" w:hAnsi="Consolas"/>
          <w:color w:val="1F4D78"/>
          <w:sz w:val="21"/>
        </w:rPr>
        <w:t>402 Payment Required</w:t>
      </w:r>
      <w:r>
        <w:rPr>
          <w:rFonts w:ascii="Calibri" w:hAnsi="Calibri"/>
          <w:i w:val="0"/>
          <w:color w:val="1F2937"/>
          <w:sz w:val="22"/>
        </w:rPr>
        <w:t>. It can allow software clients to pay programmatically for API or content access without a traditional account and API-key flow. For Knowledge Bits, that could eventually support:</w:t>
      </w:r>
    </w:p>
    <w:p>
      <w:pPr>
        <w:keepLines/>
        <w:widowControl/>
        <w:numPr>
          <w:ilvl w:val="0"/>
          <w:numId w:val="10"/>
        </w:numPr>
      </w:pPr>
      <w:r>
        <w:rPr>
          <w:rFonts w:ascii="Calibri" w:hAnsi="Calibri"/>
          <w:i w:val="0"/>
          <w:color w:val="1F2937"/>
          <w:sz w:val="22"/>
        </w:rPr>
        <w:t>pay-per-access evidence packages;</w:t>
      </w:r>
    </w:p>
    <w:p>
      <w:pPr>
        <w:keepLines/>
        <w:widowControl/>
        <w:numPr>
          <w:ilvl w:val="0"/>
          <w:numId w:val="10"/>
        </w:numPr>
      </w:pPr>
      <w:r>
        <w:rPr>
          <w:rFonts w:ascii="Calibri" w:hAnsi="Calibri"/>
          <w:i w:val="0"/>
          <w:color w:val="1F2937"/>
          <w:sz w:val="22"/>
        </w:rPr>
        <w:t>paid retrieval of a structured knowledge release;</w:t>
      </w:r>
    </w:p>
    <w:p>
      <w:pPr>
        <w:keepLines/>
        <w:widowControl/>
        <w:numPr>
          <w:ilvl w:val="0"/>
          <w:numId w:val="10"/>
        </w:numPr>
      </w:pPr>
      <w:r>
        <w:rPr>
          <w:rFonts w:ascii="Calibri" w:hAnsi="Calibri"/>
          <w:i w:val="0"/>
          <w:color w:val="1F2937"/>
          <w:sz w:val="22"/>
        </w:rPr>
        <w:t>agent-purchased source-grounded context;</w:t>
      </w:r>
    </w:p>
    <w:p>
      <w:pPr>
        <w:keepLines/>
        <w:widowControl/>
        <w:numPr>
          <w:ilvl w:val="0"/>
          <w:numId w:val="10"/>
        </w:numPr>
      </w:pPr>
      <w:r>
        <w:rPr>
          <w:rFonts w:ascii="Calibri" w:hAnsi="Calibri"/>
          <w:i w:val="0"/>
          <w:color w:val="1F2937"/>
          <w:sz w:val="22"/>
        </w:rPr>
        <w:t>paid transformations into a requested format;</w:t>
      </w:r>
    </w:p>
    <w:p>
      <w:pPr>
        <w:keepLines/>
        <w:widowControl/>
        <w:numPr>
          <w:ilvl w:val="0"/>
          <w:numId w:val="10"/>
        </w:numPr>
      </w:pPr>
      <w:r>
        <w:rPr>
          <w:rFonts w:ascii="Calibri" w:hAnsi="Calibri"/>
          <w:i w:val="0"/>
          <w:color w:val="1F2937"/>
          <w:sz w:val="22"/>
        </w:rPr>
        <w:t>machine-readable licensing and receipts;</w:t>
      </w:r>
    </w:p>
    <w:p>
      <w:pPr>
        <w:keepLines/>
        <w:widowControl/>
        <w:numPr>
          <w:ilvl w:val="0"/>
          <w:numId w:val="10"/>
        </w:numPr>
      </w:pPr>
      <w:r>
        <w:rPr>
          <w:rFonts w:ascii="Calibri" w:hAnsi="Calibri"/>
          <w:i w:val="0"/>
          <w:color w:val="1F2937"/>
          <w:sz w:val="22"/>
        </w:rPr>
        <w:t>marketplace or syndication experiments.</w:t>
      </w:r>
    </w:p>
    <w:p>
      <w:r>
        <w:rPr>
          <w:rFonts w:ascii="Calibri" w:hAnsi="Calibri"/>
          <w:i w:val="0"/>
          <w:color w:val="1F2937"/>
          <w:sz w:val="22"/>
        </w:rPr>
        <w:t>This is a strategic option rather than a near-term roadmap commitment. x402 should be piloted only after Knowledge Bits has:</w:t>
      </w:r>
    </w:p>
    <w:p>
      <w:pPr>
        <w:keepLines/>
        <w:widowControl/>
        <w:numPr>
          <w:ilvl w:val="0"/>
          <w:numId w:val="13"/>
        </w:numPr>
      </w:pPr>
      <w:r>
        <w:rPr>
          <w:rFonts w:ascii="Calibri" w:hAnsi="Calibri"/>
          <w:i w:val="0"/>
          <w:color w:val="1F2937"/>
          <w:sz w:val="22"/>
        </w:rPr>
        <w:t>a stable resource and version contract;</w:t>
      </w:r>
    </w:p>
    <w:p>
      <w:pPr>
        <w:keepLines/>
        <w:widowControl/>
        <w:numPr>
          <w:ilvl w:val="0"/>
          <w:numId w:val="13"/>
        </w:numPr>
      </w:pPr>
      <w:r>
        <w:rPr>
          <w:rFonts w:ascii="Calibri" w:hAnsi="Calibri"/>
          <w:i w:val="0"/>
          <w:color w:val="1F2937"/>
          <w:sz w:val="22"/>
        </w:rPr>
        <w:t>clear source rights and redistribution policies;</w:t>
      </w:r>
    </w:p>
    <w:p>
      <w:pPr>
        <w:keepLines/>
        <w:widowControl/>
        <w:numPr>
          <w:ilvl w:val="0"/>
          <w:numId w:val="13"/>
        </w:numPr>
      </w:pPr>
      <w:r>
        <w:rPr>
          <w:rFonts w:ascii="Calibri" w:hAnsi="Calibri"/>
          <w:i w:val="0"/>
          <w:color w:val="1F2937"/>
          <w:sz w:val="22"/>
        </w:rPr>
        <w:t>correction, revocation, and freshness behavior;</w:t>
      </w:r>
    </w:p>
    <w:p>
      <w:pPr>
        <w:keepLines/>
        <w:widowControl/>
        <w:numPr>
          <w:ilvl w:val="0"/>
          <w:numId w:val="13"/>
        </w:numPr>
      </w:pPr>
      <w:r>
        <w:rPr>
          <w:rFonts w:ascii="Calibri" w:hAnsi="Calibri"/>
          <w:i w:val="0"/>
          <w:color w:val="1F2937"/>
          <w:sz w:val="22"/>
        </w:rPr>
        <w:t>metering and a sensible per-resource price;</w:t>
      </w:r>
    </w:p>
    <w:p>
      <w:pPr>
        <w:keepLines/>
        <w:widowControl/>
        <w:numPr>
          <w:ilvl w:val="0"/>
          <w:numId w:val="13"/>
        </w:numPr>
      </w:pPr>
      <w:r>
        <w:rPr>
          <w:rFonts w:ascii="Calibri" w:hAnsi="Calibri"/>
          <w:i w:val="0"/>
          <w:color w:val="1F2937"/>
          <w:sz w:val="22"/>
        </w:rPr>
        <w:t>an external buyer or partner with a real use case;</w:t>
      </w:r>
    </w:p>
    <w:p>
      <w:pPr>
        <w:keepLines/>
        <w:widowControl/>
        <w:numPr>
          <w:ilvl w:val="0"/>
          <w:numId w:val="13"/>
        </w:numPr>
      </w:pPr>
      <w:r>
        <w:rPr>
          <w:rFonts w:ascii="Calibri" w:hAnsi="Calibri"/>
          <w:i w:val="0"/>
          <w:color w:val="1F2937"/>
          <w:sz w:val="22"/>
        </w:rPr>
        <w:t>evidence that transaction value exceeds protocol and operational complexity.</w:t>
      </w:r>
    </w:p>
    <w:p>
      <w:r>
        <w:rPr>
          <w:rFonts w:ascii="Calibri" w:hAnsi="Calibri"/>
          <w:i w:val="0"/>
          <w:color w:val="1F2937"/>
          <w:sz w:val="22"/>
        </w:rPr>
        <w:t>The first x402 experiment should expose one narrow, low-risk resource or capability. It should not place the Nuglet consumer subscription or the full Knowledge Bits platform on a new payment rail.</w:t>
      </w:r>
    </w:p>
    <w:p>
      <w:pPr>
        <w:pStyle w:val="Heading1"/>
      </w:pPr>
      <w:r>
        <w:t>9. Strategic sequence</w:t>
      </w:r>
    </w:p>
    <w:p>
      <w:pPr>
        <w:pStyle w:val="Heading2"/>
      </w:pPr>
      <w:r>
        <w:t>Phase 1: Learn from the first users</w:t>
      </w:r>
    </w:p>
    <w:p>
      <w:r>
        <w:rPr>
          <w:rFonts w:ascii="Calibri" w:hAnsi="Calibri"/>
          <w:b/>
          <w:i w:val="0"/>
          <w:color w:val="1F2937"/>
          <w:sz w:val="22"/>
        </w:rPr>
        <w:t>Objective:</w:t>
      </w:r>
      <w:r>
        <w:rPr>
          <w:rFonts w:ascii="Calibri" w:hAnsi="Calibri"/>
          <w:i w:val="0"/>
          <w:color w:val="1F2937"/>
          <w:sz w:val="22"/>
        </w:rPr>
        <w:t xml:space="preserve"> sharpen the audience, problem, and first useful moment.</w:t>
      </w:r>
    </w:p>
    <w:p>
      <w:pPr>
        <w:keepLines/>
        <w:widowControl/>
        <w:numPr>
          <w:ilvl w:val="0"/>
          <w:numId w:val="10"/>
        </w:numPr>
      </w:pPr>
      <w:r>
        <w:rPr>
          <w:rFonts w:ascii="Calibri" w:hAnsi="Calibri"/>
          <w:i w:val="0"/>
          <w:color w:val="1F2937"/>
          <w:sz w:val="22"/>
        </w:rPr>
        <w:t>interview and observe the existing known users;</w:t>
      </w:r>
    </w:p>
    <w:p>
      <w:pPr>
        <w:keepLines/>
        <w:widowControl/>
        <w:numPr>
          <w:ilvl w:val="0"/>
          <w:numId w:val="10"/>
        </w:numPr>
      </w:pPr>
      <w:r>
        <w:rPr>
          <w:rFonts w:ascii="Calibri" w:hAnsi="Calibri"/>
          <w:i w:val="0"/>
          <w:color w:val="1F2937"/>
          <w:sz w:val="22"/>
        </w:rPr>
        <w:t>recruit people outside the founder's network who fit the audience hypothesis;</w:t>
      </w:r>
    </w:p>
    <w:p>
      <w:pPr>
        <w:keepLines/>
        <w:widowControl/>
        <w:numPr>
          <w:ilvl w:val="0"/>
          <w:numId w:val="10"/>
        </w:numPr>
      </w:pPr>
      <w:r>
        <w:rPr>
          <w:rFonts w:ascii="Calibri" w:hAnsi="Calibri"/>
          <w:i w:val="0"/>
          <w:color w:val="1F2937"/>
          <w:sz w:val="22"/>
        </w:rPr>
        <w:t>identify the strongest repeated problem and topic cluster;</w:t>
      </w:r>
    </w:p>
    <w:p>
      <w:pPr>
        <w:keepLines/>
        <w:widowControl/>
        <w:numPr>
          <w:ilvl w:val="0"/>
          <w:numId w:val="10"/>
        </w:numPr>
      </w:pPr>
      <w:r>
        <w:rPr>
          <w:rFonts w:ascii="Calibri" w:hAnsi="Calibri"/>
          <w:i w:val="0"/>
          <w:color w:val="1F2937"/>
          <w:sz w:val="22"/>
        </w:rPr>
        <w:t>measure first-lesson completion, useful-moment feedback, and early return;</w:t>
      </w:r>
    </w:p>
    <w:p>
      <w:pPr>
        <w:keepLines/>
        <w:widowControl/>
        <w:numPr>
          <w:ilvl w:val="0"/>
          <w:numId w:val="10"/>
        </w:numPr>
      </w:pPr>
      <w:r>
        <w:rPr>
          <w:rFonts w:ascii="Calibri" w:hAnsi="Calibri"/>
          <w:i w:val="0"/>
          <w:color w:val="1F2937"/>
          <w:sz w:val="22"/>
        </w:rPr>
        <w:t>complete the most important missing content formats for the chosen cluster.</w:t>
      </w:r>
    </w:p>
    <w:p>
      <w:r>
        <w:rPr>
          <w:rFonts w:ascii="Calibri" w:hAnsi="Calibri"/>
          <w:b/>
          <w:i w:val="0"/>
          <w:color w:val="1F2937"/>
          <w:sz w:val="22"/>
        </w:rPr>
        <w:t>Exit evidence:</w:t>
      </w:r>
      <w:r>
        <w:rPr>
          <w:rFonts w:ascii="Calibri" w:hAnsi="Calibri"/>
          <w:i w:val="0"/>
          <w:color w:val="1F2937"/>
          <w:sz w:val="22"/>
        </w:rPr>
        <w:t xml:space="preserve"> a specific audience and promise produce repeatable activation signals.</w:t>
      </w:r>
    </w:p>
    <w:p>
      <w:pPr>
        <w:pStyle w:val="Heading2"/>
      </w:pPr>
      <w:r>
        <w:t>Phase 2: Prove the organic content loop</w:t>
      </w:r>
    </w:p>
    <w:p>
      <w:r>
        <w:rPr>
          <w:rFonts w:ascii="Calibri" w:hAnsi="Calibri"/>
          <w:b/>
          <w:i w:val="0"/>
          <w:color w:val="1F2937"/>
          <w:sz w:val="22"/>
        </w:rPr>
        <w:t>Objective:</w:t>
      </w:r>
      <w:r>
        <w:rPr>
          <w:rFonts w:ascii="Calibri" w:hAnsi="Calibri"/>
          <w:i w:val="0"/>
          <w:color w:val="1F2937"/>
          <w:sz w:val="22"/>
        </w:rPr>
        <w:t xml:space="preserve"> connect trusted content production to qualified discovery.</w:t>
      </w:r>
    </w:p>
    <w:p>
      <w:pPr>
        <w:keepLines/>
        <w:widowControl/>
        <w:numPr>
          <w:ilvl w:val="0"/>
          <w:numId w:val="10"/>
        </w:numPr>
      </w:pPr>
      <w:r>
        <w:rPr>
          <w:rFonts w:ascii="Calibri" w:hAnsi="Calibri"/>
          <w:i w:val="0"/>
          <w:color w:val="1F2937"/>
          <w:sz w:val="22"/>
        </w:rPr>
        <w:t>create a bounded cluster of source-grounded Nuglets and public answers;</w:t>
      </w:r>
    </w:p>
    <w:p>
      <w:pPr>
        <w:keepLines/>
        <w:widowControl/>
        <w:numPr>
          <w:ilvl w:val="0"/>
          <w:numId w:val="10"/>
        </w:numPr>
      </w:pPr>
      <w:r>
        <w:rPr>
          <w:rFonts w:ascii="Calibri" w:hAnsi="Calibri"/>
          <w:i w:val="0"/>
          <w:color w:val="1F2937"/>
          <w:sz w:val="22"/>
        </w:rPr>
        <w:t>connect lesson, topic, guide, and learning-path pages;</w:t>
      </w:r>
    </w:p>
    <w:p>
      <w:pPr>
        <w:keepLines/>
        <w:widowControl/>
        <w:numPr>
          <w:ilvl w:val="0"/>
          <w:numId w:val="10"/>
        </w:numPr>
      </w:pPr>
      <w:r>
        <w:rPr>
          <w:rFonts w:ascii="Calibri" w:hAnsi="Calibri"/>
          <w:i w:val="0"/>
          <w:color w:val="1F2937"/>
          <w:sz w:val="22"/>
        </w:rPr>
        <w:t>distribute selected audio, video, image, and social derivatives;</w:t>
      </w:r>
    </w:p>
    <w:p>
      <w:pPr>
        <w:keepLines/>
        <w:widowControl/>
        <w:numPr>
          <w:ilvl w:val="0"/>
          <w:numId w:val="10"/>
        </w:numPr>
      </w:pPr>
      <w:r>
        <w:rPr>
          <w:rFonts w:ascii="Calibri" w:hAnsi="Calibri"/>
          <w:i w:val="0"/>
          <w:color w:val="1F2937"/>
          <w:sz w:val="22"/>
        </w:rPr>
        <w:t>measure search impressions, qualified clicks, preview starts, lesson completion, and signups;</w:t>
      </w:r>
    </w:p>
    <w:p>
      <w:pPr>
        <w:keepLines/>
        <w:widowControl/>
        <w:numPr>
          <w:ilvl w:val="0"/>
          <w:numId w:val="10"/>
        </w:numPr>
      </w:pPr>
      <w:r>
        <w:rPr>
          <w:rFonts w:ascii="Calibri" w:hAnsi="Calibri"/>
          <w:i w:val="0"/>
          <w:color w:val="1F2937"/>
          <w:sz w:val="22"/>
        </w:rPr>
        <w:t>improve pages from observed queries and conversion behavior rather than content volume targets.</w:t>
      </w:r>
    </w:p>
    <w:p>
      <w:r>
        <w:rPr>
          <w:rFonts w:ascii="Calibri" w:hAnsi="Calibri"/>
          <w:b/>
          <w:i w:val="0"/>
          <w:color w:val="1F2937"/>
          <w:sz w:val="22"/>
        </w:rPr>
        <w:t>Exit evidence:</w:t>
      </w:r>
      <w:r>
        <w:rPr>
          <w:rFonts w:ascii="Calibri" w:hAnsi="Calibri"/>
          <w:i w:val="0"/>
          <w:color w:val="1F2937"/>
          <w:sz w:val="22"/>
        </w:rPr>
        <w:t xml:space="preserve"> at least one content cluster repeatedly attracts the intended audience and leads to completed lessons.</w:t>
      </w:r>
    </w:p>
    <w:p>
      <w:pPr>
        <w:pStyle w:val="Heading2"/>
      </w:pPr>
      <w:r>
        <w:t>Phase 3: Prove conversion and retention</w:t>
      </w:r>
    </w:p>
    <w:p>
      <w:r>
        <w:rPr>
          <w:rFonts w:ascii="Calibri" w:hAnsi="Calibri"/>
          <w:b/>
          <w:i w:val="0"/>
          <w:color w:val="1F2937"/>
          <w:sz w:val="22"/>
        </w:rPr>
        <w:t>Objective:</w:t>
      </w:r>
      <w:r>
        <w:rPr>
          <w:rFonts w:ascii="Calibri" w:hAnsi="Calibri"/>
          <w:i w:val="0"/>
          <w:color w:val="1F2937"/>
          <w:sz w:val="22"/>
        </w:rPr>
        <w:t xml:space="preserve"> establish whether Nuglet can become a paid habit.</w:t>
      </w:r>
    </w:p>
    <w:p>
      <w:pPr>
        <w:keepLines/>
        <w:widowControl/>
        <w:numPr>
          <w:ilvl w:val="0"/>
          <w:numId w:val="10"/>
        </w:numPr>
      </w:pPr>
      <w:r>
        <w:rPr>
          <w:rFonts w:ascii="Calibri" w:hAnsi="Calibri"/>
          <w:i w:val="0"/>
          <w:color w:val="1F2937"/>
          <w:sz w:val="22"/>
        </w:rPr>
        <w:t>refine the first-use and paywall journey around the strongest wedge;</w:t>
      </w:r>
    </w:p>
    <w:p>
      <w:pPr>
        <w:keepLines/>
        <w:widowControl/>
        <w:numPr>
          <w:ilvl w:val="0"/>
          <w:numId w:val="10"/>
        </w:numPr>
      </w:pPr>
      <w:r>
        <w:rPr>
          <w:rFonts w:ascii="Calibri" w:hAnsi="Calibri"/>
          <w:i w:val="0"/>
          <w:color w:val="1F2937"/>
          <w:sz w:val="22"/>
        </w:rPr>
        <w:t>test plan, price, and promise;</w:t>
      </w:r>
    </w:p>
    <w:p>
      <w:pPr>
        <w:keepLines/>
        <w:widowControl/>
        <w:numPr>
          <w:ilvl w:val="0"/>
          <w:numId w:val="10"/>
        </w:numPr>
      </w:pPr>
      <w:r>
        <w:rPr>
          <w:rFonts w:ascii="Calibri" w:hAnsi="Calibri"/>
          <w:i w:val="0"/>
          <w:color w:val="1F2937"/>
          <w:sz w:val="22"/>
        </w:rPr>
        <w:t>identify which formats and return mechanisms correlate with D7 and D30 retention;</w:t>
      </w:r>
    </w:p>
    <w:p>
      <w:pPr>
        <w:keepLines/>
        <w:widowControl/>
        <w:numPr>
          <w:ilvl w:val="0"/>
          <w:numId w:val="10"/>
        </w:numPr>
      </w:pPr>
      <w:r>
        <w:rPr>
          <w:rFonts w:ascii="Calibri" w:hAnsi="Calibri"/>
          <w:i w:val="0"/>
          <w:color w:val="1F2937"/>
          <w:sz w:val="22"/>
        </w:rPr>
        <w:t>run small paid tests only to validate targeting and CAC assumptions;</w:t>
      </w:r>
    </w:p>
    <w:p>
      <w:pPr>
        <w:keepLines/>
        <w:widowControl/>
        <w:numPr>
          <w:ilvl w:val="0"/>
          <w:numId w:val="10"/>
        </w:numPr>
      </w:pPr>
      <w:r>
        <w:rPr>
          <w:rFonts w:ascii="Calibri" w:hAnsi="Calibri"/>
          <w:i w:val="0"/>
          <w:color w:val="1F2937"/>
          <w:sz w:val="22"/>
        </w:rPr>
        <w:t>calculate an initial LTV:CAC and payback model.</w:t>
      </w:r>
    </w:p>
    <w:p>
      <w:r>
        <w:rPr>
          <w:rFonts w:ascii="Calibri" w:hAnsi="Calibri"/>
          <w:b/>
          <w:i w:val="0"/>
          <w:color w:val="1F2937"/>
          <w:sz w:val="22"/>
        </w:rPr>
        <w:t>Exit evidence:</w:t>
      </w:r>
      <w:r>
        <w:rPr>
          <w:rFonts w:ascii="Calibri" w:hAnsi="Calibri"/>
          <w:i w:val="0"/>
          <w:color w:val="1F2937"/>
          <w:sz w:val="22"/>
        </w:rPr>
        <w:t xml:space="preserve"> verified paid conversion and a retention signal strong enough to justify controlled acquisition growth.</w:t>
      </w:r>
    </w:p>
    <w:p>
      <w:pPr>
        <w:pStyle w:val="Heading2"/>
      </w:pPr>
      <w:r>
        <w:t>Phase 4: Productize Knowledge Bits</w:t>
      </w:r>
    </w:p>
    <w:p>
      <w:r>
        <w:rPr>
          <w:rFonts w:ascii="Calibri" w:hAnsi="Calibri"/>
          <w:b/>
          <w:i w:val="0"/>
          <w:color w:val="1F2937"/>
          <w:sz w:val="22"/>
        </w:rPr>
        <w:t>Objective:</w:t>
      </w:r>
      <w:r>
        <w:rPr>
          <w:rFonts w:ascii="Calibri" w:hAnsi="Calibri"/>
          <w:i w:val="0"/>
          <w:color w:val="1F2937"/>
          <w:sz w:val="22"/>
        </w:rPr>
        <w:t xml:space="preserve"> test whether the internal production advantage has external value.</w:t>
      </w:r>
    </w:p>
    <w:p>
      <w:pPr>
        <w:keepLines/>
        <w:widowControl/>
        <w:numPr>
          <w:ilvl w:val="0"/>
          <w:numId w:val="10"/>
        </w:numPr>
      </w:pPr>
      <w:r>
        <w:rPr>
          <w:rFonts w:ascii="Calibri" w:hAnsi="Calibri"/>
          <w:i w:val="0"/>
          <w:color w:val="1F2937"/>
          <w:sz w:val="22"/>
        </w:rPr>
        <w:t>recruit one to three design partners with adjacent workflows;</w:t>
      </w:r>
    </w:p>
    <w:p>
      <w:pPr>
        <w:keepLines/>
        <w:widowControl/>
        <w:numPr>
          <w:ilvl w:val="0"/>
          <w:numId w:val="10"/>
        </w:numPr>
      </w:pPr>
      <w:r>
        <w:rPr>
          <w:rFonts w:ascii="Calibri" w:hAnsi="Calibri"/>
          <w:i w:val="0"/>
          <w:color w:val="1F2937"/>
          <w:sz w:val="22"/>
        </w:rPr>
        <w:t>operate the service manually where necessary;</w:t>
      </w:r>
    </w:p>
    <w:p>
      <w:pPr>
        <w:keepLines/>
        <w:widowControl/>
        <w:numPr>
          <w:ilvl w:val="0"/>
          <w:numId w:val="10"/>
        </w:numPr>
      </w:pPr>
      <w:r>
        <w:rPr>
          <w:rFonts w:ascii="Calibri" w:hAnsi="Calibri"/>
          <w:i w:val="0"/>
          <w:color w:val="1F2937"/>
          <w:sz w:val="22"/>
        </w:rPr>
        <w:t>define one standard release, source policy, review cycle, and destination adapter;</w:t>
      </w:r>
    </w:p>
    <w:p>
      <w:pPr>
        <w:keepLines/>
        <w:widowControl/>
        <w:numPr>
          <w:ilvl w:val="0"/>
          <w:numId w:val="10"/>
        </w:numPr>
      </w:pPr>
      <w:r>
        <w:rPr>
          <w:rFonts w:ascii="Calibri" w:hAnsi="Calibri"/>
          <w:i w:val="0"/>
          <w:color w:val="1F2937"/>
          <w:sz w:val="22"/>
        </w:rPr>
        <w:t>measure cost, cycle time, review load, revision rate, and delivery reliability;</w:t>
      </w:r>
    </w:p>
    <w:p>
      <w:pPr>
        <w:keepLines/>
        <w:widowControl/>
        <w:numPr>
          <w:ilvl w:val="0"/>
          <w:numId w:val="10"/>
        </w:numPr>
      </w:pPr>
      <w:r>
        <w:rPr>
          <w:rFonts w:ascii="Calibri" w:hAnsi="Calibri"/>
          <w:i w:val="0"/>
          <w:color w:val="1F2937"/>
          <w:sz w:val="22"/>
        </w:rPr>
        <w:t>price the approved production outcome.</w:t>
      </w:r>
    </w:p>
    <w:p>
      <w:r>
        <w:rPr>
          <w:rFonts w:ascii="Calibri" w:hAnsi="Calibri"/>
          <w:b/>
          <w:i w:val="0"/>
          <w:color w:val="1F2937"/>
          <w:sz w:val="22"/>
        </w:rPr>
        <w:t>Exit evidence:</w:t>
      </w:r>
      <w:r>
        <w:rPr>
          <w:rFonts w:ascii="Calibri" w:hAnsi="Calibri"/>
          <w:i w:val="0"/>
          <w:color w:val="1F2937"/>
          <w:sz w:val="22"/>
        </w:rPr>
        <w:t xml:space="preserve"> external customers pay for repeat production and the unit economics improve with reuse.</w:t>
      </w:r>
    </w:p>
    <w:p>
      <w:pPr>
        <w:pStyle w:val="Heading2"/>
      </w:pPr>
      <w:r>
        <w:t>Phase 5: Test machine distribution</w:t>
      </w:r>
    </w:p>
    <w:p>
      <w:r>
        <w:rPr>
          <w:rFonts w:ascii="Calibri" w:hAnsi="Calibri"/>
          <w:b/>
          <w:i w:val="0"/>
          <w:color w:val="1F2937"/>
          <w:sz w:val="22"/>
        </w:rPr>
        <w:t>Objective:</w:t>
      </w:r>
      <w:r>
        <w:rPr>
          <w:rFonts w:ascii="Calibri" w:hAnsi="Calibri"/>
          <w:i w:val="0"/>
          <w:color w:val="1F2937"/>
          <w:sz w:val="22"/>
        </w:rPr>
        <w:t xml:space="preserve"> validate one machine buyer and one payable resource.</w:t>
      </w:r>
    </w:p>
    <w:p>
      <w:pPr>
        <w:keepLines/>
        <w:widowControl/>
        <w:numPr>
          <w:ilvl w:val="0"/>
          <w:numId w:val="10"/>
        </w:numPr>
      </w:pPr>
      <w:r>
        <w:rPr>
          <w:rFonts w:ascii="Calibri" w:hAnsi="Calibri"/>
          <w:i w:val="0"/>
          <w:color w:val="1F2937"/>
          <w:sz w:val="22"/>
        </w:rPr>
        <w:t>define a narrow versioned resource contract;</w:t>
      </w:r>
    </w:p>
    <w:p>
      <w:pPr>
        <w:keepLines/>
        <w:widowControl/>
        <w:numPr>
          <w:ilvl w:val="0"/>
          <w:numId w:val="10"/>
        </w:numPr>
      </w:pPr>
      <w:r>
        <w:rPr>
          <w:rFonts w:ascii="Calibri" w:hAnsi="Calibri"/>
          <w:i w:val="0"/>
          <w:color w:val="1F2937"/>
          <w:sz w:val="22"/>
        </w:rPr>
        <w:t>confirm redistribution rights and freshness behavior;</w:t>
      </w:r>
    </w:p>
    <w:p>
      <w:pPr>
        <w:keepLines/>
        <w:widowControl/>
        <w:numPr>
          <w:ilvl w:val="0"/>
          <w:numId w:val="10"/>
        </w:numPr>
      </w:pPr>
      <w:r>
        <w:rPr>
          <w:rFonts w:ascii="Calibri" w:hAnsi="Calibri"/>
          <w:i w:val="0"/>
          <w:color w:val="1F2937"/>
          <w:sz w:val="22"/>
        </w:rPr>
        <w:t>expose one API or content endpoint;</w:t>
      </w:r>
    </w:p>
    <w:p>
      <w:pPr>
        <w:keepLines/>
        <w:widowControl/>
        <w:numPr>
          <w:ilvl w:val="0"/>
          <w:numId w:val="10"/>
        </w:numPr>
      </w:pPr>
      <w:r>
        <w:rPr>
          <w:rFonts w:ascii="Calibri" w:hAnsi="Calibri"/>
          <w:i w:val="0"/>
          <w:color w:val="1F2937"/>
          <w:sz w:val="22"/>
        </w:rPr>
        <w:t>test ordinary API billing first if it is simpler;</w:t>
      </w:r>
    </w:p>
    <w:p>
      <w:pPr>
        <w:keepLines/>
        <w:widowControl/>
        <w:numPr>
          <w:ilvl w:val="0"/>
          <w:numId w:val="10"/>
        </w:numPr>
      </w:pPr>
      <w:r>
        <w:rPr>
          <w:rFonts w:ascii="Calibri" w:hAnsi="Calibri"/>
          <w:i w:val="0"/>
          <w:color w:val="1F2937"/>
          <w:sz w:val="22"/>
        </w:rPr>
        <w:t>test x402 when programmatic, accountless payment materially improves the use case.</w:t>
      </w:r>
    </w:p>
    <w:p>
      <w:r>
        <w:rPr>
          <w:rFonts w:ascii="Calibri" w:hAnsi="Calibri"/>
          <w:b/>
          <w:i w:val="0"/>
          <w:color w:val="1F2937"/>
          <w:sz w:val="22"/>
        </w:rPr>
        <w:t>Exit evidence:</w:t>
      </w:r>
      <w:r>
        <w:rPr>
          <w:rFonts w:ascii="Calibri" w:hAnsi="Calibri"/>
          <w:i w:val="0"/>
          <w:color w:val="1F2937"/>
          <w:sz w:val="22"/>
        </w:rPr>
        <w:t xml:space="preserve"> a machine customer repeatedly pays for a resource or transformation with acceptable margins and support cost.</w:t>
      </w:r>
    </w:p>
    <w:p>
      <w:pPr>
        <w:pStyle w:val="Heading1"/>
      </w:pPr>
      <w:r>
        <w:t>10. Shared metrics</w:t>
      </w:r>
    </w:p>
    <w:p>
      <w:pPr>
        <w:pStyle w:val="Heading2"/>
      </w:pPr>
      <w:r>
        <w:t>Audience and acquisition</w:t>
      </w:r>
    </w:p>
    <w:p>
      <w:pPr>
        <w:keepLines/>
        <w:widowControl/>
        <w:numPr>
          <w:ilvl w:val="0"/>
          <w:numId w:val="10"/>
        </w:numPr>
      </w:pPr>
      <w:r>
        <w:rPr>
          <w:rFonts w:ascii="Calibri" w:hAnsi="Calibri"/>
          <w:i w:val="0"/>
          <w:color w:val="1F2937"/>
          <w:sz w:val="22"/>
        </w:rPr>
        <w:t>qualified interviews completed;</w:t>
      </w:r>
    </w:p>
    <w:p>
      <w:pPr>
        <w:keepLines/>
        <w:widowControl/>
        <w:numPr>
          <w:ilvl w:val="0"/>
          <w:numId w:val="10"/>
        </w:numPr>
      </w:pPr>
      <w:r>
        <w:rPr>
          <w:rFonts w:ascii="Calibri" w:hAnsi="Calibri"/>
          <w:i w:val="0"/>
          <w:color w:val="1F2937"/>
          <w:sz w:val="22"/>
        </w:rPr>
        <w:t>returning discovery visitors;</w:t>
      </w:r>
    </w:p>
    <w:p>
      <w:pPr>
        <w:keepLines/>
        <w:widowControl/>
        <w:numPr>
          <w:ilvl w:val="0"/>
          <w:numId w:val="10"/>
        </w:numPr>
      </w:pPr>
      <w:r>
        <w:rPr>
          <w:rFonts w:ascii="Calibri" w:hAnsi="Calibri"/>
          <w:i w:val="0"/>
          <w:color w:val="1F2937"/>
          <w:sz w:val="22"/>
        </w:rPr>
        <w:t>organic impressions, clicks, and click-through rate by content cluster;</w:t>
      </w:r>
    </w:p>
    <w:p>
      <w:pPr>
        <w:keepLines/>
        <w:widowControl/>
        <w:numPr>
          <w:ilvl w:val="0"/>
          <w:numId w:val="10"/>
        </w:numPr>
      </w:pPr>
      <w:r>
        <w:rPr>
          <w:rFonts w:ascii="Calibri" w:hAnsi="Calibri"/>
          <w:i w:val="0"/>
          <w:color w:val="1F2937"/>
          <w:sz w:val="22"/>
        </w:rPr>
        <w:t>referrals from search and AI-answer surfaces where observable;</w:t>
      </w:r>
    </w:p>
    <w:p>
      <w:pPr>
        <w:keepLines/>
        <w:widowControl/>
        <w:numPr>
          <w:ilvl w:val="0"/>
          <w:numId w:val="10"/>
        </w:numPr>
      </w:pPr>
      <w:r>
        <w:rPr>
          <w:rFonts w:ascii="Calibri" w:hAnsi="Calibri"/>
          <w:i w:val="0"/>
          <w:color w:val="1F2937"/>
          <w:sz w:val="22"/>
        </w:rPr>
        <w:t>preview and quiz starts;</w:t>
      </w:r>
    </w:p>
    <w:p>
      <w:pPr>
        <w:keepLines/>
        <w:widowControl/>
        <w:numPr>
          <w:ilvl w:val="0"/>
          <w:numId w:val="10"/>
        </w:numPr>
      </w:pPr>
      <w:r>
        <w:rPr>
          <w:rFonts w:ascii="Calibri" w:hAnsi="Calibri"/>
          <w:i w:val="0"/>
          <w:color w:val="1F2937"/>
          <w:sz w:val="22"/>
        </w:rPr>
        <w:t>cost per qualified visitor in bounded paid tests.</w:t>
      </w:r>
    </w:p>
    <w:p>
      <w:pPr>
        <w:pStyle w:val="Heading2"/>
      </w:pPr>
      <w:r>
        <w:t>Activation and retention</w:t>
      </w:r>
    </w:p>
    <w:p>
      <w:pPr>
        <w:keepLines/>
        <w:widowControl/>
        <w:numPr>
          <w:ilvl w:val="0"/>
          <w:numId w:val="10"/>
        </w:numPr>
      </w:pPr>
      <w:r>
        <w:rPr>
          <w:rFonts w:ascii="Calibri" w:hAnsi="Calibri"/>
          <w:i w:val="0"/>
          <w:color w:val="1F2937"/>
          <w:sz w:val="22"/>
        </w:rPr>
        <w:t>signup to first lesson start;</w:t>
      </w:r>
    </w:p>
    <w:p>
      <w:pPr>
        <w:keepLines/>
        <w:widowControl/>
        <w:numPr>
          <w:ilvl w:val="0"/>
          <w:numId w:val="10"/>
        </w:numPr>
      </w:pPr>
      <w:r>
        <w:rPr>
          <w:rFonts w:ascii="Calibri" w:hAnsi="Calibri"/>
          <w:i w:val="0"/>
          <w:color w:val="1F2937"/>
          <w:sz w:val="22"/>
        </w:rPr>
        <w:t>first lesson completion within 24 hours;</w:t>
      </w:r>
    </w:p>
    <w:p>
      <w:pPr>
        <w:keepLines/>
        <w:widowControl/>
        <w:numPr>
          <w:ilvl w:val="0"/>
          <w:numId w:val="10"/>
        </w:numPr>
      </w:pPr>
      <w:r>
        <w:rPr>
          <w:rFonts w:ascii="Calibri" w:hAnsi="Calibri"/>
          <w:i w:val="0"/>
          <w:color w:val="1F2937"/>
          <w:sz w:val="22"/>
        </w:rPr>
        <w:t>challenge or mental-rep completion;</w:t>
      </w:r>
    </w:p>
    <w:p>
      <w:pPr>
        <w:keepLines/>
        <w:widowControl/>
        <w:numPr>
          <w:ilvl w:val="0"/>
          <w:numId w:val="10"/>
        </w:numPr>
      </w:pPr>
      <w:r>
        <w:rPr>
          <w:rFonts w:ascii="Calibri" w:hAnsi="Calibri"/>
          <w:i w:val="0"/>
          <w:color w:val="1F2937"/>
          <w:sz w:val="22"/>
        </w:rPr>
        <w:t>time to first useful moment;</w:t>
      </w:r>
    </w:p>
    <w:p>
      <w:pPr>
        <w:keepLines/>
        <w:widowControl/>
        <w:numPr>
          <w:ilvl w:val="0"/>
          <w:numId w:val="10"/>
        </w:numPr>
      </w:pPr>
      <w:r>
        <w:rPr>
          <w:rFonts w:ascii="Calibri" w:hAnsi="Calibri"/>
          <w:i w:val="0"/>
          <w:color w:val="1F2937"/>
          <w:sz w:val="22"/>
        </w:rPr>
        <w:t>D1, D7, and D30 retained learning;</w:t>
      </w:r>
    </w:p>
    <w:p>
      <w:pPr>
        <w:keepLines/>
        <w:widowControl/>
        <w:numPr>
          <w:ilvl w:val="0"/>
          <w:numId w:val="10"/>
        </w:numPr>
      </w:pPr>
      <w:r>
        <w:rPr>
          <w:rFonts w:ascii="Calibri" w:hAnsi="Calibri"/>
          <w:i w:val="0"/>
          <w:color w:val="1F2937"/>
          <w:sz w:val="22"/>
        </w:rPr>
        <w:t>review, save, discussion, and return behavior.</w:t>
      </w:r>
    </w:p>
    <w:p>
      <w:pPr>
        <w:pStyle w:val="Heading2"/>
      </w:pPr>
      <w:r>
        <w:t>Revenue</w:t>
      </w:r>
    </w:p>
    <w:p>
      <w:pPr>
        <w:keepLines/>
        <w:widowControl/>
        <w:numPr>
          <w:ilvl w:val="0"/>
          <w:numId w:val="10"/>
        </w:numPr>
      </w:pPr>
      <w:r>
        <w:rPr>
          <w:rFonts w:ascii="Calibri" w:hAnsi="Calibri"/>
          <w:i w:val="0"/>
          <w:color w:val="1F2937"/>
          <w:sz w:val="22"/>
        </w:rPr>
        <w:t>paywall to verified subscription;</w:t>
      </w:r>
    </w:p>
    <w:p>
      <w:pPr>
        <w:keepLines/>
        <w:widowControl/>
        <w:numPr>
          <w:ilvl w:val="0"/>
          <w:numId w:val="10"/>
        </w:numPr>
      </w:pPr>
      <w:r>
        <w:rPr>
          <w:rFonts w:ascii="Calibri" w:hAnsi="Calibri"/>
          <w:i w:val="0"/>
          <w:color w:val="1F2937"/>
          <w:sz w:val="22"/>
        </w:rPr>
        <w:t>revenue and retention by audience, promise, and content cluster;</w:t>
      </w:r>
    </w:p>
    <w:p>
      <w:pPr>
        <w:keepLines/>
        <w:widowControl/>
        <w:numPr>
          <w:ilvl w:val="0"/>
          <w:numId w:val="10"/>
        </w:numPr>
      </w:pPr>
      <w:r>
        <w:rPr>
          <w:rFonts w:ascii="Calibri" w:hAnsi="Calibri"/>
          <w:i w:val="0"/>
          <w:color w:val="1F2937"/>
          <w:sz w:val="22"/>
        </w:rPr>
        <w:t>trial or refund behavior where applicable;</w:t>
      </w:r>
    </w:p>
    <w:p>
      <w:pPr>
        <w:keepLines/>
        <w:widowControl/>
        <w:numPr>
          <w:ilvl w:val="0"/>
          <w:numId w:val="10"/>
        </w:numPr>
      </w:pPr>
      <w:r>
        <w:rPr>
          <w:rFonts w:ascii="Calibri" w:hAnsi="Calibri"/>
          <w:i w:val="0"/>
          <w:color w:val="1F2937"/>
          <w:sz w:val="22"/>
        </w:rPr>
        <w:t>early LTV, CAC, and payback period.</w:t>
      </w:r>
    </w:p>
    <w:p>
      <w:pPr>
        <w:pStyle w:val="Heading2"/>
      </w:pPr>
      <w:r>
        <w:t>Content operations</w:t>
      </w:r>
    </w:p>
    <w:p>
      <w:pPr>
        <w:keepLines/>
        <w:widowControl/>
        <w:numPr>
          <w:ilvl w:val="0"/>
          <w:numId w:val="10"/>
        </w:numPr>
      </w:pPr>
      <w:r>
        <w:rPr>
          <w:rFonts w:ascii="Calibri" w:hAnsi="Calibri"/>
          <w:i w:val="0"/>
          <w:color w:val="1F2937"/>
          <w:sz w:val="22"/>
        </w:rPr>
        <w:t>time and cost per approved release;</w:t>
      </w:r>
    </w:p>
    <w:p>
      <w:pPr>
        <w:keepLines/>
        <w:widowControl/>
        <w:numPr>
          <w:ilvl w:val="0"/>
          <w:numId w:val="10"/>
        </w:numPr>
      </w:pPr>
      <w:r>
        <w:rPr>
          <w:rFonts w:ascii="Calibri" w:hAnsi="Calibri"/>
          <w:i w:val="0"/>
          <w:color w:val="1F2937"/>
          <w:sz w:val="22"/>
        </w:rPr>
        <w:t>human review minutes per release;</w:t>
      </w:r>
    </w:p>
    <w:p>
      <w:pPr>
        <w:keepLines/>
        <w:widowControl/>
        <w:numPr>
          <w:ilvl w:val="0"/>
          <w:numId w:val="10"/>
        </w:numPr>
      </w:pPr>
      <w:r>
        <w:rPr>
          <w:rFonts w:ascii="Calibri" w:hAnsi="Calibri"/>
          <w:i w:val="0"/>
          <w:color w:val="1F2937"/>
          <w:sz w:val="22"/>
        </w:rPr>
        <w:t>first-pass quality rate;</w:t>
      </w:r>
    </w:p>
    <w:p>
      <w:pPr>
        <w:keepLines/>
        <w:widowControl/>
        <w:numPr>
          <w:ilvl w:val="0"/>
          <w:numId w:val="10"/>
        </w:numPr>
      </w:pPr>
      <w:r>
        <w:rPr>
          <w:rFonts w:ascii="Calibri" w:hAnsi="Calibri"/>
          <w:i w:val="0"/>
          <w:color w:val="1F2937"/>
          <w:sz w:val="22"/>
        </w:rPr>
        <w:t>revisions and failure reasons;</w:t>
      </w:r>
    </w:p>
    <w:p>
      <w:pPr>
        <w:keepLines/>
        <w:widowControl/>
        <w:numPr>
          <w:ilvl w:val="0"/>
          <w:numId w:val="10"/>
        </w:numPr>
      </w:pPr>
      <w:r>
        <w:rPr>
          <w:rFonts w:ascii="Calibri" w:hAnsi="Calibri"/>
          <w:i w:val="0"/>
          <w:color w:val="1F2937"/>
          <w:sz w:val="22"/>
        </w:rPr>
        <w:t>source rejection and evidence-gap rates;</w:t>
      </w:r>
    </w:p>
    <w:p>
      <w:pPr>
        <w:keepLines/>
        <w:widowControl/>
        <w:numPr>
          <w:ilvl w:val="0"/>
          <w:numId w:val="10"/>
        </w:numPr>
      </w:pPr>
      <w:r>
        <w:rPr>
          <w:rFonts w:ascii="Calibri" w:hAnsi="Calibri"/>
          <w:i w:val="0"/>
          <w:color w:val="1F2937"/>
          <w:sz w:val="22"/>
        </w:rPr>
        <w:t>percentage of content reused across formats and destinations;</w:t>
      </w:r>
    </w:p>
    <w:p>
      <w:pPr>
        <w:keepLines/>
        <w:widowControl/>
        <w:numPr>
          <w:ilvl w:val="0"/>
          <w:numId w:val="10"/>
        </w:numPr>
      </w:pPr>
      <w:r>
        <w:rPr>
          <w:rFonts w:ascii="Calibri" w:hAnsi="Calibri"/>
          <w:i w:val="0"/>
          <w:color w:val="1F2937"/>
          <w:sz w:val="22"/>
        </w:rPr>
        <w:t>delivery success, recovery time, and duplicate prevention.</w:t>
      </w:r>
    </w:p>
    <w:p>
      <w:pPr>
        <w:pStyle w:val="Heading2"/>
      </w:pPr>
      <w:r>
        <w:t>Knowledge Bits externalization</w:t>
      </w:r>
    </w:p>
    <w:p>
      <w:pPr>
        <w:keepLines/>
        <w:widowControl/>
        <w:numPr>
          <w:ilvl w:val="0"/>
          <w:numId w:val="10"/>
        </w:numPr>
      </w:pPr>
      <w:r>
        <w:rPr>
          <w:rFonts w:ascii="Calibri" w:hAnsi="Calibri"/>
          <w:i w:val="0"/>
          <w:color w:val="1F2937"/>
          <w:sz w:val="22"/>
        </w:rPr>
        <w:t>design partners activated;</w:t>
      </w:r>
    </w:p>
    <w:p>
      <w:pPr>
        <w:keepLines/>
        <w:widowControl/>
        <w:numPr>
          <w:ilvl w:val="0"/>
          <w:numId w:val="10"/>
        </w:numPr>
      </w:pPr>
      <w:r>
        <w:rPr>
          <w:rFonts w:ascii="Calibri" w:hAnsi="Calibri"/>
          <w:i w:val="0"/>
          <w:color w:val="1F2937"/>
          <w:sz w:val="22"/>
        </w:rPr>
        <w:t>approved releases per customer;</w:t>
      </w:r>
    </w:p>
    <w:p>
      <w:pPr>
        <w:keepLines/>
        <w:widowControl/>
        <w:numPr>
          <w:ilvl w:val="0"/>
          <w:numId w:val="10"/>
        </w:numPr>
      </w:pPr>
      <w:r>
        <w:rPr>
          <w:rFonts w:ascii="Calibri" w:hAnsi="Calibri"/>
          <w:i w:val="0"/>
          <w:color w:val="1F2937"/>
          <w:sz w:val="22"/>
        </w:rPr>
        <w:t>gross margin per release;</w:t>
      </w:r>
    </w:p>
    <w:p>
      <w:pPr>
        <w:keepLines/>
        <w:widowControl/>
        <w:numPr>
          <w:ilvl w:val="0"/>
          <w:numId w:val="10"/>
        </w:numPr>
      </w:pPr>
      <w:r>
        <w:rPr>
          <w:rFonts w:ascii="Calibri" w:hAnsi="Calibri"/>
          <w:i w:val="0"/>
          <w:color w:val="1F2937"/>
          <w:sz w:val="22"/>
        </w:rPr>
        <w:t>recipe and adapter reuse;</w:t>
      </w:r>
    </w:p>
    <w:p>
      <w:pPr>
        <w:keepLines/>
        <w:widowControl/>
        <w:numPr>
          <w:ilvl w:val="0"/>
          <w:numId w:val="10"/>
        </w:numPr>
      </w:pPr>
      <w:r>
        <w:rPr>
          <w:rFonts w:ascii="Calibri" w:hAnsi="Calibri"/>
          <w:i w:val="0"/>
          <w:color w:val="1F2937"/>
          <w:sz w:val="22"/>
        </w:rPr>
        <w:t>support and exception time;</w:t>
      </w:r>
    </w:p>
    <w:p>
      <w:pPr>
        <w:keepLines/>
        <w:widowControl/>
        <w:numPr>
          <w:ilvl w:val="0"/>
          <w:numId w:val="10"/>
        </w:numPr>
      </w:pPr>
      <w:r>
        <w:rPr>
          <w:rFonts w:ascii="Calibri" w:hAnsi="Calibri"/>
          <w:i w:val="0"/>
          <w:color w:val="1F2937"/>
          <w:sz w:val="22"/>
        </w:rPr>
        <w:t>repeat purchase or contracted production cadence.</w:t>
      </w:r>
    </w:p>
    <w:p>
      <w:pPr>
        <w:pStyle w:val="Heading1"/>
      </w:pPr>
      <w:r>
        <w:t>11. Guardrails</w:t>
      </w:r>
    </w:p>
    <w:p>
      <w:pPr>
        <w:keepLines/>
        <w:widowControl/>
        <w:numPr>
          <w:ilvl w:val="0"/>
          <w:numId w:val="10"/>
        </w:numPr>
      </w:pPr>
      <w:r>
        <w:rPr>
          <w:rFonts w:ascii="Calibri" w:hAnsi="Calibri"/>
          <w:i w:val="0"/>
          <w:color w:val="1F2937"/>
          <w:sz w:val="22"/>
        </w:rPr>
        <w:t>Do not confuse a broad technical capability with a validated market.</w:t>
      </w:r>
    </w:p>
    <w:p>
      <w:pPr>
        <w:keepLines/>
        <w:widowControl/>
        <w:numPr>
          <w:ilvl w:val="0"/>
          <w:numId w:val="10"/>
        </w:numPr>
      </w:pPr>
      <w:r>
        <w:rPr>
          <w:rFonts w:ascii="Calibri" w:hAnsi="Calibri"/>
          <w:i w:val="0"/>
          <w:color w:val="1F2937"/>
          <w:sz w:val="22"/>
        </w:rPr>
        <w:t>Do not publish content merely because the engine can generate it.</w:t>
      </w:r>
    </w:p>
    <w:p>
      <w:pPr>
        <w:keepLines/>
        <w:widowControl/>
        <w:numPr>
          <w:ilvl w:val="0"/>
          <w:numId w:val="10"/>
        </w:numPr>
      </w:pPr>
      <w:r>
        <w:rPr>
          <w:rFonts w:ascii="Calibri" w:hAnsi="Calibri"/>
          <w:i w:val="0"/>
          <w:color w:val="1F2937"/>
          <w:sz w:val="22"/>
        </w:rPr>
        <w:t>Do not describe personally known users as evidence of product-market fit.</w:t>
      </w:r>
    </w:p>
    <w:p>
      <w:pPr>
        <w:keepLines/>
        <w:widowControl/>
        <w:numPr>
          <w:ilvl w:val="0"/>
          <w:numId w:val="10"/>
        </w:numPr>
      </w:pPr>
      <w:r>
        <w:rPr>
          <w:rFonts w:ascii="Calibri" w:hAnsi="Calibri"/>
          <w:i w:val="0"/>
          <w:color w:val="1F2937"/>
          <w:sz w:val="22"/>
        </w:rPr>
        <w:t>Do not scale paid acquisition before activation, retention, and conversion are measurable.</w:t>
      </w:r>
    </w:p>
    <w:p>
      <w:pPr>
        <w:keepLines/>
        <w:widowControl/>
        <w:numPr>
          <w:ilvl w:val="0"/>
          <w:numId w:val="10"/>
        </w:numPr>
      </w:pPr>
      <w:r>
        <w:rPr>
          <w:rFonts w:ascii="Calibri" w:hAnsi="Calibri"/>
          <w:i w:val="0"/>
          <w:color w:val="1F2937"/>
          <w:sz w:val="22"/>
        </w:rPr>
        <w:t>Do not build separate SEO and AI-answer content farms; reuse one trusted knowledge core.</w:t>
      </w:r>
    </w:p>
    <w:p>
      <w:pPr>
        <w:keepLines/>
        <w:widowControl/>
        <w:numPr>
          <w:ilvl w:val="0"/>
          <w:numId w:val="10"/>
        </w:numPr>
      </w:pPr>
      <w:r>
        <w:rPr>
          <w:rFonts w:ascii="Calibri" w:hAnsi="Calibri"/>
          <w:i w:val="0"/>
          <w:color w:val="1F2937"/>
          <w:sz w:val="22"/>
        </w:rPr>
        <w:t>Do not use NotebookLM or any provider output as self-validating evidence.</w:t>
      </w:r>
    </w:p>
    <w:p>
      <w:pPr>
        <w:keepLines/>
        <w:widowControl/>
        <w:numPr>
          <w:ilvl w:val="0"/>
          <w:numId w:val="10"/>
        </w:numPr>
      </w:pPr>
      <w:r>
        <w:rPr>
          <w:rFonts w:ascii="Calibri" w:hAnsi="Calibri"/>
          <w:i w:val="0"/>
          <w:color w:val="1F2937"/>
          <w:sz w:val="22"/>
        </w:rPr>
        <w:t>Do not summarize protected books as a substitute for original, rights-aware learning value.</w:t>
      </w:r>
    </w:p>
    <w:p>
      <w:pPr>
        <w:keepLines/>
        <w:widowControl/>
        <w:numPr>
          <w:ilvl w:val="0"/>
          <w:numId w:val="10"/>
        </w:numPr>
      </w:pPr>
      <w:r>
        <w:rPr>
          <w:rFonts w:ascii="Calibri" w:hAnsi="Calibri"/>
          <w:i w:val="0"/>
          <w:color w:val="1F2937"/>
          <w:sz w:val="22"/>
        </w:rPr>
        <w:t>Do not position approved-release immutability as the customer moat.</w:t>
      </w:r>
    </w:p>
    <w:p>
      <w:pPr>
        <w:keepLines/>
        <w:widowControl/>
        <w:numPr>
          <w:ilvl w:val="0"/>
          <w:numId w:val="10"/>
        </w:numPr>
      </w:pPr>
      <w:r>
        <w:rPr>
          <w:rFonts w:ascii="Calibri" w:hAnsi="Calibri"/>
          <w:i w:val="0"/>
          <w:color w:val="1F2937"/>
          <w:sz w:val="22"/>
        </w:rPr>
        <w:t>Do not build multi-tenancy, a marketplace, or x402 integration before a real buyer requires it.</w:t>
      </w:r>
    </w:p>
    <w:p>
      <w:pPr>
        <w:keepLines/>
        <w:widowControl/>
        <w:numPr>
          <w:ilvl w:val="0"/>
          <w:numId w:val="10"/>
        </w:numPr>
      </w:pPr>
      <w:r>
        <w:rPr>
          <w:rFonts w:ascii="Calibri" w:hAnsi="Calibri"/>
          <w:i w:val="0"/>
          <w:color w:val="1F2937"/>
          <w:sz w:val="22"/>
        </w:rPr>
        <w:t>Do not let Knowledge Bits acquire Nuglet user, subscription, or production-database authority.</w:t>
      </w:r>
    </w:p>
    <w:p>
      <w:pPr>
        <w:pStyle w:val="Heading1"/>
      </w:pPr>
      <w:r>
        <w:t>12. Open decisions</w:t>
      </w:r>
    </w:p>
    <w:p>
      <w:pPr>
        <w:keepLines/>
        <w:widowControl/>
        <w:numPr>
          <w:ilvl w:val="0"/>
          <w:numId w:val="14"/>
        </w:numPr>
      </w:pPr>
      <w:r>
        <w:rPr>
          <w:rFonts w:ascii="Calibri" w:hAnsi="Calibri"/>
          <w:i w:val="0"/>
          <w:color w:val="1F2937"/>
          <w:sz w:val="22"/>
        </w:rPr>
        <w:t>Which precise customer segment should be the first Nuglet wedge?</w:t>
      </w:r>
    </w:p>
    <w:p>
      <w:pPr>
        <w:keepLines/>
        <w:widowControl/>
        <w:numPr>
          <w:ilvl w:val="0"/>
          <w:numId w:val="14"/>
        </w:numPr>
      </w:pPr>
      <w:r>
        <w:rPr>
          <w:rFonts w:ascii="Calibri" w:hAnsi="Calibri"/>
          <w:i w:val="0"/>
          <w:color w:val="1F2937"/>
          <w:sz w:val="22"/>
        </w:rPr>
        <w:t>Which topic cluster creates the strongest reason to start now?</w:t>
      </w:r>
    </w:p>
    <w:p>
      <w:pPr>
        <w:keepLines/>
        <w:widowControl/>
        <w:numPr>
          <w:ilvl w:val="0"/>
          <w:numId w:val="14"/>
        </w:numPr>
      </w:pPr>
      <w:r>
        <w:rPr>
          <w:rFonts w:ascii="Calibri" w:hAnsi="Calibri"/>
          <w:i w:val="0"/>
          <w:color w:val="1F2937"/>
          <w:sz w:val="22"/>
        </w:rPr>
        <w:t>Which public answer or lesson best demonstrates the product promise?</w:t>
      </w:r>
    </w:p>
    <w:p>
      <w:pPr>
        <w:keepLines/>
        <w:widowControl/>
        <w:numPr>
          <w:ilvl w:val="0"/>
          <w:numId w:val="14"/>
        </w:numPr>
      </w:pPr>
      <w:r>
        <w:rPr>
          <w:rFonts w:ascii="Calibri" w:hAnsi="Calibri"/>
          <w:i w:val="0"/>
          <w:color w:val="1F2937"/>
          <w:sz w:val="22"/>
        </w:rPr>
        <w:t>What behavior predicts a learner's return and willingness to pay?</w:t>
      </w:r>
    </w:p>
    <w:p>
      <w:pPr>
        <w:keepLines/>
        <w:widowControl/>
        <w:numPr>
          <w:ilvl w:val="0"/>
          <w:numId w:val="14"/>
        </w:numPr>
      </w:pPr>
      <w:r>
        <w:rPr>
          <w:rFonts w:ascii="Calibri" w:hAnsi="Calibri"/>
          <w:i w:val="0"/>
          <w:color w:val="1F2937"/>
          <w:sz w:val="22"/>
        </w:rPr>
        <w:t>Which formats improve activation or retention enough to justify their production cost?</w:t>
      </w:r>
    </w:p>
    <w:p>
      <w:pPr>
        <w:keepLines/>
        <w:widowControl/>
        <w:numPr>
          <w:ilvl w:val="0"/>
          <w:numId w:val="14"/>
        </w:numPr>
      </w:pPr>
      <w:r>
        <w:rPr>
          <w:rFonts w:ascii="Calibri" w:hAnsi="Calibri"/>
          <w:i w:val="0"/>
          <w:color w:val="1F2937"/>
          <w:sz w:val="22"/>
        </w:rPr>
        <w:t>What is the free-to-paid boundary between public knowledge, lesson previews, and the full Nuglet experience?</w:t>
      </w:r>
    </w:p>
    <w:p>
      <w:pPr>
        <w:keepLines/>
        <w:widowControl/>
        <w:numPr>
          <w:ilvl w:val="0"/>
          <w:numId w:val="14"/>
        </w:numPr>
      </w:pPr>
      <w:r>
        <w:rPr>
          <w:rFonts w:ascii="Calibri" w:hAnsi="Calibri"/>
          <w:i w:val="0"/>
          <w:color w:val="1F2937"/>
          <w:sz w:val="22"/>
        </w:rPr>
        <w:t>When should Knowledge Bits seek its first external design partner relative to Nuglet's own validation?</w:t>
      </w:r>
    </w:p>
    <w:p>
      <w:pPr>
        <w:keepLines/>
        <w:widowControl/>
        <w:numPr>
          <w:ilvl w:val="0"/>
          <w:numId w:val="14"/>
        </w:numPr>
      </w:pPr>
      <w:r>
        <w:rPr>
          <w:rFonts w:ascii="Calibri" w:hAnsi="Calibri"/>
          <w:i w:val="0"/>
          <w:color w:val="1F2937"/>
          <w:sz w:val="22"/>
        </w:rPr>
        <w:t>Which source and licensing policies are required for book-led, quotation-led, and customer-document-led releases?</w:t>
      </w:r>
    </w:p>
    <w:p>
      <w:pPr>
        <w:keepLines/>
        <w:widowControl/>
        <w:numPr>
          <w:ilvl w:val="0"/>
          <w:numId w:val="14"/>
        </w:numPr>
      </w:pPr>
      <w:r>
        <w:rPr>
          <w:rFonts w:ascii="Calibri" w:hAnsi="Calibri"/>
          <w:i w:val="0"/>
          <w:color w:val="1F2937"/>
          <w:sz w:val="22"/>
        </w:rPr>
        <w:t>What is the first machine-readable resource someone would pay to retrieve?</w:t>
      </w:r>
    </w:p>
    <w:p>
      <w:pPr>
        <w:pStyle w:val="Heading1"/>
      </w:pPr>
      <w:r>
        <w:t>13. The founder narrative</w:t>
      </w:r>
    </w:p>
    <w:p>
      <w:r>
        <w:rPr>
          <w:rFonts w:ascii="Calibri" w:hAnsi="Calibri"/>
          <w:i w:val="0"/>
          <w:color w:val="1F2937"/>
          <w:sz w:val="22"/>
        </w:rPr>
        <w:t>We did not begin by deciding to build two products. We began with Nuglet and discovered that producing trustworthy lessons across research, text, audio, visuals, quizzes, review, and publishing was becoming a product of its own.</w:t>
      </w:r>
    </w:p>
    <w:p>
      <w:r>
        <w:rPr>
          <w:rFonts w:ascii="Calibri" w:hAnsi="Calibri"/>
          <w:i w:val="0"/>
          <w:color w:val="1F2937"/>
          <w:sz w:val="22"/>
        </w:rPr>
        <w:t>Keeping that operation inside the consumer monorepo created conflicting priorities and unnecessary complexity. The learner application needed to move quickly around experience, conversion, and retention. The production operation needed long-running jobs, evidence, retries, editorial controls, and provider isolation. Separating Knowledge Bits allowed each side to become simpler and stronger.</w:t>
      </w:r>
    </w:p>
    <w:p>
      <w:r>
        <w:rPr>
          <w:rFonts w:ascii="Calibri" w:hAnsi="Calibri"/>
          <w:i w:val="0"/>
          <w:color w:val="1F2937"/>
          <w:sz w:val="22"/>
        </w:rPr>
        <w:t>The result is a two-part system. Knowledge Bits can turn an initial idea into a reviewed, source-grounded, multi-format knowledge release. Nuglet can turn that release into a small learning experience people can discover, finish, remember, and eventually pay for.</w:t>
      </w:r>
    </w:p>
    <w:p>
      <w:r>
        <w:rPr>
          <w:rFonts w:ascii="Calibri" w:hAnsi="Calibri"/>
          <w:i w:val="0"/>
          <w:color w:val="1F2937"/>
          <w:sz w:val="22"/>
        </w:rPr>
        <w:t>The next challenge is not generating more. It is learning what deserves to be generated, for whom, how it reaches them, and whether it creates enough value to bring them back.</w:t>
      </w:r>
    </w:p>
    <w:p>
      <w:pPr>
        <w:pStyle w:val="Heading1"/>
      </w:pPr>
      <w:r>
        <w:t>Sources and internal references</w:t>
      </w:r>
    </w:p>
    <w:p>
      <w:pPr>
        <w:pStyle w:val="Heading2"/>
      </w:pPr>
      <w:r>
        <w:t>Internal</w:t>
      </w:r>
    </w:p>
    <w:p>
      <w:pPr>
        <w:keepLines/>
        <w:widowControl/>
        <w:numPr>
          <w:ilvl w:val="0"/>
          <w:numId w:val="10"/>
        </w:numPr>
      </w:pPr>
      <w:r>
        <w:rPr>
          <w:rFonts w:ascii="Consolas" w:hAnsi="Consolas"/>
          <w:color w:val="1F4D78"/>
          <w:sz w:val="21"/>
        </w:rPr>
        <w:t>Knowledge Bits/docs/VISION.md</w:t>
      </w:r>
    </w:p>
    <w:p>
      <w:pPr>
        <w:keepLines/>
        <w:widowControl/>
        <w:numPr>
          <w:ilvl w:val="0"/>
          <w:numId w:val="10"/>
        </w:numPr>
      </w:pPr>
      <w:r>
        <w:rPr>
          <w:rFonts w:ascii="Consolas" w:hAnsi="Consolas"/>
          <w:color w:val="1F4D78"/>
          <w:sz w:val="21"/>
        </w:rPr>
        <w:t>Knowledge Bits/docs/V1_DESIGN.md</w:t>
      </w:r>
    </w:p>
    <w:p>
      <w:pPr>
        <w:keepLines/>
        <w:widowControl/>
        <w:numPr>
          <w:ilvl w:val="0"/>
          <w:numId w:val="10"/>
        </w:numPr>
      </w:pPr>
      <w:r>
        <w:rPr>
          <w:rFonts w:ascii="Consolas" w:hAnsi="Consolas"/>
          <w:color w:val="1F4D78"/>
          <w:sz w:val="21"/>
        </w:rPr>
        <w:t>Nuglet/BUSINESS-CONTEXT.md</w:t>
      </w:r>
    </w:p>
    <w:p>
      <w:pPr>
        <w:keepLines/>
        <w:widowControl/>
        <w:numPr>
          <w:ilvl w:val="0"/>
          <w:numId w:val="10"/>
        </w:numPr>
      </w:pPr>
      <w:r>
        <w:rPr>
          <w:rFonts w:ascii="Consolas" w:hAnsi="Consolas"/>
          <w:color w:val="1F4D78"/>
          <w:sz w:val="21"/>
        </w:rPr>
        <w:t>Nuglet/PLAYBOOK.md</w:t>
      </w:r>
    </w:p>
    <w:p>
      <w:pPr>
        <w:keepLines/>
        <w:widowControl/>
        <w:numPr>
          <w:ilvl w:val="0"/>
          <w:numId w:val="10"/>
        </w:numPr>
      </w:pPr>
      <w:r>
        <w:rPr>
          <w:rFonts w:ascii="Consolas" w:hAnsi="Consolas"/>
          <w:color w:val="1F4D78"/>
          <w:sz w:val="21"/>
        </w:rPr>
        <w:t>Nuglet/docs/product/nuglet-product-marketing-brief-founding-product.md</w:t>
      </w:r>
    </w:p>
    <w:p>
      <w:pPr>
        <w:keepLines/>
        <w:widowControl/>
        <w:numPr>
          <w:ilvl w:val="0"/>
          <w:numId w:val="10"/>
        </w:numPr>
      </w:pPr>
      <w:r>
        <w:rPr>
          <w:rFonts w:ascii="Consolas" w:hAnsi="Consolas"/>
          <w:color w:val="1F4D78"/>
          <w:sz w:val="21"/>
        </w:rPr>
        <w:t>Nuglet/docs/seo/CONTENT_PLAYBOOK.md</w:t>
      </w:r>
    </w:p>
    <w:p>
      <w:pPr>
        <w:keepLines/>
        <w:widowControl/>
        <w:numPr>
          <w:ilvl w:val="0"/>
          <w:numId w:val="10"/>
        </w:numPr>
      </w:pPr>
      <w:r>
        <w:rPr>
          <w:rFonts w:ascii="Consolas" w:hAnsi="Consolas"/>
          <w:color w:val="1F4D78"/>
          <w:sz w:val="21"/>
        </w:rPr>
        <w:t>Nuglet/docs/seo/EVIDENCE_POLICY.md</w:t>
      </w:r>
    </w:p>
    <w:p>
      <w:pPr>
        <w:keepLines/>
        <w:widowControl/>
        <w:numPr>
          <w:ilvl w:val="0"/>
          <w:numId w:val="10"/>
        </w:numPr>
      </w:pPr>
      <w:r>
        <w:rPr>
          <w:rFonts w:ascii="Consolas" w:hAnsi="Consolas"/>
          <w:color w:val="1F4D78"/>
          <w:sz w:val="21"/>
        </w:rPr>
        <w:t>Nuglet/docs/seo/M6_SEARCH_CONSOLE_REPORTING_AND_FIRST_50_PLAN.md</w:t>
      </w:r>
    </w:p>
    <w:p>
      <w:pPr>
        <w:pStyle w:val="Heading2"/>
      </w:pPr>
      <w:r>
        <w:t>External</w:t>
      </w:r>
    </w:p>
    <w:p>
      <w:pPr>
        <w:keepLines/>
        <w:widowControl/>
        <w:numPr>
          <w:ilvl w:val="0"/>
          <w:numId w:val="10"/>
        </w:numPr>
      </w:pPr>
      <w:r>
        <w:rPr>
          <w:rFonts w:ascii="Calibri" w:hAnsi="Calibri"/>
          <w:i w:val="0"/>
          <w:color w:val="1F2937"/>
          <w:sz w:val="22"/>
        </w:rPr>
        <w:t xml:space="preserve">Google Search Central, </w:t>
      </w:r>
      <w:hyperlink r:id="rId11">
        <w:r>
          <w:rPr>
            <w:rFonts w:ascii="Calibri" w:hAnsi="Calibri"/>
            <w:color w:val="2E74B5"/>
            <w:u w:val="single"/>
          </w:rPr>
          <w:t>AI Features and Your Website</w:t>
        </w:r>
      </w:hyperlink>
    </w:p>
    <w:p>
      <w:pPr>
        <w:keepLines/>
        <w:widowControl/>
        <w:numPr>
          <w:ilvl w:val="0"/>
          <w:numId w:val="10"/>
        </w:numPr>
      </w:pPr>
      <w:r>
        <w:rPr>
          <w:rFonts w:ascii="Calibri" w:hAnsi="Calibri"/>
          <w:i w:val="0"/>
          <w:color w:val="1F2937"/>
          <w:sz w:val="22"/>
        </w:rPr>
        <w:t xml:space="preserve">Google Search Central, </w:t>
      </w:r>
      <w:hyperlink r:id="rId12">
        <w:r>
          <w:rPr>
            <w:rFonts w:ascii="Calibri" w:hAnsi="Calibri"/>
            <w:color w:val="2E74B5"/>
            <w:u w:val="single"/>
          </w:rPr>
          <w:t>Guidance on Generative AI Content</w:t>
        </w:r>
      </w:hyperlink>
    </w:p>
    <w:p>
      <w:pPr>
        <w:keepLines/>
        <w:widowControl/>
        <w:numPr>
          <w:ilvl w:val="0"/>
          <w:numId w:val="10"/>
        </w:numPr>
      </w:pPr>
      <w:r>
        <w:rPr>
          <w:rFonts w:ascii="Calibri" w:hAnsi="Calibri"/>
          <w:i w:val="0"/>
          <w:color w:val="1F2937"/>
          <w:sz w:val="22"/>
        </w:rPr>
        <w:t xml:space="preserve">Google Search Central, </w:t>
      </w:r>
      <w:hyperlink r:id="rId13">
        <w:r>
          <w:rPr>
            <w:rFonts w:ascii="Calibri" w:hAnsi="Calibri"/>
            <w:color w:val="2E74B5"/>
            <w:u w:val="single"/>
          </w:rPr>
          <w:t>Creating Helpful, Reliable, People-First Content</w:t>
        </w:r>
      </w:hyperlink>
    </w:p>
    <w:p>
      <w:pPr>
        <w:keepLines/>
        <w:widowControl/>
        <w:numPr>
          <w:ilvl w:val="0"/>
          <w:numId w:val="10"/>
        </w:numPr>
      </w:pPr>
      <w:r>
        <w:rPr>
          <w:rFonts w:ascii="Calibri" w:hAnsi="Calibri"/>
          <w:i w:val="0"/>
          <w:color w:val="1F2937"/>
          <w:sz w:val="22"/>
        </w:rPr>
        <w:t xml:space="preserve">x402 Foundation, </w:t>
      </w:r>
      <w:hyperlink r:id="rId14">
        <w:r>
          <w:rPr>
            <w:rFonts w:ascii="Calibri" w:hAnsi="Calibri"/>
            <w:color w:val="2E74B5"/>
            <w:u w:val="single"/>
          </w:rPr>
          <w:t>Welcome to x402</w:t>
        </w:r>
      </w:hyperlink>
    </w:p>
    <w:p>
      <w:pPr>
        <w:keepLines/>
        <w:widowControl/>
        <w:numPr>
          <w:ilvl w:val="0"/>
          <w:numId w:val="10"/>
        </w:numPr>
      </w:pPr>
      <w:r>
        <w:rPr>
          <w:rFonts w:ascii="Calibri" w:hAnsi="Calibri"/>
          <w:i w:val="0"/>
          <w:color w:val="1F2937"/>
          <w:sz w:val="22"/>
        </w:rPr>
        <w:t xml:space="preserve">x402 Foundation, </w:t>
      </w:r>
      <w:hyperlink r:id="rId15">
        <w:r>
          <w:rPr>
            <w:rFonts w:ascii="Calibri" w:hAnsi="Calibri"/>
            <w:color w:val="2E74B5"/>
            <w:u w:val="single"/>
          </w:rPr>
          <w:t>HTTP 402</w:t>
        </w:r>
      </w:hyperlink>
    </w:p>
    <w:sectPr w:rsidR="00FC693F" w:rsidRPr="0006063C" w:rsidSect="00034616">
      <w:headerReference w:type="default" r:id="rId9"/>
      <w:footerReference w:type="default" r:id="rId10"/>
      <w:pgSz w:w="12240" w:h="15840"/>
      <w:pgMar w:top="1152" w:right="1440" w:bottom="108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Working strategy  |  2026-07-28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NUGLET + KNOWLEDGE BITS  |  PRODUCT AND GROWTH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lvl>
  </w:abstractNum>
  <w:abstractNum w:abstractNumId="10">
    <w:multiLevelType w:val="singleLevel"/>
    <w:lvl w:ilvl="0">
      <w:start w:val="1"/>
      <w:numFmt w:val="decimal"/>
      <w:lvlText w:val="%1."/>
      <w:suff w:val="tab"/>
      <w:lvlJc w:val="left"/>
      <w:pPr>
        <w:tabs>
          <w:tab w:val="num" w:pos="720"/>
        </w:tabs>
        <w:ind w:left="720" w:hanging="360"/>
        <w:spacing w:after="160" w:line="280" w:lineRule="auto"/>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ategyMetadata">
    <w:name w:val="Strategy Metadata"/>
    <w:pPr>
      <w:spacing w:before="0" w:after="40" w:line="240" w:lineRule="auto"/>
    </w:pPr>
    <w:rPr>
      <w:rFonts w:ascii="Calibri" w:hAnsi="Calibri"/>
      <w:color w:val="1F2937"/>
      <w:sz w:val="21"/>
    </w:rPr>
  </w:style>
  <w:style w:type="paragraph" w:customStyle="1" w:styleId="StrategyCallout">
    <w:name w:val="Strategy Callout"/>
    <w:pPr>
      <w:keepLines/>
      <w:spacing w:before="160" w:after="200" w:line="269" w:lineRule="auto"/>
      <w:ind w:left="259" w:right="173"/>
    </w:pPr>
    <w:rPr>
      <w:rFonts w:ascii="Calibri" w:hAnsi="Calibri"/>
      <w:b/>
      <w:color w:val="1F4D78"/>
      <w:sz w:val="22"/>
    </w:rPr>
  </w:style>
  <w:style w:type="paragraph" w:customStyle="1" w:styleId="StrategyCode">
    <w:name w:val="Strategy Code"/>
    <w:pPr>
      <w:keepLines/>
      <w:spacing w:before="80" w:after="160" w:line="240" w:lineRule="auto"/>
      <w:ind w:left="259" w:right="173"/>
    </w:pPr>
    <w:rPr>
      <w:rFonts w:ascii="Consolas" w:hAnsi="Consolas"/>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appearance/ai-features" TargetMode="External"/><Relationship Id="rId12" Type="http://schemas.openxmlformats.org/officeDocument/2006/relationships/hyperlink" Target="https://developers.google.com/search/docs/fundamentals/using-gen-ai-content" TargetMode="External"/><Relationship Id="rId13" Type="http://schemas.openxmlformats.org/officeDocument/2006/relationships/hyperlink" Target="https://developers.google.com/search/docs/fundamentals/creating-helpful-content" TargetMode="External"/><Relationship Id="rId14" Type="http://schemas.openxmlformats.org/officeDocument/2006/relationships/hyperlink" Target="https://docs.x402.org/introduction" TargetMode="External"/><Relationship Id="rId15" Type="http://schemas.openxmlformats.org/officeDocument/2006/relationships/hyperlink" Target="https://docs.x402.org/core-concepts/http-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Nuglet + Knowledge Bits: Product, Content, and Growth Strategy</dc:title>
  <dc:subject>Joint product, content production, growth, SEO, and future machine distribution strategy</dc:subject>
  <dc:creator>Nuglet / Knowledge Bits</dc:creator>
  <cp:keywords>Nuglet, Knowledge Bits, product strategy, growth, SEO, x402</cp:keywords>
  <dc:description>generated by python-docx</dc:description>
  <cp:lastModifiedBy>Nuglet / Knowledge Bits</cp:lastModifiedBy>
  <cp:revision>1</cp:revision>
  <dcterms:created xsi:type="dcterms:W3CDTF">2013-12-23T23:15:00Z</dcterms:created>
  <dcterms:modified xsi:type="dcterms:W3CDTF">2013-12-23T23:15:00Z</dcterms:modified>
  <cp:category/>
</cp:coreProperties>
</file>