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30"/>
          <w:szCs w:val="30"/>
        </w:rPr>
        <w:t xml:space="preserve">Assistente de IA — Relatório Semanal à Diretoria</w:t>
      </w:r>
    </w:p>
    <w:p>
      <w:pPr>
        <w:spacing w:after="6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472"/>
          <w:sz w:val="18"/>
          <w:szCs w:val="18"/>
        </w:rPr>
        <w:t xml:space="preserve">NovaTech · Atendimento (RAG + bot no Teams) · Piloto em produção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pBdr>
                <w:bottom w:val="single" w:color="1a2230" w:sz="12"/>
              </w:pBd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8"/>
                <w:szCs w:val="18"/>
              </w:rPr>
              <w:t xml:space="preserve">Semana de referência: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8"/>
                <w:szCs w:val="18"/>
              </w:rPr>
              <w:t xml:space="preserve">06 – 12 jul 2026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8"/>
                <w:szCs w:val="18"/>
              </w:rPr>
              <w:t xml:space="preserve">     |     Emitido em: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8"/>
                <w:szCs w:val="18"/>
              </w:rPr>
              <w:t xml:space="preserve">13/jul/2026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8"/>
                <w:szCs w:val="18"/>
              </w:rPr>
              <w:t xml:space="preserve">     |     Semana 12 do piloto</w:t>
            </w:r>
          </w:p>
        </w:tc>
      </w:tr>
    </w:tbl>
    <w:p>
      <w:pPr>
        <w:spacing w:after="80" w:before="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20"/>
          <w:szCs w:val="20"/>
        </w:rPr>
        <w:t xml:space="preserve"/>
      </w:r>
    </w:p>
    <w:tbl>
      <w:tblPr>
        <w:tblW w:type="dxa" w:w="9700"/>
        <w:tblBorders>
          <w:top w:val="single" w:color="bfe4cd" w:sz="4"/>
          <w:left w:val="single" w:color="bfe4cd" w:sz="4"/>
          <w:bottom w:val="single" w:color="bfe4cd" w:sz="4"/>
          <w:right w:val="single" w:color="bfe4cd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472"/>
                <w:sz w:val="15"/>
                <w:szCs w:val="15"/>
              </w:rPr>
              <w:t xml:space="preserve">VEREDITO DA SEMANA   ●  VERDE</w:t>
            </w:r>
          </w:p>
          <w:p>
            <w:pPr>
              <w:spacing w:after="4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6"/>
                <w:szCs w:val="26"/>
              </w:rPr>
              <w:t xml:space="preserve">O assistente MELHOROU nesta semana</w:t>
            </w:r>
          </w:p>
          <w:p>
            <w:pPr>
              <w:spacing w:after="2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8"/>
                <w:szCs w:val="18"/>
              </w:rPr>
              <w:t xml:space="preserve">Menos feedback negativo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472"/>
                <w:sz w:val="18"/>
                <w:szCs w:val="18"/>
              </w:rPr>
              <w:t xml:space="preserve">com mais gente reagindo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8"/>
                <w:szCs w:val="18"/>
              </w:rPr>
              <w:t xml:space="preserve"> (melhoria real, não fadiga de feedback), maior volume de uso e nenhum alerta técnico ou incidente crítico disparado.</w:t>
            </w:r>
          </w:p>
        </w:tc>
      </w:tr>
    </w:tbl>
    <w:p>
      <w:pPr>
        <w:spacing w:after="80" w:before="20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5b6472"/>
          <w:sz w:val="16"/>
          <w:szCs w:val="16"/>
        </w:rPr>
        <w:t xml:space="preserve">INDICADORES-CHAVE · 4 DIMENSÕES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950"/>
        <w:gridCol w:w="1300"/>
        <w:gridCol w:w="2200"/>
        <w:gridCol w:w="11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Dimensão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Indicador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SEMANA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ANTERIOR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TEND.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Uso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Perguntas por dia (média)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342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298  (+15%)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↑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Qualidade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% de feedback negativo  (alerta em 15%)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9,2%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11,8%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Qualidade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Taxa de participação no feedback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64%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61%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↑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Qualidade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% de escalações para humano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14%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17%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↓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Técnica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Disponibilidade (uptime) · lat. p95 3,1s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99,7%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99,4%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↑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Conteúdo</w:t>
            </w:r>
          </w:p>
        </w:tc>
        <w:tc>
          <w:tcPr>
            <w:tcW w:type="dxa" w:w="39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8"/>
                <w:szCs w:val="18"/>
              </w:rPr>
              <w:t xml:space="preserve">% de perguntas sem resposta (alerta em 20%)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22"/>
                <w:szCs w:val="22"/>
              </w:rPr>
              <w:t xml:space="preserve">11%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a2af"/>
                <w:sz w:val="16"/>
                <w:szCs w:val="16"/>
              </w:rPr>
              <w:t xml:space="preserve">13%</w:t>
            </w:r>
          </w:p>
        </w:tc>
        <w:tc>
          <w:tcPr>
            <w:tcW w:type="dxa" w:w="1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4"/>
                <w:szCs w:val="24"/>
              </w:rPr>
              <w:t xml:space="preserve">↓</w:t>
            </w:r>
          </w:p>
        </w:tc>
      </w:tr>
    </w:tbl>
    <w:p>
      <w:pPr>
        <w:spacing w:after="20" w:before="6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2af"/>
          <w:sz w:val="15"/>
          <w:szCs w:val="15"/>
        </w:rPr>
        <w:t xml:space="preserve">Setas: ↑ subiu · ↓ caiu · → estável. A cor indica o efeito no negócio — </w:t>
      </w:r>
      <w:r>
        <w:rPr>
          <w:rFonts w:ascii="Calibri" w:cs="Calibri" w:eastAsia="Calibri" w:hAnsi="Calibri"/>
          <w:b/>
          <w:bCs/>
          <w:i w:val="false"/>
          <w:iCs w:val="false"/>
          <w:color w:val="1a8a4a"/>
          <w:sz w:val="15"/>
          <w:szCs w:val="15"/>
        </w:rPr>
        <w:t xml:space="preserve">verde = melhorou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2af"/>
          <w:sz w:val="15"/>
          <w:szCs w:val="15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15"/>
          <w:szCs w:val="15"/>
        </w:rPr>
        <w:t xml:space="preserve">vermelho = piorou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2af"/>
          <w:sz w:val="15"/>
          <w:szCs w:val="15"/>
        </w:rPr>
        <w:t xml:space="preserve"> — não a direção do número.</w:t>
      </w:r>
    </w:p>
    <w:p>
      <w:pPr>
        <w:spacing w:after="80" w:before="20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5b6472"/>
          <w:sz w:val="16"/>
          <w:szCs w:val="16"/>
        </w:rPr>
        <w:t xml:space="preserve">TENDÊNCIA DAS ÚLTIMAS 6 SEMANAS · INDICADORES CRÍTICOS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850"/>
        <w:gridCol w:w="850"/>
        <w:gridCol w:w="850"/>
        <w:gridCol w:w="850"/>
        <w:gridCol w:w="850"/>
        <w:gridCol w:w="850"/>
        <w:gridCol w:w="500"/>
      </w:tblGrid>
      <w:tr>
        <w:trPr>
          <w:tblHeader/>
        </w:trPr>
        <w:tc>
          <w:tcPr>
            <w:tcW w:type="dxa" w:w="3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Indicador crítico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S7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S8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S9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S10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S11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S12</w:t>
            </w:r>
          </w:p>
        </w:tc>
        <w:tc>
          <w:tcPr>
            <w:tcW w:type="dxa" w:w="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5"/>
                <w:szCs w:val="15"/>
              </w:rPr>
              <w:t xml:space="preserve">DIR.</w:t>
            </w:r>
          </w:p>
        </w:tc>
      </w:tr>
      <w:tr>
        <w:tc>
          <w:tcPr>
            <w:tcW w:type="dxa" w:w="3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% de feedback negativo (↓ melhor)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14,1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13,2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12,5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11,8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10,5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9,2</w:t>
            </w:r>
          </w:p>
        </w:tc>
        <w:tc>
          <w:tcPr>
            <w:tcW w:type="dxa" w:w="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3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Perguntas por dia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210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245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268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298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320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342</w:t>
            </w:r>
          </w:p>
        </w:tc>
        <w:tc>
          <w:tcPr>
            <w:tcW w:type="dxa" w:w="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3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Participação no feedback % (↑ melhor)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58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59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60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61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62</w:t>
            </w:r>
          </w:p>
        </w:tc>
        <w:tc>
          <w:tcPr>
            <w:tcW w:type="dxa" w:w="8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6"/>
                <w:szCs w:val="16"/>
              </w:rPr>
              <w:t xml:space="preserve">64</w:t>
            </w:r>
          </w:p>
        </w:tc>
        <w:tc>
          <w:tcPr>
            <w:tcW w:type="dxa" w:w="5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a4a"/>
                <w:sz w:val="20"/>
                <w:szCs w:val="20"/>
              </w:rPr>
              <w:t xml:space="preserve">↑</w:t>
            </w:r>
          </w:p>
        </w:tc>
      </w:tr>
    </w:tbl>
    <w:p>
      <w:pPr>
        <w:spacing w:after="80" w:before="20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5b6472"/>
          <w:sz w:val="16"/>
          <w:szCs w:val="16"/>
        </w:rPr>
        <w:t xml:space="preserve">DESTAQUES E RISCOS DA SEMANA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1a8a4a"/>
          <w:sz w:val="18"/>
          <w:szCs w:val="18"/>
        </w:rPr>
        <w:t xml:space="preserve">▲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Feedback negativo no menor nível da série (9,2%) </w:t>
      </w:r>
      <w:r>
        <w:rPr>
          <w:rFonts w:ascii="Calibri" w:cs="Calibri" w:eastAsia="Calibri" w:hAnsi="Calibri"/>
          <w:b/>
          <w:bCs/>
          <w:i w:val="false"/>
          <w:iCs w:val="false"/>
          <w:color w:val="1a2230"/>
          <w:sz w:val="18"/>
          <w:szCs w:val="18"/>
        </w:rPr>
        <w:t xml:space="preserve">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 participação subindo para 64% — a melhoria é real, não queda de engajamento.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1a8a4a"/>
          <w:sz w:val="18"/>
          <w:szCs w:val="18"/>
        </w:rPr>
        <w:t xml:space="preserve">▲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Volume cresceu 15% (298→342 perguntas/dia); pico entre 10h e 11h.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1a8a4a"/>
          <w:sz w:val="18"/>
          <w:szCs w:val="18"/>
        </w:rPr>
        <w:t xml:space="preserve">▲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Disponibilidade de 99,7% e nenhum dos 4 alertas disparou na semana.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18"/>
          <w:szCs w:val="18"/>
        </w:rPr>
        <w:t xml:space="preserve">▼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3 documentos concentram 41% das citações — dependência alta de poucas fontes.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18"/>
          <w:szCs w:val="18"/>
        </w:rPr>
        <w:t xml:space="preserve">▼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Cluster recorrente "Política de Reembolso 2026" gerou 6 feedbacks negativos (documento desatualizado).</w:t>
      </w:r>
    </w:p>
    <w:p>
      <w:pPr>
        <w:spacing w:after="50" w:line="230"/>
      </w:pPr>
      <w:r>
        <w:rPr>
          <w:rFonts w:ascii="Calibri" w:cs="Calibri" w:eastAsia="Calibri" w:hAnsi="Calibri"/>
          <w:b/>
          <w:bCs/>
          <w:i w:val="false"/>
          <w:iCs w:val="false"/>
          <w:color w:val="c98a00"/>
          <w:sz w:val="18"/>
          <w:szCs w:val="18"/>
        </w:rPr>
        <w:t xml:space="preserve">■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230"/>
          <w:sz w:val="18"/>
          <w:szCs w:val="18"/>
        </w:rPr>
        <w:t xml:space="preserve">Fallback em 11% ainda acima da meta interna de 8%.</w:t>
      </w:r>
    </w:p>
    <w:p>
      <w:pPr>
        <w:spacing w:after="80" w:before="200" w:line="240"/>
      </w:pPr>
      <w:r>
        <w:rPr>
          <w:rFonts w:ascii="Calibri" w:cs="Calibri" w:eastAsia="Calibri" w:hAnsi="Calibri"/>
          <w:b/>
          <w:bCs/>
          <w:i w:val="false"/>
          <w:iCs w:val="false"/>
          <w:color w:val="5b6472"/>
          <w:sz w:val="16"/>
          <w:szCs w:val="16"/>
        </w:rPr>
        <w:t xml:space="preserve">AÇÕES PLANEJADAS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2200"/>
        <w:gridCol w:w="1300"/>
      </w:tblGrid>
      <w:tr>
        <w:trPr>
          <w:tblHeader/>
        </w:trPr>
        <w:tc>
          <w:tcPr>
            <w:tcW w:type="dxa" w:w="6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Responsável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a2af"/>
                <w:sz w:val="16"/>
                <w:szCs w:val="16"/>
              </w:rPr>
              <w:t xml:space="preserve">PRAZO</w:t>
            </w:r>
          </w:p>
        </w:tc>
      </w:tr>
      <w:tr>
        <w:tc>
          <w:tcPr>
            <w:tcW w:type="dxa" w:w="6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Reindexar "Política de Reembolso 2026" e revalidar as 6 perguntas do cluster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7"/>
                <w:szCs w:val="17"/>
              </w:rPr>
              <w:t xml:space="preserve">Product Specialist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7"/>
                <w:szCs w:val="17"/>
              </w:rPr>
              <w:t xml:space="preserve">16/jul</w:t>
            </w:r>
          </w:p>
        </w:tc>
      </w:tr>
      <w:tr>
        <w:tc>
          <w:tcPr>
            <w:tcW w:type="dxa" w:w="6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Ajustar chunking dos 2 documentos com maior taxa de citação inválida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7"/>
                <w:szCs w:val="17"/>
              </w:rPr>
              <w:t xml:space="preserve">Tech Lead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7"/>
                <w:szCs w:val="17"/>
              </w:rPr>
              <w:t xml:space="preserve">18/jul</w:t>
            </w:r>
          </w:p>
        </w:tc>
      </w:tr>
      <w:tr>
        <w:tc>
          <w:tcPr>
            <w:tcW w:type="dxa" w:w="6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Reduzir fallback: enriquecer índice com FAQ das perguntas sem resposta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7"/>
                <w:szCs w:val="17"/>
              </w:rPr>
              <w:t xml:space="preserve">Product Specialist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7"/>
                <w:szCs w:val="17"/>
              </w:rPr>
              <w:t xml:space="preserve">21/jul</w:t>
            </w:r>
          </w:p>
        </w:tc>
      </w:tr>
      <w:tr>
        <w:tc>
          <w:tcPr>
            <w:tcW w:type="dxa" w:w="6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230"/>
                <w:sz w:val="17"/>
                <w:szCs w:val="17"/>
              </w:rPr>
              <w:t xml:space="preserve">Expandir piloto de 12 para 20 atendentes</w:t>
            </w:r>
          </w:p>
        </w:tc>
        <w:tc>
          <w:tcPr>
            <w:tcW w:type="dxa" w:w="22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b6472"/>
                <w:sz w:val="17"/>
                <w:szCs w:val="17"/>
              </w:rPr>
              <w:t xml:space="preserve">Delivery Manager</w:t>
            </w:r>
          </w:p>
        </w:tc>
        <w:tc>
          <w:tcPr>
            <w:tcW w:type="dxa" w:w="13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60" w:before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230"/>
                <w:sz w:val="17"/>
                <w:szCs w:val="17"/>
              </w:rPr>
              <w:t xml:space="preserve">22/jul</w:t>
            </w:r>
          </w:p>
        </w:tc>
      </w:tr>
    </w:tbl>
    <w:p>
      <w:pPr>
        <w:spacing w:after="60" w:before="160" w:lin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aa2af"/>
          <w:sz w:val="14"/>
          <w:szCs w:val="14"/>
        </w:rPr>
        <w:t xml:space="preserve">Fonte: logs de interação, HITL e health check · Plano de Observabilidade (uso · qualidade · técnica · conteúdo) · Delivery Manager, NovaTech</w:t>
      </w:r>
    </w:p>
    <w:sectPr>
      <w:pgSz w:w="11906" w:h="16838" w:orient="portrait"/>
      <w:pgMar w:top="9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2026-07-13T03:37:01.406Z</dcterms:created>
  <dcterms:modified xsi:type="dcterms:W3CDTF">2026-07-13T03:37:01.407Z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