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9.png" ContentType="image/png"/>
  <Override PartName="/word/media/rId33.png" ContentType="image/png"/>
  <Override PartName="/word/media/rId3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74a0db3695c71f8cd75bdedf34a2db4b5ad568"/>
    <w:p>
      <w:pPr>
        <w:pStyle w:val="Heading1"/>
      </w:pPr>
      <w:r>
        <w:t xml:space="preserve">Detecting Common Road Users in Philippine Traffic: A Comparative YOLOv26 Study</w:t>
      </w:r>
    </w:p>
    <w:p>
      <w:pPr>
        <w:pStyle w:val="FirstParagraph"/>
      </w:pPr>
      <w:r>
        <w:t xml:space="preserve">Adviser: John Paul Q. Tomas</w:t>
      </w:r>
    </w:p>
    <w:bookmarkStart w:id="9" w:name="abstract"/>
    <w:p>
      <w:pPr>
        <w:pStyle w:val="Heading2"/>
      </w:pPr>
      <w:r>
        <w:t xml:space="preserve">Abstract</w:t>
      </w:r>
    </w:p>
    <w:p>
      <w:pPr>
        <w:pStyle w:val="FirstParagraph"/>
      </w:pPr>
      <w:r>
        <w:t xml:space="preserve">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 comparative validation study rather than a final deployment benchmark because multiple hyperparameters changed simultaneously and the held-out test split was not yet used for the final model selection.</w:t>
      </w:r>
    </w:p>
    <w:bookmarkEnd w:id="9"/>
    <w:bookmarkStart w:id="10" w:name="introduction"/>
    <w:p>
      <w:pPr>
        <w:pStyle w:val="Heading2"/>
      </w:pPr>
      <w:r>
        <w:t xml:space="preserve">Introduction</w:t>
      </w:r>
    </w:p>
    <w:p>
      <w:pPr>
        <w:pStyle w:val="FirstParagraph"/>
      </w:pPr>
      <w:r>
        <w:t xml:space="preserve">Road-user detection is a foundational computer-vision task because it supports scene understanding, surveillance, tracking, and intelligent transportation analysis [1,2]. In traffic environments, this task is especially challenging because road scenes are crowded, dynamic, and affected by occlusion, scale variation, illumination changes, and camera-related distortion [3-5]. The problem becomes more difficult when several road-user categories appear in the same frame and differ substantially in size, appearance, and frequency.</w:t>
      </w:r>
    </w:p>
    <w:p>
      <w:pPr>
        <w:pStyle w:val="BodyText"/>
      </w:pPr>
      <w:r>
        <w:t xml:space="preserve">The Philippine traffic context provides a meaningful setting for this problem. Urban scenes may contain bicycles, cars, jeepneys, pedestrians, sport utility vehicles, tricycles, and trucks within the same view. This heterogeneity increases detection difficulty and creates a useful benchmark for assessing how a detector performs across classes with different visual signatures and class frequencies. In practical terms, stronger detection of these road users may support later work in traffic monitoring, counting, surveillance, and safety-oriented analytics.</w:t>
      </w:r>
    </w:p>
    <w:p>
      <w:pPr>
        <w:pStyle w:val="BodyText"/>
      </w:pPr>
      <w:r>
        <w:t xml:space="preserve">Real-time object detectors are well suited to this domain because they perform localization and class prediction in a single pipeline [1]. The YOLO family remains one of the most widely used examples of this design approach, and prior studies show that YOLO-based methods remain relevant to traffic-oriented perception because of their balance between speed and accuracy [1,3]. More recent traffic-focused studies likewise show that urban and fish-eye traffic scenes remain difficult because of small objects, clutter,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pPr>
        <w:pStyle w:val="BodyText"/>
      </w:pPr>
      <w: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In this way, the paper provides an initial benchmark that can support later validation, refinement, and more deployment-oriented evaluation.</w:t>
      </w:r>
    </w:p>
    <w:bookmarkEnd w:id="10"/>
    <w:bookmarkStart w:id="27" w:name="methods"/>
    <w:p>
      <w:pPr>
        <w:pStyle w:val="Heading2"/>
      </w:pPr>
      <w:r>
        <w:t xml:space="preserve">Methods</w:t>
      </w:r>
    </w:p>
    <w:bookmarkStart w:id="11" w:name="experimental-environment"/>
    <w:p>
      <w:pPr>
        <w:pStyle w:val="Heading3"/>
      </w:pPr>
      <w:r>
        <w:t xml:space="preserve">Experimental Environment</w:t>
      </w:r>
    </w:p>
    <w:p>
      <w:pPr>
        <w:pStyle w:val="FirstParagraph"/>
      </w:pPr>
      <w:r>
        <w:t xml:space="preserve">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bookmarkEnd w:id="11"/>
    <w:bookmarkStart w:id="15" w:name="conceptual-framework"/>
    <w:p>
      <w:pPr>
        <w:pStyle w:val="Heading3"/>
      </w:pPr>
      <w:r>
        <w:t xml:space="preserve">Conceptual Framework</w:t>
      </w:r>
    </w:p>
    <w:p>
      <w:pPr>
        <w:pStyle w:val="FirstParagraph"/>
      </w:pPr>
      <w: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outputs to determine which tested configuration provided the strongest overall performance and where class-specific weaknesses remained.</w:t>
      </w:r>
    </w:p>
    <w:p>
      <w:pPr>
        <w:pStyle w:val="CaptionedFigure"/>
      </w:pPr>
      <w:r>
        <w:drawing>
          <wp:inline>
            <wp:extent cx="5334000" cy="5004929"/>
            <wp:effectExtent b="0" l="0" r="0" t="0"/>
            <wp:docPr descr="Conceptual framework diagram" title="" id="13" name="Picture"/>
            <a:graphic>
              <a:graphicData uri="http://schemas.openxmlformats.org/drawingml/2006/picture">
                <pic:pic>
                  <pic:nvPicPr>
                    <pic:cNvPr descr="deliverables/figures/conceptual-framework-v3.png" id="14" name="Picture"/>
                    <pic:cNvPicPr>
                      <a:picLocks noChangeArrowheads="1" noChangeAspect="1"/>
                    </pic:cNvPicPr>
                  </pic:nvPicPr>
                  <pic:blipFill>
                    <a:blip r:embed="rId12"/>
                    <a:stretch>
                      <a:fillRect/>
                    </a:stretch>
                  </pic:blipFill>
                  <pic:spPr bwMode="auto">
                    <a:xfrm>
                      <a:off x="0" y="0"/>
                      <a:ext cx="5334000" cy="5004929"/>
                    </a:xfrm>
                    <a:prstGeom prst="rect">
                      <a:avLst/>
                    </a:prstGeom>
                    <a:noFill/>
                    <a:ln w="9525">
                      <a:noFill/>
                      <a:headEnd/>
                      <a:tailEnd/>
                    </a:ln>
                  </pic:spPr>
                </pic:pic>
              </a:graphicData>
            </a:graphic>
          </wp:inline>
        </w:drawing>
      </w:r>
    </w:p>
    <w:p>
      <w:pPr>
        <w:pStyle w:val="ImageCaption"/>
      </w:pPr>
      <w:r>
        <w:t xml:space="preserve">Conceptual framework diagram</w:t>
      </w:r>
    </w:p>
    <w:p>
      <w:pPr>
        <w:pStyle w:val="BodyText"/>
      </w:pPr>
      <w:r>
        <w:t xml:space="preserve">Figure 1. Conceptual framework of the study, showing how Philippine traffic images were transformed into comparative model evidence and manuscript-level interpretation.</w:t>
      </w:r>
    </w:p>
    <w:bookmarkEnd w:id="15"/>
    <w:bookmarkStart w:id="19" w:name="dataset"/>
    <w:p>
      <w:pPr>
        <w:pStyle w:val="Heading3"/>
      </w:pPr>
      <w:r>
        <w:t xml:space="preserve">Dataset</w:t>
      </w:r>
    </w:p>
    <w:p>
      <w:pPr>
        <w:pStyle w:val="FirstParagraph"/>
      </w:pPr>
      <w:r>
        <w:t xml:space="preserve">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w:t>
      </w:r>
      <w:r>
        <w:t xml:space="preserve"> </w:t>
      </w:r>
      <w:r>
        <w:rPr>
          <w:rStyle w:val="VerbatimChar"/>
        </w:rPr>
        <w:t xml:space="preserve">Balanced</w:t>
      </w:r>
      <w:r>
        <w:t xml:space="preserve"> </w:t>
      </w:r>
      <w:r>
        <w:t xml:space="preserve">directory of the project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counts ranging from 539 to 1,581 and an imbalance ratio of 2.93, indicating that the balanced dataset improved but did not eliminate class frequency differences.</w:t>
      </w:r>
    </w:p>
    <w:p>
      <w:pPr>
        <w:pStyle w:val="CaptionedFigure"/>
      </w:pPr>
      <w:r>
        <w:drawing>
          <wp:inline>
            <wp:extent cx="5334000" cy="6096000"/>
            <wp:effectExtent b="0" l="0" r="0" t="0"/>
            <wp:docPr descr="Representative balanced dataset samples" title="" id="17" name="Picture"/>
            <a:graphic>
              <a:graphicData uri="http://schemas.openxmlformats.org/drawingml/2006/picture">
                <pic:pic>
                  <pic:nvPicPr>
                    <pic:cNvPr descr="deliverables/figures/dataset-samples-v4.png" id="18" name="Picture"/>
                    <pic:cNvPicPr>
                      <a:picLocks noChangeArrowheads="1" noChangeAspect="1"/>
                    </pic:cNvPicPr>
                  </pic:nvPicPr>
                  <pic:blipFill>
                    <a:blip r:embed="rId16"/>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r>
        <w:t xml:space="preserve">Representative balanced dataset samples</w:t>
      </w:r>
    </w:p>
    <w:p>
      <w:pPr>
        <w:pStyle w:val="BodyText"/>
      </w:pPr>
      <w:r>
        <w:t xml:space="preserve">Figure 3. Representative samples from the balanced dataset used in the experiment. The examples are video-derived frames from Philippine traffic scenes shown with YOLO-format annotations, illustrating the class diversity and real-scene conditions represented in the dataset.</w:t>
      </w:r>
    </w:p>
    <w:bookmarkEnd w:id="19"/>
    <w:bookmarkStart w:id="20" w:name="data-configuration"/>
    <w:p>
      <w:pPr>
        <w:pStyle w:val="Heading3"/>
      </w:pPr>
      <w:r>
        <w:t xml:space="preserve">Data Configuration</w:t>
      </w:r>
    </w:p>
    <w:p>
      <w:pPr>
        <w:pStyle w:val="FirstParagraph"/>
      </w:pPr>
      <w:r>
        <w:t xml:space="preserve">The dataset used a standard YOLO directory structure with</w:t>
      </w:r>
      <w:r>
        <w:t xml:space="preserve"> </w:t>
      </w:r>
      <w:r>
        <w:rPr>
          <w:rStyle w:val="VerbatimChar"/>
        </w:rPr>
        <w:t xml:space="preserve">train/images</w:t>
      </w:r>
      <w:r>
        <w:t xml:space="preserve">,</w:t>
      </w:r>
      <w:r>
        <w:t xml:space="preserve"> </w:t>
      </w:r>
      <w:r>
        <w:rPr>
          <w:rStyle w:val="VerbatimChar"/>
        </w:rPr>
        <w:t xml:space="preserve">valid/images</w:t>
      </w:r>
      <w:r>
        <w:t xml:space="preserve">, and</w:t>
      </w:r>
      <w:r>
        <w:t xml:space="preserve"> </w:t>
      </w:r>
      <w:r>
        <w:rPr>
          <w:rStyle w:val="VerbatimChar"/>
        </w:rPr>
        <w:t xml:space="preserve">test/images</w:t>
      </w:r>
      <w:r>
        <w:t xml:space="preserve"> </w:t>
      </w:r>
      <w:r>
        <w:t xml:space="preserve">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bookmarkEnd w:id="20"/>
    <w:bookmarkStart w:id="21" w:name="model-and-training-configurations"/>
    <w:p>
      <w:pPr>
        <w:pStyle w:val="Heading3"/>
      </w:pPr>
      <w:r>
        <w:t xml:space="preserve">Model And Training Configurations</w:t>
      </w:r>
    </w:p>
    <w:p>
      <w:pPr>
        <w:pStyle w:val="FirstParagraph"/>
      </w:pPr>
      <w:r>
        <w:t xml:space="preserve">All three runs used the</w:t>
      </w:r>
      <w:r>
        <w:t xml:space="preserve"> </w:t>
      </w:r>
      <w:r>
        <w:rPr>
          <w:rStyle w:val="VerbatimChar"/>
        </w:rPr>
        <w:t xml:space="preserve">yolo26n.pt</w:t>
      </w:r>
      <w:r>
        <w:t xml:space="preserve"> </w:t>
      </w:r>
      <w:r>
        <w:t xml:space="preserve">weights as the starting model. The input image size was fixed at 640 for all runs, but the optimizer, number of epochs, batch behavior, and initial learning rate varied across configurations.</w:t>
      </w:r>
    </w:p>
    <w:p>
      <w:pPr>
        <w:pStyle w:val="Compact"/>
        <w:numPr>
          <w:ilvl w:val="0"/>
          <w:numId w:val="1001"/>
        </w:numPr>
      </w:pPr>
      <w:r>
        <w:t xml:space="preserve">Model_A: 25 epochs, AdamW optimizer, batch size 4, learning rate 0.01</w:t>
      </w:r>
    </w:p>
    <w:p>
      <w:pPr>
        <w:pStyle w:val="Compact"/>
        <w:numPr>
          <w:ilvl w:val="0"/>
          <w:numId w:val="1001"/>
        </w:numPr>
      </w:pPr>
      <w:r>
        <w:t xml:space="preserve">Model_B: 30 epochs, SGD optimizer, batch size 20, learning rate 0.001</w:t>
      </w:r>
    </w:p>
    <w:p>
      <w:pPr>
        <w:pStyle w:val="Compact"/>
        <w:numPr>
          <w:ilvl w:val="0"/>
          <w:numId w:val="1001"/>
        </w:numPr>
      </w:pPr>
      <w:r>
        <w:t xml:space="preserve">Model_C: 40 epochs, automatic optimizer selection, automatic batch sizing, learning rate 0.0001</w:t>
      </w:r>
    </w:p>
    <w:p>
      <w:pPr>
        <w:pStyle w:val="FirstParagraph"/>
      </w:pPr>
      <w:r>
        <w:t xml:space="preserve">Each model was trained through the Ultralytics</w:t>
      </w:r>
      <w:r>
        <w:t xml:space="preserve"> </w:t>
      </w:r>
      <w:r>
        <w:rPr>
          <w:rStyle w:val="VerbatimChar"/>
        </w:rPr>
        <w:t xml:space="preserve">train</w:t>
      </w:r>
      <w:r>
        <w:t xml:space="preserve"> </w:t>
      </w:r>
      <w:r>
        <w:t xml:space="preserve">procedure with outputs stored under the shared</w:t>
      </w:r>
      <w:r>
        <w:t xml:space="preserve"> </w:t>
      </w:r>
      <w:r>
        <w:rPr>
          <w:rStyle w:val="VerbatimChar"/>
        </w:rPr>
        <w:t xml:space="preserve">detect</w:t>
      </w:r>
      <w:r>
        <w:t xml:space="preserve"> </w:t>
      </w:r>
      <w:r>
        <w:t xml:space="preserve">project directory. The notebook retained the default training plots and confusion matrices produced by the framework for later interpretation.</w:t>
      </w:r>
    </w:p>
    <w:bookmarkEnd w:id="21"/>
    <w:bookmarkStart w:id="25" w:name="study-workflow"/>
    <w:p>
      <w:pPr>
        <w:pStyle w:val="Heading3"/>
      </w:pPr>
      <w:r>
        <w:t xml:space="preserve">Study Workflow</w:t>
      </w:r>
    </w:p>
    <w:p>
      <w:pPr>
        <w:pStyle w:val="FirstParagraph"/>
      </w:pPr>
      <w:r>
        <w:t xml:space="preserve">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pPr>
        <w:pStyle w:val="CaptionedFigure"/>
      </w:pPr>
      <w:r>
        <w:drawing>
          <wp:inline>
            <wp:extent cx="5334000" cy="8426642"/>
            <wp:effectExtent b="0" l="0" r="0" t="0"/>
            <wp:docPr descr="Study workflow diagram" title="" id="23" name="Picture"/>
            <a:graphic>
              <a:graphicData uri="http://schemas.openxmlformats.org/drawingml/2006/picture">
                <pic:pic>
                  <pic:nvPicPr>
                    <pic:cNvPr descr="deliverables/figures/study-workflow-v3.png" id="24" name="Picture"/>
                    <pic:cNvPicPr>
                      <a:picLocks noChangeArrowheads="1" noChangeAspect="1"/>
                    </pic:cNvPicPr>
                  </pic:nvPicPr>
                  <pic:blipFill>
                    <a:blip r:embed="rId22"/>
                    <a:stretch>
                      <a:fillRect/>
                    </a:stretch>
                  </pic:blipFill>
                  <pic:spPr bwMode="auto">
                    <a:xfrm>
                      <a:off x="0" y="0"/>
                      <a:ext cx="5334000" cy="8426642"/>
                    </a:xfrm>
                    <a:prstGeom prst="rect">
                      <a:avLst/>
                    </a:prstGeom>
                    <a:noFill/>
                    <a:ln w="9525">
                      <a:noFill/>
                      <a:headEnd/>
                      <a:tailEnd/>
                    </a:ln>
                  </pic:spPr>
                </pic:pic>
              </a:graphicData>
            </a:graphic>
          </wp:inline>
        </w:drawing>
      </w:r>
    </w:p>
    <w:p>
      <w:pPr>
        <w:pStyle w:val="ImageCaption"/>
      </w:pPr>
      <w:r>
        <w:t xml:space="preserve">Study workflow diagram</w:t>
      </w:r>
    </w:p>
    <w:p>
      <w:pPr>
        <w:pStyle w:val="BodyText"/>
      </w:pPr>
      <w:r>
        <w:t xml:space="preserve">Figure 2. Study workflow used for the comparative YOLOv26 experiment, from dataset preparation through manuscript-ready evidence generation.</w:t>
      </w:r>
    </w:p>
    <w:bookmarkEnd w:id="25"/>
    <w:bookmarkStart w:id="26" w:name="evaluation-procedure"/>
    <w:p>
      <w:pPr>
        <w:pStyle w:val="Heading3"/>
      </w:pPr>
      <w:r>
        <w:t xml:space="preserve">Evaluation Procedure</w:t>
      </w:r>
    </w:p>
    <w:p>
      <w:pPr>
        <w:pStyle w:val="FirstParagraph"/>
      </w:pPr>
      <w:r>
        <w:t xml:space="preserve">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pPr>
        <w:pStyle w:val="BodyText"/>
      </w:pPr>
      <w:r>
        <w:t xml:space="preserve">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bookmarkEnd w:id="26"/>
    <w:bookmarkEnd w:id="27"/>
    <w:bookmarkStart w:id="41" w:name="results"/>
    <w:p>
      <w:pPr>
        <w:pStyle w:val="Heading2"/>
      </w:pPr>
      <w:r>
        <w:t xml:space="preserve">Results</w:t>
      </w:r>
    </w:p>
    <w:p>
      <w:pPr>
        <w:pStyle w:val="FirstParagraph"/>
      </w:pPr>
      <w:r>
        <w:t xml:space="preserve">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bookmarkStart w:id="28" w:name="X8b6d7ad7874acb76f99d2b3a4d3263431bdaaa0"/>
    <w:p>
      <w:pPr>
        <w:pStyle w:val="Heading3"/>
      </w:pPr>
      <w:r>
        <w:t xml:space="preserve">Table 1. Comparative Performance of YOLOv26 Model Configurations</w:t>
      </w:r>
    </w:p>
    <w:tbl>
      <w:tblPr>
        <w:tblStyle w:val="Table"/>
        <w:tblW w:type="pct" w:w="5000"/>
        <w:tblLayout w:type="fixed"/>
        <w:tblLook w:firstRow="1" w:lastRow="0" w:firstColumn="0" w:lastColumn="0" w:noHBand="0" w:noVBand="0" w:val="0020"/>
      </w:tblPr>
      <w:tblGrid>
        <w:gridCol w:w="698"/>
        <w:gridCol w:w="931"/>
        <w:gridCol w:w="698"/>
        <w:gridCol w:w="931"/>
        <w:gridCol w:w="931"/>
        <w:gridCol w:w="931"/>
        <w:gridCol w:w="931"/>
        <w:gridCol w:w="931"/>
        <w:gridCol w:w="931"/>
      </w:tblGrid>
      <w:tr>
        <w:trPr>
          <w:tblHeader w:val="on"/>
        </w:trPr>
        <w:tc>
          <w:tcPr/>
          <w:p>
            <w:pPr>
              <w:pStyle w:val="Compact"/>
            </w:pPr>
            <w:r>
              <w:t xml:space="preserve">Model</w:t>
            </w:r>
          </w:p>
        </w:tc>
        <w:tc>
          <w:tcPr/>
          <w:p>
            <w:pPr>
              <w:pStyle w:val="Compact"/>
              <w:jc w:val="right"/>
            </w:pPr>
            <w:r>
              <w:t xml:space="preserve">Epochs</w:t>
            </w:r>
          </w:p>
        </w:tc>
        <w:tc>
          <w:tcPr/>
          <w:p>
            <w:pPr>
              <w:pStyle w:val="Compact"/>
            </w:pPr>
            <w:r>
              <w:t xml:space="preserve">Optimizer</w:t>
            </w:r>
          </w:p>
        </w:tc>
        <w:tc>
          <w:tcPr/>
          <w:p>
            <w:pPr>
              <w:pStyle w:val="Compact"/>
              <w:jc w:val="right"/>
            </w:pPr>
            <w:r>
              <w:t xml:space="preserve">Batch Size</w:t>
            </w:r>
          </w:p>
        </w:tc>
        <w:tc>
          <w:tcPr/>
          <w:p>
            <w:pPr>
              <w:pStyle w:val="Compact"/>
              <w:jc w:val="right"/>
            </w:pPr>
            <w:r>
              <w:t xml:space="preserve">Learning Rate</w:t>
            </w:r>
          </w:p>
        </w:tc>
        <w:tc>
          <w:tcPr/>
          <w:p>
            <w:pPr>
              <w:pStyle w:val="Compact"/>
              <w:jc w:val="right"/>
            </w:pPr>
            <w:r>
              <w:t xml:space="preserve">mAP50</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r>
      <w:tr>
        <w:tc>
          <w:tcPr/>
          <w:p>
            <w:pPr>
              <w:pStyle w:val="Compact"/>
            </w:pPr>
            <w:r>
              <w:t xml:space="preserve">Model_A</w:t>
            </w:r>
          </w:p>
        </w:tc>
        <w:tc>
          <w:tcPr/>
          <w:p>
            <w:pPr>
              <w:pStyle w:val="Compact"/>
              <w:jc w:val="right"/>
            </w:pPr>
            <w:r>
              <w:t xml:space="preserve">25</w:t>
            </w:r>
          </w:p>
        </w:tc>
        <w:tc>
          <w:tcPr/>
          <w:p>
            <w:pPr>
              <w:pStyle w:val="Compact"/>
            </w:pPr>
            <w:r>
              <w:t xml:space="preserve">AdamW</w:t>
            </w:r>
          </w:p>
        </w:tc>
        <w:tc>
          <w:tcPr/>
          <w:p>
            <w:pPr>
              <w:pStyle w:val="Compact"/>
              <w:jc w:val="right"/>
            </w:pPr>
            <w:r>
              <w:t xml:space="preserve">4</w:t>
            </w:r>
          </w:p>
        </w:tc>
        <w:tc>
          <w:tcPr/>
          <w:p>
            <w:pPr>
              <w:pStyle w:val="Compact"/>
              <w:jc w:val="right"/>
            </w:pPr>
            <w:r>
              <w:t xml:space="preserve">0.01</w:t>
            </w:r>
          </w:p>
        </w:tc>
        <w:tc>
          <w:tcPr/>
          <w:p>
            <w:pPr>
              <w:pStyle w:val="Compact"/>
              <w:jc w:val="right"/>
            </w:pPr>
            <w:r>
              <w:t xml:space="preserve">0.6034</w:t>
            </w:r>
          </w:p>
        </w:tc>
        <w:tc>
          <w:tcPr/>
          <w:p>
            <w:pPr>
              <w:pStyle w:val="Compact"/>
              <w:jc w:val="right"/>
            </w:pPr>
            <w:r>
              <w:t xml:space="preserve">0.6682</w:t>
            </w:r>
          </w:p>
        </w:tc>
        <w:tc>
          <w:tcPr/>
          <w:p>
            <w:pPr>
              <w:pStyle w:val="Compact"/>
              <w:jc w:val="right"/>
            </w:pPr>
            <w:r>
              <w:t xml:space="preserve">0.5274</w:t>
            </w:r>
          </w:p>
        </w:tc>
        <w:tc>
          <w:tcPr/>
          <w:p>
            <w:pPr>
              <w:pStyle w:val="Compact"/>
              <w:jc w:val="right"/>
            </w:pPr>
            <w:r>
              <w:t xml:space="preserve">0.5895</w:t>
            </w:r>
          </w:p>
        </w:tc>
      </w:tr>
      <w:tr>
        <w:tc>
          <w:tcPr/>
          <w:p>
            <w:pPr>
              <w:pStyle w:val="Compact"/>
            </w:pPr>
            <w:r>
              <w:t xml:space="preserve">Model_B</w:t>
            </w:r>
          </w:p>
        </w:tc>
        <w:tc>
          <w:tcPr/>
          <w:p>
            <w:pPr>
              <w:pStyle w:val="Compact"/>
              <w:jc w:val="right"/>
            </w:pPr>
            <w:r>
              <w:t xml:space="preserve">30</w:t>
            </w:r>
          </w:p>
        </w:tc>
        <w:tc>
          <w:tcPr/>
          <w:p>
            <w:pPr>
              <w:pStyle w:val="Compact"/>
            </w:pPr>
            <w:r>
              <w:t xml:space="preserve">SGD</w:t>
            </w:r>
          </w:p>
        </w:tc>
        <w:tc>
          <w:tcPr/>
          <w:p>
            <w:pPr>
              <w:pStyle w:val="Compact"/>
              <w:jc w:val="right"/>
            </w:pPr>
            <w:r>
              <w:t xml:space="preserve">20</w:t>
            </w:r>
          </w:p>
        </w:tc>
        <w:tc>
          <w:tcPr/>
          <w:p>
            <w:pPr>
              <w:pStyle w:val="Compact"/>
              <w:jc w:val="right"/>
            </w:pPr>
            <w:r>
              <w:t xml:space="preserve">0.001</w:t>
            </w:r>
          </w:p>
        </w:tc>
        <w:tc>
          <w:tcPr/>
          <w:p>
            <w:pPr>
              <w:pStyle w:val="Compact"/>
              <w:jc w:val="right"/>
            </w:pPr>
            <w:r>
              <w:t xml:space="preserve">0.4858</w:t>
            </w:r>
          </w:p>
        </w:tc>
        <w:tc>
          <w:tcPr/>
          <w:p>
            <w:pPr>
              <w:pStyle w:val="Compact"/>
              <w:jc w:val="right"/>
            </w:pPr>
            <w:r>
              <w:t xml:space="preserve">0.5007</w:t>
            </w:r>
          </w:p>
        </w:tc>
        <w:tc>
          <w:tcPr/>
          <w:p>
            <w:pPr>
              <w:pStyle w:val="Compact"/>
              <w:jc w:val="right"/>
            </w:pPr>
            <w:r>
              <w:t xml:space="preserve">0.5029</w:t>
            </w:r>
          </w:p>
        </w:tc>
        <w:tc>
          <w:tcPr/>
          <w:p>
            <w:pPr>
              <w:pStyle w:val="Compact"/>
              <w:jc w:val="right"/>
            </w:pPr>
            <w:r>
              <w:t xml:space="preserve">0.5018</w:t>
            </w:r>
          </w:p>
        </w:tc>
      </w:tr>
      <w:tr>
        <w:tc>
          <w:tcPr/>
          <w:p>
            <w:pPr>
              <w:pStyle w:val="Compact"/>
            </w:pPr>
            <w:r>
              <w:t xml:space="preserve">Model_C</w:t>
            </w:r>
          </w:p>
        </w:tc>
        <w:tc>
          <w:tcPr/>
          <w:p>
            <w:pPr>
              <w:pStyle w:val="Compact"/>
              <w:jc w:val="right"/>
            </w:pPr>
            <w:r>
              <w:t xml:space="preserve">40</w:t>
            </w:r>
          </w:p>
        </w:tc>
        <w:tc>
          <w:tcPr/>
          <w:p>
            <w:pPr>
              <w:pStyle w:val="Compact"/>
            </w:pPr>
            <w:r>
              <w:t xml:space="preserve">auto</w:t>
            </w:r>
          </w:p>
        </w:tc>
        <w:tc>
          <w:tcPr/>
          <w:p>
            <w:pPr>
              <w:pStyle w:val="Compact"/>
              <w:jc w:val="right"/>
            </w:pPr>
            <w:r>
              <w:t xml:space="preserve">auto-batch</w:t>
            </w:r>
          </w:p>
        </w:tc>
        <w:tc>
          <w:tcPr/>
          <w:p>
            <w:pPr>
              <w:pStyle w:val="Compact"/>
              <w:jc w:val="right"/>
            </w:pPr>
            <w:r>
              <w:t xml:space="preserve">0.0001</w:t>
            </w:r>
          </w:p>
        </w:tc>
        <w:tc>
          <w:tcPr/>
          <w:p>
            <w:pPr>
              <w:pStyle w:val="Compact"/>
              <w:jc w:val="right"/>
            </w:pPr>
            <w:r>
              <w:t xml:space="preserve">0.6178</w:t>
            </w:r>
          </w:p>
        </w:tc>
        <w:tc>
          <w:tcPr/>
          <w:p>
            <w:pPr>
              <w:pStyle w:val="Compact"/>
              <w:jc w:val="right"/>
            </w:pPr>
            <w:r>
              <w:t xml:space="preserve">0.6500</w:t>
            </w:r>
          </w:p>
        </w:tc>
        <w:tc>
          <w:tcPr/>
          <w:p>
            <w:pPr>
              <w:pStyle w:val="Compact"/>
              <w:jc w:val="right"/>
            </w:pPr>
            <w:r>
              <w:t xml:space="preserve">0.5911</w:t>
            </w:r>
          </w:p>
        </w:tc>
        <w:tc>
          <w:tcPr/>
          <w:p>
            <w:pPr>
              <w:pStyle w:val="Compact"/>
              <w:jc w:val="right"/>
            </w:pPr>
            <w:r>
              <w:t xml:space="preserve">0.6192</w:t>
            </w:r>
          </w:p>
        </w:tc>
      </w:tr>
    </w:tbl>
    <w:p>
      <w:pPr>
        <w:pStyle w:val="BodyText"/>
      </w:pPr>
      <w:r>
        <w:t xml:space="preserve">Table 1 reports mAP50, precision, recall, and F1 score for the three tested YOLOv26 configurations.</w:t>
      </w:r>
    </w:p>
    <w:p>
      <w:pPr>
        <w:pStyle w:val="BodyText"/>
      </w:pPr>
      <w:r>
        <w:t xml:space="preserve">Model_C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pPr>
        <w:pStyle w:val="BodyText"/>
      </w:pPr>
      <w:r>
        <w:t xml:space="preserve">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performance levels.</w:t>
      </w:r>
    </w:p>
    <w:bookmarkEnd w:id="28"/>
    <w:bookmarkStart w:id="32" w:name="figure-4.-confusion-matrix"/>
    <w:p>
      <w:pPr>
        <w:pStyle w:val="Heading3"/>
      </w:pPr>
      <w:r>
        <w:t xml:space="preserve">Figure 4. Confusion Matrix</w:t>
      </w:r>
    </w:p>
    <w:p>
      <w:pPr>
        <w:pStyle w:val="CaptionedFigure"/>
      </w:pPr>
      <w:r>
        <w:drawing>
          <wp:inline>
            <wp:extent cx="5334000" cy="4000500"/>
            <wp:effectExtent b="0" l="0" r="0" t="0"/>
            <wp:docPr descr="Normalized confusion matrix for Model_C" title="" id="30" name="Picture"/>
            <a:graphic>
              <a:graphicData uri="http://schemas.openxmlformats.org/drawingml/2006/picture">
                <pic:pic>
                  <pic:nvPicPr>
                    <pic:cNvPr descr="deliverables/figures/model-c-confusion-matrix-normalized.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Normalized confusion matrix for Model_C</w:t>
      </w:r>
    </w:p>
    <w:p>
      <w:pPr>
        <w:pStyle w:val="BodyText"/>
      </w:pPr>
      <w:r>
        <w:t xml:space="preserve">Figure 4. Normalized confusion matrix for Model_C, the best-performing tested YOLOv26 configuration on the validation split. The matrix highlights stronger diagonal concentration for better-recognized classes and persistent off-diagonal errors for weaker categories.</w:t>
      </w:r>
    </w:p>
    <w:p>
      <w:pPr>
        <w:pStyle w:val="BodyText"/>
      </w:pPr>
      <w:r>
        <w:t xml:space="preserve">Figure 4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bookmarkEnd w:id="32"/>
    <w:bookmarkStart w:id="36" w:name="figure-5.-training-dynamics"/>
    <w:p>
      <w:pPr>
        <w:pStyle w:val="Heading3"/>
      </w:pPr>
      <w:r>
        <w:t xml:space="preserve">Figure 5. Training Dynamics</w:t>
      </w:r>
    </w:p>
    <w:p>
      <w:pPr>
        <w:pStyle w:val="CaptionedFigure"/>
      </w:pPr>
      <w:r>
        <w:drawing>
          <wp:inline>
            <wp:extent cx="5334000" cy="2667000"/>
            <wp:effectExtent b="0" l="0" r="0" t="0"/>
            <wp:docPr descr="Training dynamics for Model_C" title="" id="34" name="Picture"/>
            <a:graphic>
              <a:graphicData uri="http://schemas.openxmlformats.org/drawingml/2006/picture">
                <pic:pic>
                  <pic:nvPicPr>
                    <pic:cNvPr descr="deliverables/figures/model-c-training-dynamics.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Training dynamics for Model_C</w:t>
      </w:r>
    </w:p>
    <w:p>
      <w:pPr>
        <w:pStyle w:val="BodyText"/>
      </w:pPr>
      <w:r>
        <w:t xml:space="preserve">Figure 5. Training-dynamics curves for Model_C, summarizing loss and metric progression across epochs as generated by the Ultralytics training pipeline.</w:t>
      </w:r>
    </w:p>
    <w:p>
      <w:pPr>
        <w:pStyle w:val="BodyText"/>
      </w:pPr>
      <w:r>
        <w:t xml:space="preserve">Figure 5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bookmarkEnd w:id="36"/>
    <w:bookmarkStart w:id="40" w:name="figure-6.-results-synthesis-diagram"/>
    <w:p>
      <w:pPr>
        <w:pStyle w:val="Heading3"/>
      </w:pPr>
      <w:r>
        <w:t xml:space="preserve">Figure 6. Results-Synthesis Diagram</w:t>
      </w:r>
    </w:p>
    <w:p>
      <w:pPr>
        <w:pStyle w:val="CaptionedFigure"/>
      </w:pPr>
      <w:r>
        <w:drawing>
          <wp:inline>
            <wp:extent cx="5334000" cy="2279196"/>
            <wp:effectExtent b="0" l="0" r="0" t="0"/>
            <wp:docPr descr="Results synthesis diagram" title="" id="38" name="Picture"/>
            <a:graphic>
              <a:graphicData uri="http://schemas.openxmlformats.org/drawingml/2006/picture">
                <pic:pic>
                  <pic:nvPicPr>
                    <pic:cNvPr descr="deliverables/figures/results-synthesis-v3.png" id="39" name="Picture"/>
                    <pic:cNvPicPr>
                      <a:picLocks noChangeArrowheads="1" noChangeAspect="1"/>
                    </pic:cNvPicPr>
                  </pic:nvPicPr>
                  <pic:blipFill>
                    <a:blip r:embed="rId37"/>
                    <a:stretch>
                      <a:fillRect/>
                    </a:stretch>
                  </pic:blipFill>
                  <pic:spPr bwMode="auto">
                    <a:xfrm>
                      <a:off x="0" y="0"/>
                      <a:ext cx="5334000" cy="2279196"/>
                    </a:xfrm>
                    <a:prstGeom prst="rect">
                      <a:avLst/>
                    </a:prstGeom>
                    <a:noFill/>
                    <a:ln w="9525">
                      <a:noFill/>
                      <a:headEnd/>
                      <a:tailEnd/>
                    </a:ln>
                  </pic:spPr>
                </pic:pic>
              </a:graphicData>
            </a:graphic>
          </wp:inline>
        </w:drawing>
      </w:r>
    </w:p>
    <w:p>
      <w:pPr>
        <w:pStyle w:val="ImageCaption"/>
      </w:pPr>
      <w:r>
        <w:t xml:space="preserve">Results synthesis diagram</w:t>
      </w:r>
    </w:p>
    <w:p>
      <w:pPr>
        <w:pStyle w:val="BodyText"/>
      </w:pPr>
      <w:r>
        <w:t xml:space="preserve">Figure 6. Results-synthesis diagram showing how aggregate metrics, class-wise findings, and diagnostic figures contributed to the comparative conclusion of the study.</w:t>
      </w:r>
    </w:p>
    <w:p>
      <w:pPr>
        <w:pStyle w:val="BodyText"/>
      </w:pPr>
      <w:r>
        <w:t xml:space="preserve">Figure 6 synthesizes the main strands of evidence used in the comparison. Aggregate metrics, class-wise findings, the confusion matrix, and the training-dynamics curves all point to Model_C as the strongest tested configuration in the present validation-based experiment.</w:t>
      </w:r>
    </w:p>
    <w:bookmarkEnd w:id="40"/>
    <w:bookmarkEnd w:id="41"/>
    <w:bookmarkStart w:id="42" w:name="discussion"/>
    <w:p>
      <w:pPr>
        <w:pStyle w:val="Heading2"/>
      </w:pPr>
      <w:r>
        <w:t xml:space="preserve">Discussion</w:t>
      </w:r>
    </w:p>
    <w:p>
      <w:pPr>
        <w:pStyle w:val="FirstParagraph"/>
      </w:pPr>
      <w:r>
        <w:t xml:space="preserve">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pPr>
        <w:pStyle w:val="BodyText"/>
      </w:pPr>
      <w:r>
        <w:t xml:space="preserve">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supported a more favorable trade-off between missed detections and false positives on this dataset. Because these factors changed together, the paper should treat this as a configuration-level interpretation rather than a single-hyperparameter explanation.</w:t>
      </w:r>
    </w:p>
    <w:p>
      <w:pPr>
        <w:pStyle w:val="BodyText"/>
      </w:pPr>
      <w:r>
        <w:t xml:space="preserve">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isolate optimizer choice alone.</w:t>
      </w:r>
    </w:p>
    <w:p>
      <w:pPr>
        <w:pStyle w:val="BodyText"/>
      </w:pPr>
      <w:r>
        <w:t xml:space="preserve">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pPr>
        <w:pStyle w:val="BodyText"/>
      </w:pPr>
      <w: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pPr>
        <w:pStyle w:val="BodyText"/>
      </w:pPr>
      <w:r>
        <w:t xml:space="preserve">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not limited to a single summary value.</w:t>
      </w:r>
    </w:p>
    <w:p>
      <w:pPr>
        <w:pStyle w:val="BodyText"/>
      </w:pPr>
      <w:r>
        <w:t xml:space="preserve">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 as a deployment-ready solution. Future work should separate hyperparameter effects more cleanly, strengthen label-level and class-specific error analysis, and validate the selected configuration on a stricter final test protocol.</w:t>
      </w:r>
    </w:p>
    <w:bookmarkEnd w:id="42"/>
    <w:bookmarkStart w:id="43" w:name="references"/>
    <w:p>
      <w:pPr>
        <w:pStyle w:val="Heading2"/>
      </w:pPr>
      <w:r>
        <w:t xml:space="preserve">References</w:t>
      </w:r>
    </w:p>
    <w:p>
      <w:pPr>
        <w:numPr>
          <w:ilvl w:val="0"/>
          <w:numId w:val="1002"/>
        </w:numPr>
      </w:pPr>
      <w:r>
        <w:t xml:space="preserve">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pPr>
        <w:numPr>
          <w:ilvl w:val="0"/>
          <w:numId w:val="1002"/>
        </w:numPr>
      </w:pPr>
      <w:r>
        <w:t xml:space="preserve">Liu L, Ouyang W, Wang X, Fieguth P, Chen J, Liu X, Pietikainen M. Deep learning for generic object detection: A survey. Int J Comput Vis. 2020;128:261-318. Available from: https://doi.org/10.1007/s11263-019-01247-4</w:t>
      </w:r>
    </w:p>
    <w:p>
      <w:pPr>
        <w:numPr>
          <w:ilvl w:val="0"/>
          <w:numId w:val="1002"/>
        </w:numPr>
      </w:pPr>
      <w:r>
        <w:t xml:space="preserve">Wu D, Liao MW, Zhang WT, Wang XG, Bai X, Cheng WQ, Liu WY. YOLOP: You only look once for panoptic driving perception. Mach Intell Res. 2022;19:550-562. Available from: https://doi.org/10.1007/s11633-022-1339-y</w:t>
      </w:r>
    </w:p>
    <w:p>
      <w:pPr>
        <w:numPr>
          <w:ilvl w:val="0"/>
          <w:numId w:val="1002"/>
        </w:numPr>
      </w:pPr>
      <w:r>
        <w:t xml:space="preserve">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pPr>
        <w:numPr>
          <w:ilvl w:val="0"/>
          <w:numId w:val="1002"/>
        </w:numPr>
      </w:pPr>
      <w:r>
        <w:t xml:space="preserve">Soudeep S, Jahin MA, Mridha MF. Interpretable dynamic graph neural networks for small occluded object detection and tracking [Internet]. arXiv [cs.CV]. 2024 [cited 2026 Mar 17]. Available from: https://arxiv.org/abs/2411.17251</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2026-03-17T11:41:30Z</dcterms:created>
  <dcterms:modified xsi:type="dcterms:W3CDTF">2026-03-17T11:41:30Z</dcterms:modified>
</cp:coreProperties>
</file>

<file path=docProps/custom.xml><?xml version="1.0" encoding="utf-8"?>
<Properties xmlns="http://schemas.openxmlformats.org/officeDocument/2006/custom-properties" xmlns:vt="http://schemas.openxmlformats.org/officeDocument/2006/docPropsVTypes"/>
</file>