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t xml:space="preserve">Saurav Munikar (6-2-410-139-2021)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highly thankful to Mr. Niraj Khadka, Project Supervisor and Coordinator, for his kind guidance, valuable suggestions, and encouragement during the course of developing this project. His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3C7F3D16" w14:textId="77777777" w:rsidR="007753D0" w:rsidRPr="003560EB" w:rsidRDefault="00171D1E" w:rsidP="007753D0">
      <w:pPr>
        <w:spacing w:line="360" w:lineRule="auto"/>
        <w:rPr>
          <w:i/>
          <w:iCs/>
        </w:rPr>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78574649" w14:textId="77777777"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clean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clean minimalist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pPr>
        <w:jc w:val="center"/>
      </w:pPr>
      <w:r/>
      <w:r>
        <w:rPr>
          <w:rFonts w:ascii="Times New Roman" w:hAnsi="Times New Roman"/>
          <w:b w:val="0"/>
          <w:i/>
          <w:sz w:val="24"/>
        </w:rPr>
        <w:t>Score_POS = ((cos(\psi_AI) - cos(\psi_Human) + 1) / 2) * 100</w:t>
      </w:r>
    </w:p>
    <w:p>
      <w:r/>
      <w:r>
        <w:rPr>
          <w:rFonts w:ascii="Times New Roman" w:hAnsi="Times New Roman"/>
          <w:b w:val="0"/>
          <w:i w:val="0"/>
          <w:sz w:val="24"/>
        </w:rP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pPr>
        <w:pStyle w:val="Heading3"/>
      </w:pPr>
      <w:r/>
      <w:r>
        <w:rPr>
          <w:rFonts w:ascii="Times New Roman" w:hAnsi="Times New Roman"/>
          <w:b/>
          <w:i w:val="0"/>
          <w:sz w:val="24"/>
        </w:rPr>
        <w:t>3.3.6. POS Syntax Ratio Cosine Similarity</w:t>
      </w:r>
    </w:p>
    <w:p/>
    <w:p>
      <w:pPr>
        <w:jc w:val="center"/>
      </w:pPr>
      <w:r/>
      <w:r>
        <w:rPr>
          <w:rFonts w:ascii="Times New Roman" w:hAnsi="Times New Roman"/>
          <w:b w:val="0"/>
          <w:i/>
          <w:sz w:val="24"/>
        </w:rPr>
        <w:t>Score_Trigram = ((cos(\phi_AI) - cos(\phi_Human) + 1) / 2) * 100</w:t>
      </w:r>
    </w:p>
    <w:p>
      <w:r/>
      <w:r>
        <w:rPr>
          <w:rFonts w:ascii="Times New Roman" w:hAnsi="Times New Roman"/>
          <w:b w:val="0"/>
          <w:i w:val="0"/>
          <w:sz w:val="24"/>
        </w:rP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pPr>
        <w:pStyle w:val="Heading3"/>
      </w:pPr>
      <w:r/>
      <w:r>
        <w:rPr>
          <w:rFonts w:ascii="Times New Roman" w:hAnsi="Times New Roman"/>
          <w:b/>
          <w:i w:val="0"/>
          <w:sz w:val="24"/>
        </w:rPr>
        <w:t>3.3.5. Character Trigram Cosine Similarity</w:t>
      </w:r>
    </w:p>
    <w:p/>
    <w:p>
      <w:pPr>
        <w:jc w:val="center"/>
      </w:pPr>
      <w:r/>
      <w:r>
        <w:rPr>
          <w:rFonts w:ascii="Times New Roman" w:hAnsi="Times New Roman"/>
          <w:b w:val="0"/>
          <w:i/>
          <w:sz w:val="24"/>
        </w:rPr>
        <w:t>P_LR = 1 / (1 + e^-logit)</w:t>
      </w:r>
    </w:p>
    <w:p>
      <w:pPr>
        <w:jc w:val="center"/>
      </w:pPr>
      <w:r/>
      <w:r>
        <w:rPr>
          <w:rFonts w:ascii="Times New Roman" w:hAnsi="Times New Roman"/>
          <w:b w:val="0"/>
          <w:i/>
          <w:sz w:val="24"/>
        </w:rPr>
        <w:t>logit = -10.87000 + 6.79418 * f_1 - 0.17427 * f_2 + 0.58039 * f_3 + 5.29141 * f_4 + 2.93657 * f_5</w:t>
      </w:r>
    </w:p>
    <w:p>
      <w:r/>
      <w:r>
        <w:rPr>
          <w:rFonts w:ascii="Times New Roman" w:hAnsi="Times New Roman"/>
          <w:b w:val="0"/>
          <w:i w:val="0"/>
          <w:sz w:val="24"/>
        </w:rP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pPr>
        <w:pStyle w:val="Heading3"/>
      </w:pPr>
      <w:r/>
      <w:r>
        <w:rPr>
          <w:rFonts w:ascii="Times New Roman" w:hAnsi="Times New Roman"/>
          <w:b/>
          <w:i w:val="0"/>
          <w:sz w:val="24"/>
        </w:rPr>
        <w:t>3.3.4. Stylometric Logistic Regression Classifier</w:t>
      </w:r>
    </w:p>
    <w:p/>
    <w:p w14:paraId="0D427256" w14:textId="77777777" w:rsidR="00D3502F" w:rsidRDefault="00D3502F" w:rsidP="00D3502F">
      <w:pPr>
        <w:pStyle w:val="Heading3"/>
      </w:pPr>
      <w:r/>
      <w:r>
        <w:rPr>
          <w:rFonts w:ascii="Times New Roman" w:hAnsi="Times New Roman"/>
          <w:b/>
          <w:i w:val="0"/>
          <w:sz w:val="24"/>
        </w:rPr>
        <w:t>3.3.7. Heuristic Grammar &amp; Typography Analyzer</w:t>
      </w:r>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r/>
      <w:r>
        <w:rPr>
          <w:rFonts w:ascii="Times New Roman" w:hAnsi="Times New Roman"/>
          <w:b/>
          <w:i w:val="0"/>
          <w:sz w:val="24"/>
        </w:rPr>
        <w:t>3.3.8. Ensemble Scoring &amp; Grammar Calibration</w:t>
      </w:r>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Furthermore, a +15% perfect grammar boost is applied if the document contains 100% flawless syntax, effectively optimizing the detection of machine-generated texts.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t>Score &gt; 65%: AI-Generated (Terracotta Red Indicator).</w:t>
      </w:r>
    </w:p>
    <w:p w14:paraId="163ED695" w14:textId="77777777" w:rsidR="00A77C15" w:rsidRPr="00A77C15" w:rsidRDefault="00A77C15" w:rsidP="00250EAF">
      <w:pPr>
        <w:pStyle w:val="ListParagraph"/>
        <w:numPr>
          <w:ilvl w:val="0"/>
          <w:numId w:val="11"/>
        </w:numPr>
        <w:spacing w:after="0" w:line="360" w:lineRule="auto"/>
      </w:pPr>
      <w:r>
        <w:t>40% &lt; Score &lt;= 65%: Mixed Signature (Clay Ochre Indicator).</w:t>
      </w:r>
    </w:p>
    <w:p w14:paraId="03BAD545" w14:textId="77777777" w:rsidR="00A77C15" w:rsidRPr="00A77C15" w:rsidRDefault="00A77C15" w:rsidP="0097347C">
      <w:pPr>
        <w:pStyle w:val="ListParagraph"/>
        <w:numPr>
          <w:ilvl w:val="0"/>
          <w:numId w:val="13"/>
        </w:numPr>
        <w:spacing w:after="0" w:line="360" w:lineRule="auto"/>
      </w:pPr>
      <w:r>
        <w:t>Score &lt;= 40%: Human-Written (Sage Green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pPr/>
      <w:r>
        <w:t>Figure 4.14: Code Snippet of POS Syntax Ratio Module</w:t>
      </w:r>
    </w:p>
    <w:p>
      <w:pPr>
        <w:spacing w:before="120" w:after="120"/>
        <w:ind w:left="360"/>
      </w:pPr>
      <w:r>
        <w:rPr>
          <w:rFonts w:ascii="Courier New" w:hAnsi="Courier New"/>
          <w:sz w:val="19"/>
        </w:rPr>
        <w:t>class PosClassifier {</w:t>
        <w:br/>
        <w:t xml:space="preserve">    extractProfile(text) {</w:t>
        <w:br/>
        <w:t xml:space="preserve">        const words = text.toLowerCase().replace(/[^\w\s-]/g, '').split(/\s+/).filter(w =&gt; w.length &gt; 0);</w:t>
        <w:br/>
        <w:t xml:space="preserve">        const wordCount = words.length;</w:t>
        <w:br/>
        <w:t xml:space="preserve">        let det = 0, prep = 0, pron = 0, conj = 0, aux = 0;</w:t>
        <w:br/>
        <w:t xml:space="preserve">        words.forEach(w =&gt; {</w:t>
        <w:br/>
        <w:t xml:space="preserve">            if (this.determiners.has(w)) det++;</w:t>
        <w:br/>
        <w:t xml:space="preserve">            else if (this.prepositions.has(w)) prep++;</w:t>
        <w:br/>
        <w:t xml:space="preserve">            else if (this.pronouns.has(w)) pron++;</w:t>
        <w:br/>
        <w:t xml:space="preserve">            else if (this.conjunctions.has(w)) conj++;</w:t>
        <w:br/>
        <w:t xml:space="preserve">            else if (this.auxiliaries.has(w)) aux++;</w:t>
        <w:br/>
        <w:t xml:space="preserve">        });</w:t>
        <w:br/>
        <w:t xml:space="preserve">        return [det/wordCount, prep/wordCount, pron/wordCount, conj/wordCount, aux/wordCount];</w:t>
        <w:br/>
        <w:t xml:space="preserve">    }</w:t>
        <w:br/>
        <w:t>}</w:t>
      </w:r>
    </w:p>
    <w:p>
      <w:pPr>
        <w:pStyle w:val="Heading3"/>
      </w:pPr>
      <w:r>
        <w:t>4.1.2.9. POS Syntax Ratios Classifier Module</w:t>
      </w:r>
    </w:p>
    <w:p/>
    <w:p>
      <w:pPr/>
      <w:r>
        <w:t>Figure 4.13: Code Snippet of Character Trigram Module</w:t>
      </w:r>
    </w:p>
    <w:p>
      <w:pPr>
        <w:spacing w:before="120" w:after="120"/>
        <w:ind w:left="360"/>
      </w:pPr>
      <w:r>
        <w:rPr>
          <w:rFonts w:ascii="Courier New" w:hAnsi="Courier New"/>
          <w:sz w:val="19"/>
        </w:rPr>
        <w:t>class TrigramAnalyzer {</w:t>
        <w:br/>
        <w:t xml:space="preserve">    analyze(text) {</w:t>
        <w:br/>
        <w:t xml:space="preserve">        const cleanText = text.toLowerCase().replace(/\s+/g, ' ');</w:t>
        <w:br/>
        <w:t xml:space="preserve">        const counts = {};</w:t>
        <w:br/>
        <w:t xml:space="preserve">        this.trigrams.forEach(tg =&gt; counts[tg] = 0);</w:t>
        <w:br/>
        <w:t xml:space="preserve">        let total = 0;</w:t>
        <w:br/>
        <w:t xml:space="preserve">        for (let i = 0; i &lt; cleanText.length - 2; i++) {</w:t>
        <w:br/>
        <w:t xml:space="preserve">            const tg = cleanText.substring(i, i + 3);</w:t>
        <w:br/>
        <w:t xml:space="preserve">            if (counts.hasOwnProperty(tg)) counts[tg]++;</w:t>
        <w:br/>
        <w:t xml:space="preserve">            total++;</w:t>
        <w:br/>
        <w:t xml:space="preserve">        }</w:t>
        <w:br/>
        <w:t xml:space="preserve">        const docVector = this.trigrams.map(tg =&gt; (counts[tg] / total) * 10000);</w:t>
        <w:br/>
        <w:t xml:space="preserve">        const simAI = this.calculateCosine(docVector, this.aiProfileVec);</w:t>
        <w:br/>
        <w:t xml:space="preserve">        const simHuman = this.calculateCosine(docVector, this.humanProfileVec);</w:t>
        <w:br/>
        <w:t xml:space="preserve">        const diff = simAI - simHuman;</w:t>
        <w:br/>
        <w:t xml:space="preserve">        return { score: ((diff + 1) / 2) * 100 };</w:t>
        <w:br/>
        <w:t xml:space="preserve">    }</w:t>
        <w:br/>
        <w:t>}</w:t>
      </w:r>
    </w:p>
    <w:p>
      <w:pPr>
        <w:pStyle w:val="Heading3"/>
      </w:pPr>
      <w:r>
        <w:t>4.1.2.8. Character Trigrams Classifier Module</w:t>
      </w:r>
    </w:p>
    <w:p/>
    <w:p>
      <w:pPr/>
      <w:r>
        <w:t>Figure 4.12: Code Snippet of Logistic Regression Module</w:t>
      </w:r>
    </w:p>
    <w:p>
      <w:pPr>
        <w:spacing w:before="120" w:after="120"/>
        <w:ind w:left="360"/>
      </w:pPr>
      <w:r>
        <w:rPr>
          <w:rFonts w:ascii="Courier New" w:hAnsi="Courier New"/>
          <w:sz w:val="19"/>
        </w:rPr>
        <w:t>class LogisticRegressionClassifier {</w:t>
        <w:br/>
        <w:t xml:space="preserve">    constructor() {</w:t>
        <w:br/>
        <w:t xml:space="preserve">        this.intercept = -10.87000;</w:t>
        <w:br/>
        <w:t xml:space="preserve">        this.weights = [6.79418, -0.17427, 0.58039, 5.29141, 2.93657];</w:t>
        <w:br/>
        <w:t xml:space="preserve">    }</w:t>
        <w:br/>
        <w:t xml:space="preserve">    predict(vector) {</w:t>
        <w:br/>
        <w:t xml:space="preserve">        let logit = this.intercept;</w:t>
        <w:br/>
        <w:t xml:space="preserve">        for (let i = 0; i &lt; vector.length; i++) {</w:t>
        <w:br/>
        <w:t xml:space="preserve">            logit += vector[i] * this.weights[i];</w:t>
        <w:br/>
        <w:t xml:space="preserve">        }</w:t>
        <w:br/>
        <w:t xml:space="preserve">        return 1 / (1 + Math.exp(-logit));</w:t>
        <w:br/>
        <w:t xml:space="preserve">    }</w:t>
        <w:br/>
        <w:t>}</w:t>
      </w:r>
    </w:p>
    <w:p>
      <w:pPr>
        <w:pStyle w:val="Heading3"/>
      </w:pPr>
      <w:r>
        <w:t>4.1.2.7. Logistic Regression Classifier Module</w:t>
      </w:r>
    </w:p>
    <w:p/>
    <w:p w14:paraId="534EC87E" w14:textId="77777777" w:rsidR="0095437B" w:rsidRPr="003B47F9" w:rsidRDefault="004072AD" w:rsidP="003B47F9">
      <w:pPr>
        <w:pStyle w:val="Heading3"/>
      </w:pPr>
      <w:r>
        <w:t>4.1.2.10. ChartRenderer Gauge Module</w:t>
      </w:r>
    </w:p>
    <w:p w14:paraId="106E61F8" w14:textId="77777777"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t>Figure 4.7: Code Snippet of ChartRenderer Gauge Module</w:t>
      </w:r>
    </w:p>
    <w:p w14:paraId="13FFF149" w14:textId="77777777" w:rsidR="0048022A" w:rsidRDefault="00A46624" w:rsidP="00A46624">
      <w:pPr>
        <w:pStyle w:val="Heading3"/>
      </w:pPr>
      <w:r>
        <w:t>4.1.2.11. ChartRenderer Scatter Plot Module</w:t>
      </w:r>
    </w:p>
    <w:p w14:paraId="5CD82AA0" w14:textId="77777777"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t>Figure 4.8: Code Snippet of ChartRenderer Scatter Plot Module</w:t>
      </w:r>
    </w:p>
    <w:p w14:paraId="4A83C758" w14:textId="77777777" w:rsidR="00D65C48" w:rsidRDefault="005A7363" w:rsidP="00351EF6">
      <w:pPr>
        <w:pStyle w:val="Heading3"/>
      </w:pPr>
      <w:r>
        <w:t>4.1.2.12. ChartRenderer Radar Chart Module</w:t>
      </w:r>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t>Figure 4.9: Code Snippet of ChartRenderer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r>
        <w:t>4.1.2.13. app.js Analysis Controller Module</w:t>
      </w:r>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t>Figure 4.10: Code Snippet of app.js Analysis Controller Module</w:t>
      </w:r>
    </w:p>
    <w:p w14:paraId="1214EF87" w14:textId="77777777" w:rsidR="00664386" w:rsidRDefault="00EF532C" w:rsidP="00EF532C">
      <w:pPr>
        <w:pStyle w:val="Heading3"/>
      </w:pPr>
      <w:r>
        <w:t>4.1.2.14. app.js UI Event Listener Module</w:t>
      </w:r>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t>Figure 4.11: Code Snippet of app.js UI Event Listener Module</w:t>
      </w:r>
    </w:p>
    <w:p w14:paraId="5DFA5147" w14:textId="77777777" w:rsidR="00E420F6" w:rsidRDefault="00A0675C" w:rsidP="00A0675C">
      <w:pPr>
        <w:pStyle w:val="Heading3"/>
      </w:pPr>
      <w:r>
        <w:t>4.1.2.15. style.css Custom Visual Styles</w:t>
      </w:r>
    </w:p>
    <w:p w14:paraId="670D0C59" w14:textId="77777777" w:rsidR="00F92A70" w:rsidRDefault="00F92A70" w:rsidP="00F92A70">
      <w:pPr>
        <w:spacing w:line="360" w:lineRule="auto"/>
      </w:pPr>
      <w:r>
        <w:t>The CSS style sheets define the warm editorial color system, responsive grid layout, clean card borders,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r>
        <w:rPr>
          <w:rFonts w:ascii="Times New Roman" w:hAnsi="Times New Roman"/>
          <w:sz w:val="24"/>
        </w:rPr>
      </w:r>
    </w:p>
    <w:p>
      <w:r>
        <w:rPr>
          <w:rFonts w:ascii="Times New Roman" w:hAnsi="Times New Roman"/>
          <w:sz w:val="24"/>
        </w:rPr>
        <w:t>These vectors were successfully implemented in knn.js to ensure the classification boundaries represent modern, raw dataset signatures.</w:t>
      </w:r>
    </w:p>
    <w:p>
      <w:r>
        <w:rPr>
          <w:rFonts w:ascii="Times New Roman" w:hAnsi="Times New Roman"/>
          <w:sz w:val="22"/>
        </w:rPr>
        <w:t xml:space="preserve">   * Human Essay Centroid: [0.992, 0.154, 0.048, 0.571, 0.473]</w:t>
      </w:r>
    </w:p>
    <w:p>
      <w:r>
        <w:rPr>
          <w:rFonts w:ascii="Times New Roman" w:hAnsi="Times New Roman"/>
          <w:sz w:val="22"/>
        </w:rPr>
        <w:t xml:space="preserve">   * AI Essay Centroid: [1.0, 0.119, 0.06, 0.769, 0.757]</w:t>
      </w:r>
    </w:p>
    <w:p>
      <w:r>
        <w:rPr>
          <w:rFonts w:ascii="Times New Roman" w:hAnsi="Times New Roman"/>
          <w:sz w:val="24"/>
        </w:rPr>
        <w:t>3. Reference Vector Enrichment (Hugging Face): Streaming 100 samples from the public silentone0725/ai-human-text-detection-v1 dataset yielded the following optimized writing profile centroids:</w:t>
      </w:r>
    </w:p>
    <w:p>
      <w:r>
        <w:rPr>
          <w:rFonts w:ascii="Times New Roman" w:hAnsi="Times New Roman"/>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
        <w:rPr>
          <w:rFonts w:ascii="Times New Roman" w:hAnsi="Times New Roman"/>
          <w:sz w:val="24"/>
        </w:rP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
        <w:rPr>
          <w:rFonts w:ascii="Times New Roman" w:hAnsi="Times New Roman"/>
          <w:sz w:val="24"/>
        </w:rPr>
        <w:t>To establish and calibrate the detection boundaries, offline scripts were built utilizing Hugging Face datasets and the nlpaug data augmentation library.</w:t>
      </w:r>
    </w:p>
    <w:p>
      <w:r>
        <w:rPr>
          <w:rFonts w:ascii="Times New Roman" w:hAnsi="Times New Roman"/>
          <w:b/>
          <w:sz w:val="26"/>
        </w:rPr>
        <w:t>4.2.2 Dataset Training &amp; Evasion Robustness Testing</w:t>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14:paraId="5ECAE34F" w14:textId="77777777">
                <w:trPr>
                  <w:divId w:val="2047096115"/>
                  <w:tblCellSpacing w:w="15" w:type="dxa"/>
                </w:trPr>
                <w:tc>
                  <w:tcPr>
                    <w:tcW w:w="50" w:type="pct"/>
                    <w:hideMark/>
                  </w:tcPr>
                  <w:p w14:paraId="3BCA87AE" w14:textId="77777777" w:rsidR="00D836B7" w:rsidRDefault="00D836B7">
                    <w:pPr>
                      <w:pStyle w:val="Bibliography"/>
                      <w:rPr>
                        <w:noProof/>
                      </w:rPr>
                    </w:pPr>
                    <w:r>
                      <w:rPr>
                        <w:noProof/>
                      </w:rPr>
                      <w:t xml:space="preserve">[10] </w:t>
                    </w:r>
                  </w:p>
                </w:tc>
                <w:tc>
                  <w:tcPr>
                    <w:tcW w:w="0" w:type="auto"/>
                    <w:hideMark/>
                  </w:tcPr>
                  <w:p w14:paraId="63C384D2" w14:textId="77777777" w:rsidR="00D836B7" w:rsidRDefault="00D836B7">
                    <w:pPr>
                      <w:pStyle w:val="Bibliography"/>
                      <w:rPr>
                        <w:noProof/>
                      </w:rPr>
                    </w:pPr>
                    <w:r>
                      <w:rPr>
                        <w:noProof/>
                      </w:rPr>
                      <w:t>S. Gerami, "AI vs Human Text Dataset," Kaggle Datasets, 2023. [Online]. Available: https://www.kaggle.com/datasets/shanegerami/ai-vs-human-text.</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