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53E63"/>
          <w:sz w:val="32"/>
        </w:rPr>
        <w:t>IBM SkillsBuild</w:t>
      </w:r>
    </w:p>
    <w:p>
      <w:pPr>
        <w:jc w:val="center"/>
      </w:pPr>
      <w:r>
        <w:rPr>
          <w:b/>
          <w:sz w:val="22"/>
        </w:rPr>
        <w:t>CYBER SECURITY 2026  |  BHARATCARES</w:t>
      </w:r>
    </w:p>
    <w:p>
      <w:pPr>
        <w:spacing w:before="1400"/>
        <w:jc w:val="center"/>
      </w:pPr>
      <w:r>
        <w:rPr>
          <w:b/>
          <w:color w:val="125378"/>
          <w:sz w:val="68"/>
        </w:rPr>
        <w:t>PHISHSHIELD AI</w:t>
      </w:r>
    </w:p>
    <w:p>
      <w:pPr>
        <w:jc w:val="center"/>
      </w:pPr>
      <w:r>
        <w:rPr>
          <w:sz w:val="32"/>
        </w:rPr>
        <w:t>Phishing URL Detection Using Machine Learning</w:t>
      </w:r>
    </w:p>
    <w:p>
      <w:pPr>
        <w:spacing w:before="1700"/>
        <w:jc w:val="center"/>
      </w:pPr>
      <w:r>
        <w:rPr>
          <w:sz w:val="24"/>
        </w:rPr>
        <w:t>FINAL PROJECT REPORT</w:t>
        <w:br/>
      </w:r>
      <w:r>
        <w:rPr>
          <w:sz w:val="24"/>
        </w:rPr>
        <w:t>Submitted by: Brinda Kachchi</w:t>
        <w:br/>
      </w:r>
      <w:r>
        <w:rPr>
          <w:sz w:val="24"/>
        </w:rPr>
        <w:t>Submission: October 2026</w:t>
        <w:br/>
      </w:r>
      <w:r>
        <w:rPr>
          <w:sz w:val="24"/>
        </w:rPr>
        <w:t>Project domain: Defensive Cybersecurity &amp; Artificial Intelligence</w:t>
        <w:br/>
      </w:r>
    </w:p>
    <w:p>
      <w:pPr>
        <w:spacing w:before="1900"/>
        <w:jc w:val="center"/>
      </w:pPr>
      <w:r>
        <w:rPr>
          <w:color w:val="505F6E"/>
          <w:sz w:val="18"/>
        </w:rPr>
        <w:t>Notebook  •  Reproducible Dataset  •  Model Evaluation  •  Safe Offline Inference</w:t>
      </w:r>
    </w:p>
    <w:p>
      <w:r/>
    </w:p>
    <w:p>
      <w:pPr>
        <w:pStyle w:val="Heading1"/>
      </w:pPr>
      <w:r>
        <w:t>Executive Summary</w:t>
      </w:r>
    </w:p>
    <w:p>
      <w:r>
        <w:t>PhishShield AI is a Python-based educational system that evaluates phishing risk from URL text without visiting any destination. It loads a published labeled dataset, extracts 22 handcrafted URL features, compares two classification approaches, and produces reproducible evaluation metrics and visualizations. Its goal is to demonstrate ethical, defensive machine learning for cybersecurity awareness rather than provide a commercial URL security service.</w:t>
      </w:r>
    </w:p>
    <w:p>
      <w:pPr>
        <w:pStyle w:val="Heading1"/>
      </w:pPr>
      <w:r>
        <w:t>1. Introduction and Problem Statement</w:t>
      </w:r>
    </w:p>
    <w:p>
      <w:r>
        <w:t>Phishing is a social-engineering attack that often uses deceptive web addresses to entice users into disclosing information. Individuals may receive URLs through messages, emails, or social networks and need a way to study observable address-level warning signals. Manual inspection is unreliable because legitimate websites may also contain suspicious-looking patterns. This project investigates how machine learning can combine simple lexical characteristics to flag potentially risky URLs for further independent verification.</w:t>
      </w:r>
    </w:p>
    <w:p>
      <w:pPr>
        <w:pStyle w:val="Heading1"/>
      </w:pPr>
      <w:r>
        <w:t>2. Project Objectives</w:t>
      </w:r>
    </w:p>
    <w:p>
      <w:pPr>
        <w:pStyle w:val="ListBullet"/>
      </w:pPr>
      <w:r>
        <w:t>Obtain a properly cited dataset containing labeled phishing and legitimate URLs.</w:t>
      </w:r>
    </w:p>
    <w:p>
      <w:pPr>
        <w:pStyle w:val="ListBullet"/>
      </w:pPr>
      <w:r>
        <w:t>Implement URL-only feature extraction using standard Python parsing; avoid connecting to listed websites.</w:t>
      </w:r>
    </w:p>
    <w:p>
      <w:pPr>
        <w:pStyle w:val="ListBullet"/>
      </w:pPr>
      <w:r>
        <w:t>Clean conflicting labels and exact duplicate URLs to reduce misleading evaluation.</w:t>
      </w:r>
    </w:p>
    <w:p>
      <w:pPr>
        <w:pStyle w:val="ListBullet"/>
      </w:pPr>
      <w:r>
        <w:t>Split train/test sets by hostname and compare a linear and tree-based classifier.</w:t>
      </w:r>
    </w:p>
    <w:p>
      <w:pPr>
        <w:pStyle w:val="ListBullet"/>
      </w:pPr>
      <w:r>
        <w:t>Report accuracy, phishing precision, recall, F1, ROC-AUC, and a confusion matrix.</w:t>
      </w:r>
    </w:p>
    <w:p>
      <w:pPr>
        <w:pStyle w:val="ListBullet"/>
      </w:pPr>
      <w:r>
        <w:t>Provide repeatable setup instructions, safe examples, and transparent limitations.</w:t>
      </w:r>
    </w:p>
    <w:p>
      <w:pPr>
        <w:pStyle w:val="Heading1"/>
      </w:pPr>
      <w:r>
        <w:t>3. Dataset and Attribution</w:t>
      </w:r>
    </w:p>
    <w:tbl>
      <w:tblPr>
        <w:tblStyle w:val="LightShading-Accent1"/>
        <w:tblW w:type="auto" w:w="0"/>
        <w:jc w:val="center"/>
        <w:tblLook w:firstColumn="1" w:firstRow="1" w:lastColumn="0" w:lastRow="0" w:noHBand="0" w:noVBand="1" w:val="04A0"/>
      </w:tblPr>
      <w:tblGrid>
        <w:gridCol w:w="4896"/>
        <w:gridCol w:w="4896"/>
      </w:tblGrid>
      <w:tr>
        <w:trPr>
          <w:tblHeader w:val="true"/>
          <w:cantSplit/>
        </w:trPr>
        <w:tc>
          <w:tcPr>
            <w:tcW w:type="dxa" w:w="4896"/>
            <w:vAlign w:val="center"/>
          </w:tcPr>
          <w:p>
            <w:r>
              <w:t>Attribute</w:t>
            </w:r>
          </w:p>
        </w:tc>
        <w:tc>
          <w:tcPr>
            <w:tcW w:type="dxa" w:w="4896"/>
            <w:vAlign w:val="center"/>
          </w:tcPr>
          <w:p>
            <w:r>
              <w:t>Description</w:t>
            </w:r>
          </w:p>
        </w:tc>
      </w:tr>
      <w:tr>
        <w:trPr>
          <w:cantSplit/>
        </w:trPr>
        <w:tc>
          <w:tcPr>
            <w:tcW w:type="dxa" w:w="4896"/>
            <w:vAlign w:val="center"/>
          </w:tcPr>
          <w:p>
            <w:r>
              <w:t>Title</w:t>
            </w:r>
          </w:p>
        </w:tc>
        <w:tc>
          <w:tcPr>
            <w:tcW w:type="dxa" w:w="4896"/>
            <w:vAlign w:val="center"/>
          </w:tcPr>
          <w:p>
            <w:r>
              <w:t>PhiUSIIL Phishing URL (Website)</w:t>
            </w:r>
          </w:p>
        </w:tc>
      </w:tr>
      <w:tr>
        <w:trPr>
          <w:cantSplit/>
        </w:trPr>
        <w:tc>
          <w:tcPr>
            <w:tcW w:type="dxa" w:w="4896"/>
            <w:vAlign w:val="center"/>
          </w:tcPr>
          <w:p>
            <w:r>
              <w:t>Host</w:t>
            </w:r>
          </w:p>
        </w:tc>
        <w:tc>
          <w:tcPr>
            <w:tcW w:type="dxa" w:w="4896"/>
            <w:vAlign w:val="center"/>
          </w:tcPr>
          <w:p>
            <w:r>
              <w:t>UCI Machine Learning Repository, dataset ID 967</w:t>
            </w:r>
          </w:p>
        </w:tc>
      </w:tr>
      <w:tr>
        <w:trPr>
          <w:cantSplit/>
        </w:trPr>
        <w:tc>
          <w:tcPr>
            <w:tcW w:type="dxa" w:w="4896"/>
            <w:vAlign w:val="center"/>
          </w:tcPr>
          <w:p>
            <w:r>
              <w:t>Published dataset size</w:t>
            </w:r>
          </w:p>
        </w:tc>
        <w:tc>
          <w:tcPr>
            <w:tcW w:type="dxa" w:w="4896"/>
            <w:vAlign w:val="center"/>
          </w:tcPr>
          <w:p>
            <w:r>
              <w:t>235,795 URLs (134,850 legitimate; 100,945 phishing)</w:t>
            </w:r>
          </w:p>
        </w:tc>
      </w:tr>
      <w:tr>
        <w:trPr>
          <w:cantSplit/>
        </w:trPr>
        <w:tc>
          <w:tcPr>
            <w:tcW w:type="dxa" w:w="4896"/>
            <w:vAlign w:val="center"/>
          </w:tcPr>
          <w:p>
            <w:r>
              <w:t>Original label encoding</w:t>
            </w:r>
          </w:p>
        </w:tc>
        <w:tc>
          <w:tcPr>
            <w:tcW w:type="dxa" w:w="4896"/>
            <w:vAlign w:val="center"/>
          </w:tcPr>
          <w:p>
            <w:r>
              <w:t>1 = legitimate; 0 = phishing</w:t>
            </w:r>
          </w:p>
        </w:tc>
      </w:tr>
      <w:tr>
        <w:trPr>
          <w:cantSplit/>
        </w:trPr>
        <w:tc>
          <w:tcPr>
            <w:tcW w:type="dxa" w:w="4896"/>
            <w:vAlign w:val="center"/>
          </w:tcPr>
          <w:p>
            <w:r>
              <w:t>Project target encoding</w:t>
            </w:r>
          </w:p>
        </w:tc>
        <w:tc>
          <w:tcPr>
            <w:tcW w:type="dxa" w:w="4896"/>
            <w:vAlign w:val="center"/>
          </w:tcPr>
          <w:p>
            <w:r>
              <w:t>0 = legitimate; 1 = phishing</w:t>
            </w:r>
          </w:p>
        </w:tc>
      </w:tr>
      <w:tr>
        <w:trPr>
          <w:cantSplit/>
        </w:trPr>
        <w:tc>
          <w:tcPr>
            <w:tcW w:type="dxa" w:w="4896"/>
            <w:vAlign w:val="center"/>
          </w:tcPr>
          <w:p>
            <w:r>
              <w:t>Source</w:t>
            </w:r>
          </w:p>
        </w:tc>
        <w:tc>
          <w:tcPr>
            <w:tcW w:type="dxa" w:w="4896"/>
            <w:vAlign w:val="center"/>
          </w:tcPr>
          <w:p>
            <w:r>
              <w:t>https://archive.ics.uci.edu/dataset/967/phiusiil+phishing+url+dataset</w:t>
            </w:r>
          </w:p>
        </w:tc>
      </w:tr>
      <w:tr>
        <w:trPr>
          <w:cantSplit/>
        </w:trPr>
        <w:tc>
          <w:tcPr>
            <w:tcW w:type="dxa" w:w="4896"/>
            <w:vAlign w:val="center"/>
          </w:tcPr>
          <w:p>
            <w:r>
              <w:t>License</w:t>
            </w:r>
          </w:p>
        </w:tc>
        <w:tc>
          <w:tcPr>
            <w:tcW w:type="dxa" w:w="4896"/>
            <w:vAlign w:val="center"/>
          </w:tcPr>
          <w:p>
            <w:r>
              <w:t>Creative Commons Attribution 4.0 (CC BY 4.0)</w:t>
            </w:r>
          </w:p>
        </w:tc>
      </w:tr>
    </w:tbl>
    <w:p>
      <w:r>
        <w:t>The notebook uses the public dataset via the ucimlrepo Python package. The raw CSV is not included in the submission. Only the raw URL column and binary label are used; page-HTML features provided by the source dataset are intentionally excluded because the project does not visit websites at inference time.</w:t>
      </w:r>
    </w:p>
    <w:p>
      <w:pPr>
        <w:pStyle w:val="Heading1"/>
      </w:pPr>
      <w:r>
        <w:t>4. System Design and Workflow</w:t>
      </w:r>
    </w:p>
    <w:p>
      <w:r>
        <w:t>Input labeled URLs → cleaning and duplicate handling → lexical feature extraction → optional reproducible class-wise sampling → hostname-group holdout → model training → comparative evaluation → safe example predictions → local model export.</w:t>
      </w:r>
    </w:p>
    <w:p>
      <w:pPr>
        <w:pStyle w:val="Heading2"/>
      </w:pPr>
      <w:r>
        <w:t>4.1. Technical architecture</w:t>
      </w:r>
    </w:p>
    <w:tbl>
      <w:tblPr>
        <w:tblStyle w:val="LightShading-Accent1"/>
        <w:tblW w:type="auto" w:w="0"/>
        <w:jc w:val="center"/>
        <w:tblLook w:firstColumn="1" w:firstRow="1" w:lastColumn="0" w:lastRow="0" w:noHBand="0" w:noVBand="1" w:val="04A0"/>
      </w:tblPr>
      <w:tblGrid>
        <w:gridCol w:w="4896"/>
        <w:gridCol w:w="4896"/>
      </w:tblGrid>
      <w:tr>
        <w:trPr>
          <w:tblHeader w:val="true"/>
          <w:cantSplit/>
        </w:trPr>
        <w:tc>
          <w:tcPr>
            <w:tcW w:type="dxa" w:w="4896"/>
            <w:vAlign w:val="center"/>
          </w:tcPr>
          <w:p>
            <w:r>
              <w:t>Layer</w:t>
            </w:r>
          </w:p>
        </w:tc>
        <w:tc>
          <w:tcPr>
            <w:tcW w:type="dxa" w:w="4896"/>
            <w:vAlign w:val="center"/>
          </w:tcPr>
          <w:p>
            <w:r>
              <w:t>Technology / Purpose</w:t>
            </w:r>
          </w:p>
        </w:tc>
      </w:tr>
      <w:tr>
        <w:trPr>
          <w:cantSplit/>
        </w:trPr>
        <w:tc>
          <w:tcPr>
            <w:tcW w:type="dxa" w:w="4896"/>
            <w:vAlign w:val="center"/>
          </w:tcPr>
          <w:p>
            <w:r>
              <w:t>Input</w:t>
            </w:r>
          </w:p>
        </w:tc>
        <w:tc>
          <w:tcPr>
            <w:tcW w:type="dxa" w:w="4896"/>
            <w:vAlign w:val="center"/>
          </w:tcPr>
          <w:p>
            <w:r>
              <w:t>UCI PhiUSIIL data through ucimlrepo</w:t>
            </w:r>
          </w:p>
        </w:tc>
      </w:tr>
      <w:tr>
        <w:trPr>
          <w:cantSplit/>
        </w:trPr>
        <w:tc>
          <w:tcPr>
            <w:tcW w:type="dxa" w:w="4896"/>
            <w:vAlign w:val="center"/>
          </w:tcPr>
          <w:p>
            <w:r>
              <w:t>Language</w:t>
            </w:r>
          </w:p>
        </w:tc>
        <w:tc>
          <w:tcPr>
            <w:tcW w:type="dxa" w:w="4896"/>
            <w:vAlign w:val="center"/>
          </w:tcPr>
          <w:p>
            <w:r>
              <w:t>Python 3.10+ / Jupyter Notebook</w:t>
            </w:r>
          </w:p>
        </w:tc>
      </w:tr>
      <w:tr>
        <w:trPr>
          <w:cantSplit/>
        </w:trPr>
        <w:tc>
          <w:tcPr>
            <w:tcW w:type="dxa" w:w="4896"/>
            <w:vAlign w:val="center"/>
          </w:tcPr>
          <w:p>
            <w:r>
              <w:t>Data tools</w:t>
            </w:r>
          </w:p>
        </w:tc>
        <w:tc>
          <w:tcPr>
            <w:tcW w:type="dxa" w:w="4896"/>
            <w:vAlign w:val="center"/>
          </w:tcPr>
          <w:p>
            <w:r>
              <w:t>pandas, NumPy</w:t>
            </w:r>
          </w:p>
        </w:tc>
      </w:tr>
      <w:tr>
        <w:trPr>
          <w:cantSplit/>
        </w:trPr>
        <w:tc>
          <w:tcPr>
            <w:tcW w:type="dxa" w:w="4896"/>
            <w:vAlign w:val="center"/>
          </w:tcPr>
          <w:p>
            <w:r>
              <w:t>Modeling</w:t>
            </w:r>
          </w:p>
        </w:tc>
        <w:tc>
          <w:tcPr>
            <w:tcW w:type="dxa" w:w="4896"/>
            <w:vAlign w:val="center"/>
          </w:tcPr>
          <w:p>
            <w:r>
              <w:t>scikit-learn Logistic Regression and Random Forest</w:t>
            </w:r>
          </w:p>
        </w:tc>
      </w:tr>
      <w:tr>
        <w:trPr>
          <w:cantSplit/>
        </w:trPr>
        <w:tc>
          <w:tcPr>
            <w:tcW w:type="dxa" w:w="4896"/>
            <w:vAlign w:val="center"/>
          </w:tcPr>
          <w:p>
            <w:r>
              <w:t>Evaluation</w:t>
            </w:r>
          </w:p>
        </w:tc>
        <w:tc>
          <w:tcPr>
            <w:tcW w:type="dxa" w:w="4896"/>
            <w:vAlign w:val="center"/>
          </w:tcPr>
          <w:p>
            <w:r>
              <w:t>scikit-learn classification metrics and matplotlib</w:t>
            </w:r>
          </w:p>
        </w:tc>
      </w:tr>
      <w:tr>
        <w:trPr>
          <w:cantSplit/>
        </w:trPr>
        <w:tc>
          <w:tcPr>
            <w:tcW w:type="dxa" w:w="4896"/>
            <w:vAlign w:val="center"/>
          </w:tcPr>
          <w:p>
            <w:r>
              <w:t>Model persistence</w:t>
            </w:r>
          </w:p>
        </w:tc>
        <w:tc>
          <w:tcPr>
            <w:tcW w:type="dxa" w:w="4896"/>
            <w:vAlign w:val="center"/>
          </w:tcPr>
          <w:p>
            <w:r>
              <w:t>joblib; local artifact after execution</w:t>
            </w:r>
          </w:p>
        </w:tc>
      </w:tr>
      <w:tr>
        <w:trPr>
          <w:cantSplit/>
        </w:trPr>
        <w:tc>
          <w:tcPr>
            <w:tcW w:type="dxa" w:w="4896"/>
            <w:vAlign w:val="center"/>
          </w:tcPr>
          <w:p>
            <w:r>
              <w:t>Safety boundary</w:t>
            </w:r>
          </w:p>
        </w:tc>
        <w:tc>
          <w:tcPr>
            <w:tcW w:type="dxa" w:w="4896"/>
            <w:vAlign w:val="center"/>
          </w:tcPr>
          <w:p>
            <w:r>
              <w:t>urllib.parse and Python ipaddress; no external website requests</w:t>
            </w:r>
          </w:p>
        </w:tc>
      </w:tr>
    </w:tbl>
    <w:p>
      <w:pPr>
        <w:pStyle w:val="Heading2"/>
      </w:pPr>
      <w:r>
        <w:t>4.2. Feature engineering</w:t>
      </w:r>
    </w:p>
    <w:p>
      <w:r>
        <w:t>The model creates 22 numeric features from each input URL: character/hostname/path/query lengths; counts of digits, dots, hyphens, underscores, at-signs, percent signs, slashes, equals signs and question marks; digit ratio; subdomain count; number of query parameters; HTTPS scheme flag; IP-literal hostname flag; explicit port flag; punycode flag; suspicious-token count; and Shannon entropy of the hostname. All URL strings are parsed locally.</w:t>
      </w:r>
    </w:p>
    <w:p>
      <w:pPr>
        <w:pStyle w:val="Heading2"/>
      </w:pPr>
      <w:r>
        <w:t>4.3. Data split and leakage prevention</w:t>
      </w:r>
    </w:p>
    <w:p>
      <w:r>
        <w:t>Identical URL strings are deduplicated and URLs with inconsistent source labels are excluded. The notebook uses GroupShuffleSplit with the hostname as its group key to prevent any exact hostname from appearing in both training and testing. With a fixed random seed of 42, about one quarter of groups are held out. Sampling is capped at 10,000 examples per class by default for laptop usability; the limit can be disabled. This split is more conservative than random URL assignment, but it is not a complete time- or campaign-based generalization test.</w:t>
      </w:r>
    </w:p>
    <w:p>
      <w:pPr>
        <w:pStyle w:val="Heading1"/>
      </w:pPr>
      <w:r>
        <w:t>5. Implementation and Algorithms</w:t>
      </w:r>
    </w:p>
    <w:p>
      <w:pPr>
        <w:pStyle w:val="Heading2"/>
      </w:pPr>
      <w:r>
        <w:t>5.1. Logistic Regression baseline</w:t>
      </w:r>
    </w:p>
    <w:p>
      <w:r>
        <w:t>A StandardScaler plus LogisticRegression pipeline serves as a reproducible baseline. Class-balanced weights reduce sensitivity to unequal class frequencies. Logistic Regression models a weighted combination of URL attributes and produces probabilities for the positive phishing class.</w:t>
      </w:r>
    </w:p>
    <w:p>
      <w:pPr>
        <w:pStyle w:val="Heading2"/>
      </w:pPr>
      <w:r>
        <w:t>5.2. Random Forest classifier</w:t>
      </w:r>
    </w:p>
    <w:p>
      <w:r>
        <w:t>A RandomForestClassifier with 120 estimators, min_samples_leaf=2, and balanced_subsample class weights captures nonlinear feature interactions. The notebook displays impurity-based feature importances for descriptive insight; these are neither causal explanations nor proof of malicious activity.</w:t>
      </w:r>
    </w:p>
    <w:p>
      <w:pPr>
        <w:pStyle w:val="Heading2"/>
      </w:pPr>
      <w:r>
        <w:t>5.3. Model selection and safe inference</w:t>
      </w:r>
    </w:p>
    <w:p>
      <w:r>
        <w:t>Both models are evaluated on the same held-out hostname-group data. The model with the higher phishing-class F1 score is used for example predictions and local export. Example domains use harmless reserved names, and the prediction function extracts text features without resolving, fetching, or opening submitted URLs. A score above 0.5 is reported as a model estimate of phishing, not a definitive verdict.</w:t>
      </w:r>
    </w:p>
    <w:p>
      <w:pPr>
        <w:pStyle w:val="Heading1"/>
      </w:pPr>
      <w:r>
        <w:t>6. Experimental Procedure</w:t>
      </w:r>
    </w:p>
    <w:p>
      <w:pPr>
        <w:pStyle w:val="ListBullet"/>
      </w:pPr>
      <w:r>
        <w:t>Install the exact project dependencies listed in requirements.txt.</w:t>
      </w:r>
    </w:p>
    <w:p>
      <w:pPr>
        <w:pStyle w:val="ListBullet"/>
      </w:pPr>
      <w:r>
        <w:t>Open Brinda_Kachchi_PhishShieldAI_Project.ipynb using Jupyter Notebook.</w:t>
      </w:r>
    </w:p>
    <w:p>
      <w:pPr>
        <w:pStyle w:val="ListBullet"/>
      </w:pPr>
      <w:r>
        <w:t>Run all cells in the supplied order; an internet connection is needed to fetch UCI data.</w:t>
      </w:r>
    </w:p>
    <w:p>
      <w:pPr>
        <w:pStyle w:val="ListBullet"/>
      </w:pPr>
      <w:r>
        <w:t>Read the dataset audit for class balance and removed conflicting duplicates.</w:t>
      </w:r>
    </w:p>
    <w:p>
      <w:pPr>
        <w:pStyle w:val="ListBullet"/>
      </w:pPr>
      <w:r>
        <w:t>Check the displayed hostname-group train/test counts and class distributions.</w:t>
      </w:r>
    </w:p>
    <w:p>
      <w:pPr>
        <w:pStyle w:val="ListBullet"/>
      </w:pPr>
      <w:r>
        <w:t>Review Logistic Regression and Random Forest comparison metrics.</w:t>
      </w:r>
    </w:p>
    <w:p>
      <w:pPr>
        <w:pStyle w:val="ListBullet"/>
      </w:pPr>
      <w:r>
        <w:t>Inspect confusion matrix, importance plot, and safe example predictions.</w:t>
      </w:r>
    </w:p>
    <w:p>
      <w:pPr>
        <w:pStyle w:val="ListBullet"/>
      </w:pPr>
      <w:r>
        <w:t>Optionally review the generated local phishshield_model.joblib artifact.</w:t>
      </w:r>
    </w:p>
    <w:p>
      <w:pPr>
        <w:pStyle w:val="Heading2"/>
      </w:pPr>
      <w:r>
        <w:t>6.1. Evaluation measures</w:t>
      </w:r>
    </w:p>
    <w:tbl>
      <w:tblPr>
        <w:tblStyle w:val="LightShading-Accent1"/>
        <w:tblW w:type="auto" w:w="0"/>
        <w:jc w:val="center"/>
        <w:tblLook w:firstColumn="1" w:firstRow="1" w:lastColumn="0" w:lastRow="0" w:noHBand="0" w:noVBand="1" w:val="04A0"/>
      </w:tblPr>
      <w:tblGrid>
        <w:gridCol w:w="4896"/>
        <w:gridCol w:w="4896"/>
      </w:tblGrid>
      <w:tr>
        <w:trPr>
          <w:tblHeader w:val="true"/>
          <w:cantSplit/>
        </w:trPr>
        <w:tc>
          <w:tcPr>
            <w:tcW w:type="dxa" w:w="4896"/>
            <w:vAlign w:val="center"/>
          </w:tcPr>
          <w:p>
            <w:r>
              <w:t>Metric</w:t>
            </w:r>
          </w:p>
        </w:tc>
        <w:tc>
          <w:tcPr>
            <w:tcW w:type="dxa" w:w="4896"/>
            <w:vAlign w:val="center"/>
          </w:tcPr>
          <w:p>
            <w:r>
              <w:t>Interpretation</w:t>
            </w:r>
          </w:p>
        </w:tc>
      </w:tr>
      <w:tr>
        <w:trPr>
          <w:cantSplit/>
        </w:trPr>
        <w:tc>
          <w:tcPr>
            <w:tcW w:type="dxa" w:w="4896"/>
            <w:vAlign w:val="center"/>
          </w:tcPr>
          <w:p>
            <w:r>
              <w:t>Accuracy</w:t>
            </w:r>
          </w:p>
        </w:tc>
        <w:tc>
          <w:tcPr>
            <w:tcW w:type="dxa" w:w="4896"/>
            <w:vAlign w:val="center"/>
          </w:tcPr>
          <w:p>
            <w:r>
              <w:t>Fraction of all test URLs correctly classified</w:t>
            </w:r>
          </w:p>
        </w:tc>
      </w:tr>
      <w:tr>
        <w:trPr>
          <w:cantSplit/>
        </w:trPr>
        <w:tc>
          <w:tcPr>
            <w:tcW w:type="dxa" w:w="4896"/>
            <w:vAlign w:val="center"/>
          </w:tcPr>
          <w:p>
            <w:r>
              <w:t>Phishing precision</w:t>
            </w:r>
          </w:p>
        </w:tc>
        <w:tc>
          <w:tcPr>
            <w:tcW w:type="dxa" w:w="4896"/>
            <w:vAlign w:val="center"/>
          </w:tcPr>
          <w:p>
            <w:r>
              <w:t>Of URLs flagged as phishing, fraction truly labeled phishing</w:t>
            </w:r>
          </w:p>
        </w:tc>
      </w:tr>
      <w:tr>
        <w:trPr>
          <w:cantSplit/>
        </w:trPr>
        <w:tc>
          <w:tcPr>
            <w:tcW w:type="dxa" w:w="4896"/>
            <w:vAlign w:val="center"/>
          </w:tcPr>
          <w:p>
            <w:r>
              <w:t>Phishing recall</w:t>
            </w:r>
          </w:p>
        </w:tc>
        <w:tc>
          <w:tcPr>
            <w:tcW w:type="dxa" w:w="4896"/>
            <w:vAlign w:val="center"/>
          </w:tcPr>
          <w:p>
            <w:r>
              <w:t>Of labeled phishing URLs, fraction detected</w:t>
            </w:r>
          </w:p>
        </w:tc>
      </w:tr>
      <w:tr>
        <w:trPr>
          <w:cantSplit/>
        </w:trPr>
        <w:tc>
          <w:tcPr>
            <w:tcW w:type="dxa" w:w="4896"/>
            <w:vAlign w:val="center"/>
          </w:tcPr>
          <w:p>
            <w:r>
              <w:t>Phishing F1</w:t>
            </w:r>
          </w:p>
        </w:tc>
        <w:tc>
          <w:tcPr>
            <w:tcW w:type="dxa" w:w="4896"/>
            <w:vAlign w:val="center"/>
          </w:tcPr>
          <w:p>
            <w:r>
              <w:t>Harmonic mean of phishing precision and recall</w:t>
            </w:r>
          </w:p>
        </w:tc>
      </w:tr>
      <w:tr>
        <w:trPr>
          <w:cantSplit/>
        </w:trPr>
        <w:tc>
          <w:tcPr>
            <w:tcW w:type="dxa" w:w="4896"/>
            <w:vAlign w:val="center"/>
          </w:tcPr>
          <w:p>
            <w:r>
              <w:t>ROC-AUC</w:t>
            </w:r>
          </w:p>
        </w:tc>
        <w:tc>
          <w:tcPr>
            <w:tcW w:type="dxa" w:w="4896"/>
            <w:vAlign w:val="center"/>
          </w:tcPr>
          <w:p>
            <w:r>
              <w:t>Ranking quality across decision thresholds</w:t>
            </w:r>
          </w:p>
        </w:tc>
      </w:tr>
      <w:tr>
        <w:trPr>
          <w:cantSplit/>
        </w:trPr>
        <w:tc>
          <w:tcPr>
            <w:tcW w:type="dxa" w:w="4896"/>
            <w:vAlign w:val="center"/>
          </w:tcPr>
          <w:p>
            <w:r>
              <w:t>Confusion matrix</w:t>
            </w:r>
          </w:p>
        </w:tc>
        <w:tc>
          <w:tcPr>
            <w:tcW w:type="dxa" w:w="4896"/>
            <w:vAlign w:val="center"/>
          </w:tcPr>
          <w:p>
            <w:r>
              <w:t>Counts of true/false positives and true/false negatives</w:t>
            </w:r>
          </w:p>
        </w:tc>
      </w:tr>
    </w:tbl>
    <w:p>
      <w:pPr>
        <w:pStyle w:val="Heading2"/>
      </w:pPr>
      <w:r>
        <w:t>6.2. Results reporting</w:t>
      </w:r>
    </w:p>
    <w:p>
      <w:r>
        <w:t>The code generates actual metrics when executed on the downloaded dataset. The notebook has not been presented with invented accuracy or F1 values. In the environment used to package these files, access to the external dataset was unavailable, so no genuine full-dataset training result is claimed in this report. After running the notebook, record the displayed results in the table below and attach screenshots if the evaluator requests them.</w:t>
      </w:r>
    </w:p>
    <w:tbl>
      <w:tblPr>
        <w:tblStyle w:val="LightShading-Accent1"/>
        <w:tblW w:type="auto" w:w="0"/>
        <w:jc w:val="center"/>
        <w:tblLook w:firstColumn="1" w:firstRow="1" w:lastColumn="0" w:lastRow="0" w:noHBand="0" w:noVBand="1" w:val="04A0"/>
      </w:tblPr>
      <w:tblGrid>
        <w:gridCol w:w="3264"/>
        <w:gridCol w:w="3264"/>
        <w:gridCol w:w="3264"/>
      </w:tblGrid>
      <w:tr>
        <w:trPr>
          <w:tblHeader w:val="true"/>
          <w:cantSplit/>
        </w:trPr>
        <w:tc>
          <w:tcPr>
            <w:tcW w:type="dxa" w:w="3264"/>
            <w:vAlign w:val="center"/>
          </w:tcPr>
          <w:p>
            <w:r>
              <w:t>Metric</w:t>
            </w:r>
          </w:p>
        </w:tc>
        <w:tc>
          <w:tcPr>
            <w:tcW w:type="dxa" w:w="3264"/>
            <w:vAlign w:val="center"/>
          </w:tcPr>
          <w:p>
            <w:r>
              <w:t>Logistic Regression</w:t>
            </w:r>
          </w:p>
        </w:tc>
        <w:tc>
          <w:tcPr>
            <w:tcW w:type="dxa" w:w="3264"/>
            <w:vAlign w:val="center"/>
          </w:tcPr>
          <w:p>
            <w:r>
              <w:t>Random Forest</w:t>
            </w:r>
          </w:p>
        </w:tc>
      </w:tr>
      <w:tr>
        <w:trPr>
          <w:cantSplit/>
        </w:trPr>
        <w:tc>
          <w:tcPr>
            <w:tcW w:type="dxa" w:w="3264"/>
            <w:vAlign w:val="center"/>
          </w:tcPr>
          <w:p>
            <w:r>
              <w:t>Accuracy</w:t>
            </w:r>
          </w:p>
        </w:tc>
        <w:tc>
          <w:tcPr>
            <w:tcW w:type="dxa" w:w="3264"/>
            <w:vAlign w:val="center"/>
          </w:tcPr>
          <w:p>
            <w:r>
              <w:t>Generated by notebook</w:t>
            </w:r>
          </w:p>
        </w:tc>
        <w:tc>
          <w:tcPr>
            <w:tcW w:type="dxa" w:w="3264"/>
            <w:vAlign w:val="center"/>
          </w:tcPr>
          <w:p>
            <w:r>
              <w:t>Generated by notebook</w:t>
            </w:r>
          </w:p>
        </w:tc>
      </w:tr>
      <w:tr>
        <w:trPr>
          <w:cantSplit/>
        </w:trPr>
        <w:tc>
          <w:tcPr>
            <w:tcW w:type="dxa" w:w="3264"/>
            <w:vAlign w:val="center"/>
          </w:tcPr>
          <w:p>
            <w:r>
              <w:t>Phishing precision</w:t>
            </w:r>
          </w:p>
        </w:tc>
        <w:tc>
          <w:tcPr>
            <w:tcW w:type="dxa" w:w="3264"/>
            <w:vAlign w:val="center"/>
          </w:tcPr>
          <w:p>
            <w:r>
              <w:t>Generated by notebook</w:t>
            </w:r>
          </w:p>
        </w:tc>
        <w:tc>
          <w:tcPr>
            <w:tcW w:type="dxa" w:w="3264"/>
            <w:vAlign w:val="center"/>
          </w:tcPr>
          <w:p>
            <w:r>
              <w:t>Generated by notebook</w:t>
            </w:r>
          </w:p>
        </w:tc>
      </w:tr>
      <w:tr>
        <w:trPr>
          <w:cantSplit/>
        </w:trPr>
        <w:tc>
          <w:tcPr>
            <w:tcW w:type="dxa" w:w="3264"/>
            <w:vAlign w:val="center"/>
          </w:tcPr>
          <w:p>
            <w:r>
              <w:t>Phishing recall</w:t>
            </w:r>
          </w:p>
        </w:tc>
        <w:tc>
          <w:tcPr>
            <w:tcW w:type="dxa" w:w="3264"/>
            <w:vAlign w:val="center"/>
          </w:tcPr>
          <w:p>
            <w:r>
              <w:t>Generated by notebook</w:t>
            </w:r>
          </w:p>
        </w:tc>
        <w:tc>
          <w:tcPr>
            <w:tcW w:type="dxa" w:w="3264"/>
            <w:vAlign w:val="center"/>
          </w:tcPr>
          <w:p>
            <w:r>
              <w:t>Generated by notebook</w:t>
            </w:r>
          </w:p>
        </w:tc>
      </w:tr>
      <w:tr>
        <w:trPr>
          <w:cantSplit/>
        </w:trPr>
        <w:tc>
          <w:tcPr>
            <w:tcW w:type="dxa" w:w="3264"/>
            <w:vAlign w:val="center"/>
          </w:tcPr>
          <w:p>
            <w:r>
              <w:t>Phishing F1</w:t>
            </w:r>
          </w:p>
        </w:tc>
        <w:tc>
          <w:tcPr>
            <w:tcW w:type="dxa" w:w="3264"/>
            <w:vAlign w:val="center"/>
          </w:tcPr>
          <w:p>
            <w:r>
              <w:t>Generated by notebook</w:t>
            </w:r>
          </w:p>
        </w:tc>
        <w:tc>
          <w:tcPr>
            <w:tcW w:type="dxa" w:w="3264"/>
            <w:vAlign w:val="center"/>
          </w:tcPr>
          <w:p>
            <w:r>
              <w:t>Generated by notebook</w:t>
            </w:r>
          </w:p>
        </w:tc>
      </w:tr>
      <w:tr>
        <w:trPr>
          <w:cantSplit/>
        </w:trPr>
        <w:tc>
          <w:tcPr>
            <w:tcW w:type="dxa" w:w="3264"/>
            <w:vAlign w:val="center"/>
          </w:tcPr>
          <w:p>
            <w:r>
              <w:t>ROC-AUC</w:t>
            </w:r>
          </w:p>
        </w:tc>
        <w:tc>
          <w:tcPr>
            <w:tcW w:type="dxa" w:w="3264"/>
            <w:vAlign w:val="center"/>
          </w:tcPr>
          <w:p>
            <w:r>
              <w:t>Generated by notebook</w:t>
            </w:r>
          </w:p>
        </w:tc>
        <w:tc>
          <w:tcPr>
            <w:tcW w:type="dxa" w:w="3264"/>
            <w:vAlign w:val="center"/>
          </w:tcPr>
          <w:p>
            <w:r>
              <w:t>Generated by notebook</w:t>
            </w:r>
          </w:p>
        </w:tc>
      </w:tr>
    </w:tbl>
    <w:p>
      <w:pPr>
        <w:pStyle w:val="Heading1"/>
      </w:pPr>
      <w:r>
        <w:t>7. Testing and Verification</w:t>
      </w:r>
    </w:p>
    <w:p>
      <w:r>
        <w:t>The notebook includes a deterministic URL feature-extraction self-check for an example.invalid string, verifies that its numerical features are finite, checks sample query parameter counting, asserts that both train and test contain both classes, and asserts that no hostname is shared between train and test. These integrity checks detect several common implementation errors but do not prove performance against real-world phishing attacks.</w:t>
      </w:r>
    </w:p>
    <w:p>
      <w:pPr>
        <w:pStyle w:val="Heading1"/>
      </w:pPr>
      <w:r>
        <w:t>8. Applications, Constraints, and Ethical Considerations</w:t>
      </w:r>
    </w:p>
    <w:p>
      <w:pPr>
        <w:pStyle w:val="ListBullet"/>
      </w:pPr>
      <w:r>
        <w:t>Applications: awareness demonstrations, educational classification experiments, and URL-risk triage research.</w:t>
      </w:r>
    </w:p>
    <w:p>
      <w:pPr>
        <w:pStyle w:val="ListBullet"/>
      </w:pPr>
      <w:r>
        <w:t>Limitations: linguistic and time drift; false positives and false negatives; limited URL-only visibility; potentially misleading learned probabilities.</w:t>
      </w:r>
    </w:p>
    <w:p>
      <w:pPr>
        <w:pStyle w:val="ListBullet"/>
      </w:pPr>
      <w:r>
        <w:t>Risk warning: HTTPS can be present on phishing pages, while legitimate pages can contain terms such as login or verify.</w:t>
      </w:r>
    </w:p>
    <w:p>
      <w:pPr>
        <w:pStyle w:val="ListBullet"/>
      </w:pPr>
      <w:r>
        <w:t>No network scanning, credential collection, exploitation, scraping, or automated visiting of suspicious domains occurs.</w:t>
      </w:r>
    </w:p>
    <w:p>
      <w:pPr>
        <w:pStyle w:val="ListBullet"/>
      </w:pPr>
      <w:r>
        <w:t>Never open an unfamiliar URL just because the program predicts it as legitimate; verify its source through independent trusted channels.</w:t>
      </w:r>
    </w:p>
    <w:p>
      <w:pPr>
        <w:pStyle w:val="Heading1"/>
      </w:pPr>
      <w:r>
        <w:t>9. Conclusion and Future Scope</w:t>
      </w:r>
    </w:p>
    <w:p>
      <w:r>
        <w:t>PhishShield AI provides a structured proof of concept for defensive phishing URL classification. It emphasizes dataset provenance, duplicate control, cautious train/test separation, explainable URL-only engineering and reproducible evaluation. Next steps could include an independent newer dataset, time-aware validation, confidence calibration, stronger domain grouping, model drift monitoring and privacy-preserving deployment behind explicit safety messaging.</w:t>
      </w:r>
    </w:p>
    <w:p>
      <w:pPr>
        <w:pStyle w:val="Heading1"/>
      </w:pPr>
      <w:r>
        <w:t>10. References</w:t>
      </w:r>
    </w:p>
    <w:p>
      <w:r>
        <w:t>[1] Prasad, A., &amp; Chandra, S. (2024). PhiUSIIL Phishing URL (Website). UCI Machine Learning Repository. https://archive.ics.uci.edu/dataset/967/phiusiil+phishing+url+dataset</w:t>
      </w:r>
    </w:p>
    <w:p>
      <w:r>
        <w:t>[2] Prasad, A., &amp; Chandra, S. PhiUSIIL: A diverse security profile empowered phishing URL detection framework based on similarity index and incremental learning. Computers &amp; Security. https://doi.org/10.1016/j.cose.2023.103545</w:t>
      </w:r>
    </w:p>
    <w:p>
      <w:r>
        <w:t>[3] scikit-learn User Guide. https://scikit-learn.org/stable/user_guide.html</w:t>
      </w:r>
    </w:p>
    <w:p>
      <w:r>
        <w:t>[4] Python documentation: urllib.parse. https://docs.python.org/3/library/urllib.parse.html</w:t>
      </w:r>
    </w:p>
    <w:sectPr w:rsidR="00FC693F" w:rsidRPr="0006063C" w:rsidSect="00034616">
      <w:headerReference w:type="default" r:id="rId9"/>
      <w:footerReference w:type="default" r:id="rId10"/>
      <w:pgSz w:w="12240" w:h="15840"/>
      <w:pgMar w:top="1037" w:right="1224" w:bottom="95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Final Project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PHISHSHIELD AI    •    IBM SkillsBuild Cyber Security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E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E6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E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PhishShield AI - Phishing URL Detection Using Machine Learning</dc:title>
  <dc:subject>IBM SkillsBuild Cyber Security 2026 | BharatCares Final Project</dc:subject>
  <dc:creator>Brinda Kachchi</dc:creator>
  <cp:keywords/>
  <dc:description>generated by python-docx</dc:description>
  <cp:lastModifiedBy>Brinda Kachchi</cp:lastModifiedBy>
  <cp:revision>1</cp:revision>
  <dcterms:created xsi:type="dcterms:W3CDTF">2013-12-23T23:15:00Z</dcterms:created>
  <dcterms:modified xsi:type="dcterms:W3CDTF">2013-12-23T23:15:00Z</dcterms:modified>
  <cp:category/>
</cp:coreProperties>
</file>