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0"/>
          <w:szCs w:val="20"/>
        </w:rPr>
        <w:t xml:space="preserve"/>
      </w:r>
    </w:p>
    <w:p>
      <w:pPr>
        <w:spacing w:after="240" w:before="0"/>
        <w:jc w:val="center"/>
      </w:pPr>
      <w:r>
        <w:rPr>
          <w:rFonts w:ascii="Times New Roman" w:cs="Times New Roman" w:eastAsia="Times New Roman" w:hAnsi="Times New Roman"/>
          <w:b/>
          <w:bCs/>
          <w:sz w:val="44"/>
          <w:szCs w:val="44"/>
        </w:rPr>
        <w:t xml:space="preserve">Immunological Principles in Supply Chain Management: A Survey of Artificial Immune Systems, Graph Neural Networks, Multi-Agent Reinforcement Learning, and Digital Twin Frameworks</w:t>
      </w:r>
    </w:p>
    <w:p>
      <w:r>
        <w:rPr>
          <w:rFonts w:ascii="Times New Roman" w:cs="Times New Roman" w:eastAsia="Times New Roman" w:hAnsi="Times New Roman"/>
          <w:sz w:val="20"/>
          <w:szCs w:val="20"/>
        </w:rPr>
        <w:t xml:space="preserve"/>
      </w:r>
    </w:p>
    <w:p>
      <w:pPr>
        <w:spacing w:after="60" w:before="0"/>
        <w:jc w:val="center"/>
      </w:pPr>
      <w:r>
        <w:rPr>
          <w:rFonts w:ascii="Times New Roman" w:cs="Times New Roman" w:eastAsia="Times New Roman" w:hAnsi="Times New Roman"/>
          <w:sz w:val="22"/>
          <w:szCs w:val="22"/>
        </w:rPr>
        <w:t xml:space="preserve">Archit S. (PES1UG23AM062)    Sidharth R. (PES1UG23CS574)    Anirudh M. (PES1UG23AM054)    Yash R. (PES1UG23AM063)</w:t>
      </w:r>
    </w:p>
    <w:p>
      <w:pPr>
        <w:spacing w:after="60" w:before="0"/>
        <w:jc w:val="center"/>
      </w:pPr>
      <w:r>
        <w:rPr>
          <w:rFonts w:ascii="Times New Roman" w:cs="Times New Roman" w:eastAsia="Times New Roman" w:hAnsi="Times New Roman"/>
          <w:i/>
          <w:iCs/>
          <w:sz w:val="18"/>
          <w:szCs w:val="18"/>
        </w:rPr>
        <w:t xml:space="preserve">Department of Computer Science and Engineering, PES University, Bangalore, India</w:t>
      </w:r>
    </w:p>
    <w:p>
      <w:pPr>
        <w:spacing w:after="60" w:before="0"/>
        <w:jc w:val="center"/>
      </w:pPr>
      <w:r>
        <w:rPr>
          <w:rFonts w:ascii="Times New Roman" w:cs="Times New Roman" w:eastAsia="Times New Roman" w:hAnsi="Times New Roman"/>
          <w:i/>
          <w:iCs/>
          <w:sz w:val="18"/>
          <w:szCs w:val="18"/>
        </w:rPr>
        <w:t xml:space="preserve">{pes1ug23am062, pes1ug23cs574, pes1ug23am054, pes1ug23am063}@pesu.pes.edu</w:t>
      </w:r>
    </w:p>
    <w:p>
      <w:r>
        <w:rPr>
          <w:rFonts w:ascii="Times New Roman" w:cs="Times New Roman" w:eastAsia="Times New Roman" w:hAnsi="Times New Roman"/>
          <w:sz w:val="20"/>
          <w:szCs w:val="20"/>
        </w:rPr>
        <w:t xml:space="preserve"/>
      </w:r>
    </w:p>
    <w:p>
      <w:pPr>
        <w:pBdr>
          <w:bottom w:val="single" w:color="000000" w:sz="6" w:space="1"/>
        </w:pBdr>
        <w:spacing w:after="100" w:before="100"/>
      </w:pPr>
      <w:r>
        <w:rPr>
          <w:rFonts w:ascii="Times New Roman" w:cs="Times New Roman" w:eastAsia="Times New Roman" w:hAnsi="Times New Roman"/>
          <w:sz w:val="4"/>
          <w:szCs w:val="4"/>
        </w:rPr>
        <w:t xml:space="preserve"/>
      </w:r>
    </w:p>
    <w:p>
      <w:pPr>
        <w:spacing w:after="60" w:before="12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—Global supply chains have emerged as critically complex adaptive systems whose vulnerability to disruption was starkly exposed during the COVID-19 pandemic, the 2021 Suez Canal blockage, and recurring geopolitical shocks. This survey examines how principles drawn from the vertebrate immune system can be systematically applied to supply chain management (SCM) to achieve adaptive resilience, early anomaly detection, and self-healing recovery. We conduct a structured review of 38 papers spanning five thematic areas: (1) Artificial Immune Systems (AIS) and their cross-domain validation in cybersecurity and network intrusion detection; (2) Graph Neural Networks (GNN) for supply chain topology modeling, anomaly detection, and link prediction; (3) Multi-Agent Reinforcement Learning (MARL) for distributed SCM decision-making and inventory coordination; (4) Digital Twin (DT) frameworks for supply chain simulation and resilience; and (5) integrated GNN-MARL hybrid approaches. Through comparative analysis we identify six critical research gaps that current literature fails to bridge. We further propose a 14-stage Immunological SCM Pipeline architecture that directly maps biological immune mechanisms—negative selection, clonal selection, danger theory, and immunological memory—to computational components including multi-signal anomaly detection, GCN autoencoders, PPO routing agents, LSTM stress forecasting, and FAISS-based memory retrieval. This survey contributes a unified taxonomic framework, a coverage comparison of 38 papers, identification of six open challenges, and a concrete roadmap for the nascent field of immunological supply chain management.</w:t>
      </w:r>
    </w:p>
    <w:p>
      <w:pPr>
        <w:spacing w:after="120" w:before="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—artificial immune systems, supply chain management, graph neural networks, multi-agent reinforcement learning, digital twin, anomaly detection, negative selection algorithm, PPO, GCN autoencoder, supply chain resilience</w:t>
      </w:r>
    </w:p>
    <w:p>
      <w:pPr>
        <w:pBdr>
          <w:bottom w:val="single" w:color="000000" w:sz="6" w:space="1"/>
        </w:pBdr>
        <w:spacing w:after="100" w:before="100"/>
      </w:pPr>
      <w:r>
        <w:rPr>
          <w:rFonts w:ascii="Times New Roman" w:cs="Times New Roman" w:eastAsia="Times New Roman" w:hAnsi="Times New Roman"/>
          <w:sz w:val="4"/>
          <w:szCs w:val="4"/>
        </w:rPr>
        <w:t xml:space="preserve"/>
      </w:r>
    </w:p>
    <w:p>
      <w:r>
        <w:rPr>
          <w:rFonts w:ascii="Times New Roman" w:cs="Times New Roman" w:eastAsia="Times New Roman" w:hAnsi="Times New Roman"/>
          <w:sz w:val="20"/>
          <w:szCs w:val="20"/>
        </w:rPr>
        <w:t xml:space="preserve"/>
      </w:r>
    </w:p>
    <w:p>
      <w:pPr>
        <w:sectPr>
          <w:pgSz w:w="12240" w:h="15840" w:orient="portrait"/>
          <w:pgMar w:top="1080" w:right="900" w:bottom="1440" w:left="900" w:header="708" w:footer="708" w:gutter="0"/>
          <w:pgNumType/>
          <w:docGrid w:linePitch="360"/>
        </w:sectPr>
      </w:pPr>
    </w:p>
    <w:p>
      <w:pPr>
        <w:spacing w:after="120" w:before="260"/>
        <w:jc w:val="center"/>
      </w:pPr>
      <w:r>
        <w:rPr>
          <w:rFonts w:ascii="Times New Roman" w:cs="Times New Roman" w:eastAsia="Times New Roman" w:hAnsi="Times New Roman"/>
          <w:b/>
          <w:bCs/>
          <w:caps/>
          <w:sz w:val="20"/>
          <w:szCs w:val="20"/>
        </w:rPr>
        <w:t xml:space="preserve">I. Introduction</w:t>
      </w:r>
    </w:p>
    <w:p>
      <w:pPr>
        <w:spacing w:after="80" w:before="0"/>
        <w:ind w:firstLine="432"/>
        <w:jc w:val="both"/>
      </w:pPr>
      <w:r>
        <w:rPr>
          <w:rFonts w:ascii="Times New Roman" w:cs="Times New Roman" w:eastAsia="Times New Roman" w:hAnsi="Times New Roman"/>
          <w:sz w:val="20"/>
          <w:szCs w:val="20"/>
        </w:rPr>
        <w:t xml:space="preserve">Modern supply chains are vast, multi-echelon networks connecting raw material suppliers, manufacturers, distributors, retailers, and end consumers across global geographies. The interconnected nature of these systems, while enabling unprecedented efficiency and specialization, simultaneously introduces profound fragility. The COVID-19 pandemic demonstrated the systemic nature of this fragility: a biological pathogen disrupted semiconductor fabrication in Asia, which cascaded into automobile manufacturing shutdowns in Europe, which propagated into consumer electronics shortages worldwide [1]. Similar cascading failures arose during the 2011 Tohoku earthquake, the 2021 Ever Given container ship grounding in the Suez Canal, and recurring extreme weather events [37], [38].</w:t>
      </w:r>
    </w:p>
    <w:p>
      <w:pPr>
        <w:spacing w:after="80" w:before="0"/>
        <w:ind w:firstLine="432"/>
        <w:jc w:val="both"/>
      </w:pPr>
      <w:r>
        <w:rPr>
          <w:rFonts w:ascii="Times New Roman" w:cs="Times New Roman" w:eastAsia="Times New Roman" w:hAnsi="Times New Roman"/>
          <w:sz w:val="20"/>
          <w:szCs w:val="20"/>
        </w:rPr>
        <w:t xml:space="preserve">Traditional supply chain risk management relies on static safety stock buffers, deterministic demand forecasting, and reactive manual interventions. These approaches are fundamentally inadequate for the scale and speed of modern disruptions. What is needed is an adaptive, self-regulating system that can detect anomalies early, assess propagation risk, coordinate distributed recovery responses, and learn from past disruptions to strengthen future resilience. Remarkably, biological organisms have evolved precisely such a system over hundreds of millions of years: the vertebrate immune system.</w:t>
      </w:r>
    </w:p>
    <w:p>
      <w:pPr>
        <w:spacing w:after="80" w:before="0"/>
        <w:ind w:firstLine="432"/>
        <w:jc w:val="both"/>
      </w:pPr>
      <w:r>
        <w:rPr>
          <w:rFonts w:ascii="Times New Roman" w:cs="Times New Roman" w:eastAsia="Times New Roman" w:hAnsi="Times New Roman"/>
          <w:sz w:val="20"/>
          <w:szCs w:val="20"/>
        </w:rPr>
        <w:t xml:space="preserve">The human immune system detects foreign entities through pattern recognition, differentiates between self (normal body cells) and non-self (foreign agents), coordinates a distributed multi-cellular response, generates immunological memory to accelerate future responses, and adapts dynamically based on threat severity and novelty [3], [8]. These properties—detection, discrimination, coordination, memory, and adaptation—map isomorphically to the requirements of resilient supply chain management.</w:t>
      </w:r>
    </w:p>
    <w:p>
      <w:pPr>
        <w:spacing w:after="80" w:before="0"/>
        <w:ind w:firstLine="432"/>
        <w:jc w:val="both"/>
      </w:pPr>
      <w:r>
        <w:rPr>
          <w:rFonts w:ascii="Times New Roman" w:cs="Times New Roman" w:eastAsia="Times New Roman" w:hAnsi="Times New Roman"/>
          <w:sz w:val="20"/>
          <w:szCs w:val="20"/>
        </w:rPr>
        <w:t xml:space="preserve">This survey investigates the state of research in applying immunological principles to supply chain management through four enabling technologies: Artificial Immune Systems (AIS), Graph Neural Networks (GNN), Multi-Agent Reinforcement Learning (MARL), and Digital Twin (DT) frameworks. While each technology has been independently advanced in the SCM literature, no prior work synthesizes these four domains into a unified immunological framework. This paper makes three primary contributions:</w:t>
      </w:r>
    </w:p>
    <w:p>
      <w:pPr>
        <w:spacing w:after="80" w:before="0"/>
        <w:jc w:val="both"/>
      </w:pPr>
      <w:r>
        <w:rPr>
          <w:rFonts w:ascii="Times New Roman" w:cs="Times New Roman" w:eastAsia="Times New Roman" w:hAnsi="Times New Roman"/>
          <w:sz w:val="20"/>
          <w:szCs w:val="20"/>
        </w:rPr>
        <w:t xml:space="preserve">(1) A structured taxonomy of 38 papers across five thematic areas with comparative analysis of methodologies, datasets, and performance metrics.</w:t>
      </w:r>
    </w:p>
    <w:p>
      <w:pPr>
        <w:spacing w:after="80" w:before="0"/>
        <w:jc w:val="both"/>
      </w:pPr>
      <w:r>
        <w:rPr>
          <w:rFonts w:ascii="Times New Roman" w:cs="Times New Roman" w:eastAsia="Times New Roman" w:hAnsi="Times New Roman"/>
          <w:sz w:val="20"/>
          <w:szCs w:val="20"/>
        </w:rPr>
        <w:t xml:space="preserve">(2) Identification of six critical research gaps that current literature fails to address.</w:t>
      </w:r>
    </w:p>
    <w:p>
      <w:pPr>
        <w:spacing w:after="80" w:before="0"/>
        <w:jc w:val="both"/>
      </w:pPr>
      <w:r>
        <w:rPr>
          <w:rFonts w:ascii="Times New Roman" w:cs="Times New Roman" w:eastAsia="Times New Roman" w:hAnsi="Times New Roman"/>
          <w:sz w:val="20"/>
          <w:szCs w:val="20"/>
        </w:rPr>
        <w:t xml:space="preserve">(3) A proposed 14-stage Immunological SCM Pipeline that bridges the identified gaps through direct immunological analogy.</w:t>
      </w:r>
    </w:p>
    <w:p>
      <w:pPr>
        <w:spacing w:after="80" w:before="0"/>
        <w:ind w:firstLine="432"/>
        <w:jc w:val="both"/>
      </w:pPr>
      <w:r>
        <w:rPr>
          <w:rFonts w:ascii="Times New Roman" w:cs="Times New Roman" w:eastAsia="Times New Roman" w:hAnsi="Times New Roman"/>
          <w:sz w:val="20"/>
          <w:szCs w:val="20"/>
        </w:rPr>
        <w:t xml:space="preserve">The remainder of this paper is organized as follows. Section II provides background and taxonomy. Sections III–VII review related work across five thematic categories. Section VIII identifies research gaps. Section IX proposes the immunological pipeline. Section X discusses future directions, and Section XI concludes.</w:t>
      </w:r>
    </w:p>
    <w:p>
      <w:pPr>
        <w:spacing w:after="120" w:before="260"/>
        <w:jc w:val="center"/>
      </w:pPr>
      <w:r>
        <w:rPr>
          <w:rFonts w:ascii="Times New Roman" w:cs="Times New Roman" w:eastAsia="Times New Roman" w:hAnsi="Times New Roman"/>
          <w:b/>
          <w:bCs/>
          <w:caps/>
          <w:sz w:val="20"/>
          <w:szCs w:val="20"/>
        </w:rPr>
        <w:t xml:space="preserve">II. Background and Taxonomy</w:t>
      </w:r>
    </w:p>
    <w:p>
      <w:pPr>
        <w:spacing w:after="80" w:before="0"/>
        <w:ind w:firstLine="432"/>
        <w:jc w:val="both"/>
      </w:pPr>
      <w:r>
        <w:rPr>
          <w:rFonts w:ascii="Times New Roman" w:cs="Times New Roman" w:eastAsia="Times New Roman" w:hAnsi="Times New Roman"/>
          <w:sz w:val="20"/>
          <w:szCs w:val="20"/>
        </w:rPr>
        <w:t xml:space="preserve">This section provides foundational background on the four enabling technologies and establishes a unified taxonomy for classifying reviewed literature.</w:t>
      </w:r>
    </w:p>
    <w:p>
      <w:pPr>
        <w:spacing w:after="60" w:before="160"/>
      </w:pPr>
      <w:r>
        <w:rPr>
          <w:rFonts w:ascii="Times New Roman" w:cs="Times New Roman" w:eastAsia="Times New Roman" w:hAnsi="Times New Roman"/>
          <w:b/>
          <w:bCs/>
          <w:i/>
          <w:iCs/>
          <w:sz w:val="20"/>
          <w:szCs w:val="20"/>
        </w:rPr>
        <w:t xml:space="preserve">A. Artificial Immune Systems</w:t>
      </w:r>
    </w:p>
    <w:p>
      <w:pPr>
        <w:spacing w:after="80" w:before="0"/>
        <w:ind w:firstLine="432"/>
        <w:jc w:val="both"/>
      </w:pPr>
      <w:r>
        <w:rPr>
          <w:rFonts w:ascii="Times New Roman" w:cs="Times New Roman" w:eastAsia="Times New Roman" w:hAnsi="Times New Roman"/>
          <w:sz w:val="20"/>
          <w:szCs w:val="20"/>
        </w:rPr>
        <w:t xml:space="preserve">Artificial Immune Systems (AIS) are computational paradigms inspired by the vertebrate immune system [3], [8]. Key mechanisms include the Negative Selection Algorithm (NSA), which trains detectors on the distribution of normal (self) patterns and flags deviations as anomalous [4]; Clonal Selection, which amplifies successful detectors through mutation and proliferation analogous to B-cell activation [3]; the Danger Theory, which conditions immune response on contextual danger signals rather than mere non-self detection [6]; and Immune Memory, which stores effective detector configurations for rapid reuse on recurring threats [9]. AIS has been validated in network intrusion detection, spam filtering, fault diagnosis, and combinatorial optimization, but its application to supply chain management remains nascent—a primary research gap identified in this survey.</w:t>
      </w:r>
    </w:p>
    <w:p>
      <w:pPr>
        <w:spacing w:after="60" w:before="160"/>
      </w:pPr>
      <w:r>
        <w:rPr>
          <w:rFonts w:ascii="Times New Roman" w:cs="Times New Roman" w:eastAsia="Times New Roman" w:hAnsi="Times New Roman"/>
          <w:b/>
          <w:bCs/>
          <w:i/>
          <w:iCs/>
          <w:sz w:val="20"/>
          <w:szCs w:val="20"/>
        </w:rPr>
        <w:t xml:space="preserve">B. Graph Neural Networks</w:t>
      </w:r>
    </w:p>
    <w:p>
      <w:pPr>
        <w:spacing w:after="80" w:before="0"/>
        <w:ind w:firstLine="432"/>
        <w:jc w:val="both"/>
      </w:pPr>
      <w:r>
        <w:rPr>
          <w:rFonts w:ascii="Times New Roman" w:cs="Times New Roman" w:eastAsia="Times New Roman" w:hAnsi="Times New Roman"/>
          <w:sz w:val="20"/>
          <w:szCs w:val="20"/>
        </w:rPr>
        <w:t xml:space="preserve">Graph Neural Networks (GNNs) extend deep learning to graph-structured data through iterative neighborhood aggregation [10]. Key variants relevant to SCM include Graph Convolutional Networks (GCN) [27], which aggregate neighbor features through normalized adjacency operations; Graph Attention Networks (GAT) [28], which assign learned attention weights to neighbor contributions enabling heterogeneous relationship modeling; and Graph Autoencoder (GAE) architectures, which encode graph structure into latent representations for unsupervised anomaly detection. GNNs naturally model supply chain entities as nodes and logistics relationships as edges, enabling disruption propagation analysis, supplier risk scoring, and hidden link prediction [12], [14].</w:t>
      </w:r>
    </w:p>
    <w:p>
      <w:pPr>
        <w:spacing w:after="60" w:before="160"/>
      </w:pPr>
      <w:r>
        <w:rPr>
          <w:rFonts w:ascii="Times New Roman" w:cs="Times New Roman" w:eastAsia="Times New Roman" w:hAnsi="Times New Roman"/>
          <w:b/>
          <w:bCs/>
          <w:i/>
          <w:iCs/>
          <w:sz w:val="20"/>
          <w:szCs w:val="20"/>
        </w:rPr>
        <w:t xml:space="preserve">C. Multi-Agent Reinforcement Learning</w:t>
      </w:r>
    </w:p>
    <w:p>
      <w:pPr>
        <w:spacing w:after="80" w:before="0"/>
        <w:ind w:firstLine="432"/>
        <w:jc w:val="both"/>
      </w:pPr>
      <w:r>
        <w:rPr>
          <w:rFonts w:ascii="Times New Roman" w:cs="Times New Roman" w:eastAsia="Times New Roman" w:hAnsi="Times New Roman"/>
          <w:sz w:val="20"/>
          <w:szCs w:val="20"/>
        </w:rPr>
        <w:t xml:space="preserve">Multi-Agent Reinforcement Learning (MARL) extends RL to environments with multiple interacting agents, each optimizing a policy based on local observations and shared environmental consequences [16]. In SCM contexts, agents represent facilities (suppliers, warehouses, distributors) making local inventory and routing decisions. Key algorithms include Proximal Policy Optimization (PPO) [29], which enables stable on-policy gradient updates particularly suited to continuous action spaces; and actor-critic architectures that separate policy and value estimation. MARL enables decentralized yet coordinated decision-making under the partial observability characteristic of real supply chains, making it a natural fit for multi-echelon disruption response.</w:t>
      </w:r>
    </w:p>
    <w:p>
      <w:pPr>
        <w:spacing w:after="60" w:before="160"/>
      </w:pPr>
      <w:r>
        <w:rPr>
          <w:rFonts w:ascii="Times New Roman" w:cs="Times New Roman" w:eastAsia="Times New Roman" w:hAnsi="Times New Roman"/>
          <w:b/>
          <w:bCs/>
          <w:i/>
          <w:iCs/>
          <w:sz w:val="20"/>
          <w:szCs w:val="20"/>
        </w:rPr>
        <w:t xml:space="preserve">D. Digital Twin Frameworks</w:t>
      </w:r>
    </w:p>
    <w:p>
      <w:pPr>
        <w:spacing w:after="80" w:before="0"/>
        <w:ind w:firstLine="432"/>
        <w:jc w:val="both"/>
      </w:pPr>
      <w:r>
        <w:rPr>
          <w:rFonts w:ascii="Times New Roman" w:cs="Times New Roman" w:eastAsia="Times New Roman" w:hAnsi="Times New Roman"/>
          <w:sz w:val="20"/>
          <w:szCs w:val="20"/>
        </w:rPr>
        <w:t xml:space="preserve">A Digital Twin (DT) is a virtual replica of a physical system synchronized through real-time data streams, enabling simulation, monitoring, and predictive analysis [20], [21]. In supply chain contexts, DTs enable what-if scenario analysis before disruptions fully manifest, real-time disruption visualization, and optimization of recovery strategies without disrupting physical operations. Integration of DT with machine learning enables the transition from descriptive and diagnostic functions toward predictive and prescriptive intelligence [22]. Ivanov's seminal work on viable supply chains [1], [23] demonstrated how DT combined with discrete-event simulation can model cascading failure propagation across multi-tier networks, providing quantitative justification for resilience investment.</w:t>
      </w:r>
    </w:p>
    <w:p>
      <w:pPr>
        <w:spacing w:after="60" w:before="160"/>
      </w:pPr>
      <w:r>
        <w:rPr>
          <w:rFonts w:ascii="Times New Roman" w:cs="Times New Roman" w:eastAsia="Times New Roman" w:hAnsi="Times New Roman"/>
          <w:b/>
          <w:bCs/>
          <w:i/>
          <w:iCs/>
          <w:sz w:val="20"/>
          <w:szCs w:val="20"/>
        </w:rPr>
        <w:t xml:space="preserve">E. Taxonomy and Coverage Map</w:t>
      </w:r>
    </w:p>
    <w:p>
      <w:pPr>
        <w:spacing w:after="80" w:before="0"/>
        <w:ind w:firstLine="432"/>
        <w:jc w:val="both"/>
      </w:pPr>
      <w:r>
        <w:rPr>
          <w:rFonts w:ascii="Times New Roman" w:cs="Times New Roman" w:eastAsia="Times New Roman" w:hAnsi="Times New Roman"/>
          <w:sz w:val="20"/>
          <w:szCs w:val="20"/>
        </w:rPr>
        <w:t xml:space="preserve">We classify 38 reviewed papers into five categories: (I) AIS Cross-Domain Validation—papers demonstrating AIS effectiveness in cybersecurity validating immunological principles; (II) GNN for SCM—graph learning for supply chain topology, risk, and anomaly detection; (III) MARL for SCM—single and multi-agent RL for inventory, routing, and disruption response; (IV) Digital Twin—DT architectures for supply chain simulation and resilience; and (V) Integration—hybrid GNN-MARL and multi-technique SCM systems. Table I provides a coverage map of 12 representative papers across key technical dimensions.</w:t>
      </w:r>
    </w:p>
    <w:p>
      <w:r>
        <w:rPr>
          <w:rFonts w:ascii="Times New Roman" w:cs="Times New Roman" w:eastAsia="Times New Roman" w:hAnsi="Times New Roman"/>
          <w:sz w:val="20"/>
          <w:szCs w:val="20"/>
        </w:rPr>
        <w:t xml:space="preserve"/>
      </w:r>
    </w:p>
    <w:p>
      <w:pPr>
        <w:spacing w:after="20" w:before="60"/>
        <w:jc w:val="center"/>
      </w:pPr>
      <w:r>
        <w:rPr>
          <w:rFonts w:ascii="Times New Roman" w:cs="Times New Roman" w:eastAsia="Times New Roman" w:hAnsi="Times New Roman"/>
          <w:b/>
          <w:bCs/>
          <w:caps/>
          <w:sz w:val="20"/>
          <w:szCs w:val="20"/>
        </w:rPr>
        <w:t xml:space="preserve">TABLE I</w:t>
      </w:r>
    </w:p>
    <w:p>
      <w:pPr>
        <w:spacing w:after="60" w:before="0"/>
        <w:jc w:val="center"/>
      </w:pPr>
      <w:r>
        <w:rPr>
          <w:rFonts w:ascii="Times New Roman" w:cs="Times New Roman" w:eastAsia="Times New Roman" w:hAnsi="Times New Roman"/>
          <w:i/>
          <w:iCs/>
          <w:sz w:val="18"/>
          <w:szCs w:val="18"/>
        </w:rPr>
        <w:t xml:space="preserve">Coverage Map: Key Papers Across Technical Dimensions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900"/>
        <w:gridCol w:w="900"/>
        <w:gridCol w:w="900"/>
        <w:gridCol w:w="900"/>
        <w:gridCol w:w="90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Paper (Author, Year)</w:t>
            </w:r>
          </w:p>
        </w:tc>
        <w:tc>
          <w:tcPr>
            <w:tcW w:type="dxa" w:w="11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Focus Area</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Theory</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AIS</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GNN</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MARL</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DT</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Integ.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Forrest et al. [4]</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AIS/Cyber</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Hofmeyr &amp; Forrest [5]</w:t>
            </w:r>
          </w:p>
        </w:tc>
        <w:tc>
          <w:tcPr>
            <w:tcW w:type="dxa" w:w="11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AIS/Cyber</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Dasgupta &amp; Nino [8]</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AIS Survey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Brintrup et al. [12]</w:t>
            </w:r>
          </w:p>
        </w:tc>
        <w:tc>
          <w:tcPr>
            <w:tcW w:type="dxa" w:w="11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GNN/SCM</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Kosasih &amp; Brintrup [14]</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GNN/SCM</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Oroojlooy et al. [16]</w:t>
            </w:r>
          </w:p>
        </w:tc>
        <w:tc>
          <w:tcPr>
            <w:tcW w:type="dxa" w:w="11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MARL Survey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Boute et al. [19]</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RL/SCM</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Ivanov [1]</w:t>
            </w:r>
          </w:p>
        </w:tc>
        <w:tc>
          <w:tcPr>
            <w:tcW w:type="dxa" w:w="11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DT/Epidemic</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Rozanec et al. [22]</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Cognitive DT</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Zhu et al. [25]</w:t>
            </w:r>
          </w:p>
        </w:tc>
        <w:tc>
          <w:tcPr>
            <w:tcW w:type="dxa" w:w="11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GNN+MARL</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Wang et al. [26]</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GNN+MARL</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This Survey</w:t>
            </w:r>
          </w:p>
        </w:tc>
        <w:tc>
          <w:tcPr>
            <w:tcW w:type="dxa" w:w="11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Unified ImmSCM</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Y</w:t>
            </w:r>
          </w:p>
        </w:tc>
      </w:tr>
    </w:tbl>
    <w:p>
      <w:r>
        <w:rPr>
          <w:rFonts w:ascii="Times New Roman" w:cs="Times New Roman" w:eastAsia="Times New Roman" w:hAnsi="Times New Roman"/>
          <w:sz w:val="20"/>
          <w:szCs w:val="20"/>
        </w:rPr>
        <w:t xml:space="preserve"/>
      </w:r>
    </w:p>
    <w:p>
      <w:pPr>
        <w:spacing w:after="120" w:before="260"/>
        <w:jc w:val="center"/>
      </w:pPr>
      <w:r>
        <w:rPr>
          <w:rFonts w:ascii="Times New Roman" w:cs="Times New Roman" w:eastAsia="Times New Roman" w:hAnsi="Times New Roman"/>
          <w:b/>
          <w:bCs/>
          <w:caps/>
          <w:sz w:val="20"/>
          <w:szCs w:val="20"/>
        </w:rPr>
        <w:t xml:space="preserve">III. Artificial Immune Systems: Cross-Domain Validation</w:t>
      </w:r>
    </w:p>
    <w:p>
      <w:pPr>
        <w:spacing w:after="80" w:before="0"/>
        <w:ind w:firstLine="432"/>
        <w:jc w:val="both"/>
      </w:pPr>
      <w:r>
        <w:rPr>
          <w:rFonts w:ascii="Times New Roman" w:cs="Times New Roman" w:eastAsia="Times New Roman" w:hAnsi="Times New Roman"/>
          <w:sz w:val="20"/>
          <w:szCs w:val="20"/>
        </w:rPr>
        <w:t xml:space="preserve">AIS has been extensively validated in cybersecurity domains, providing the empirical foundation for its proposed application to supply chain management. We review key contributions across three immunological mechanisms: negative selection, clonal selection and immune memory, and the danger theory.</w:t>
      </w:r>
    </w:p>
    <w:p>
      <w:pPr>
        <w:spacing w:after="60" w:before="160"/>
      </w:pPr>
      <w:r>
        <w:rPr>
          <w:rFonts w:ascii="Times New Roman" w:cs="Times New Roman" w:eastAsia="Times New Roman" w:hAnsi="Times New Roman"/>
          <w:b/>
          <w:bCs/>
          <w:i/>
          <w:iCs/>
          <w:sz w:val="20"/>
          <w:szCs w:val="20"/>
        </w:rPr>
        <w:t xml:space="preserve">A. Negative Selection Algorithms</w:t>
      </w:r>
    </w:p>
    <w:p>
      <w:pPr>
        <w:spacing w:after="80" w:before="0"/>
        <w:ind w:firstLine="432"/>
        <w:jc w:val="both"/>
      </w:pPr>
      <w:r>
        <w:rPr>
          <w:rFonts w:ascii="Times New Roman" w:cs="Times New Roman" w:eastAsia="Times New Roman" w:hAnsi="Times New Roman"/>
          <w:sz w:val="20"/>
          <w:szCs w:val="20"/>
        </w:rPr>
        <w:t xml:space="preserve">The Negative Selection Algorithm (NSA), introduced by Forrest et al. [4], draws direct inspiration from thymic T-cell education. During thymic development, T-cells that react to self-antigens are eliminated through negative selection, leaving only cells capable of tolerating self while recognizing non-self. Computationally, NSA generates a set of detectors on the self (normal) data distribution and deploys them to flag anomalous (non-self) patterns exceeding a matching threshold. Forrest et al. demonstrated NSA's effectiveness for computer virus detection, achieving greater than 95% detection of novel virus signatures without prior exposure—a critical property for systems facing non-stationary threat landscapes.</w:t>
      </w:r>
    </w:p>
    <w:p>
      <w:pPr>
        <w:spacing w:after="80" w:before="0"/>
        <w:ind w:firstLine="432"/>
        <w:jc w:val="both"/>
      </w:pPr>
      <w:r>
        <w:rPr>
          <w:rFonts w:ascii="Times New Roman" w:cs="Times New Roman" w:eastAsia="Times New Roman" w:hAnsi="Times New Roman"/>
          <w:sz w:val="20"/>
          <w:szCs w:val="20"/>
        </w:rPr>
        <w:t xml:space="preserve">Hofmeyr and Forrest [5] extended NSA in their LISYS architecture, an autonomous immune-based network intrusion detection system. LISYS deploys detectors that monitor network packet streams, migrate between nodes, and collectively achieve distributed anomaly detection without central coordination—a property highly desirable in multi-tier supply chains where centralized monitoring is architecturally impractical. Their experiments on real network traces demonstrated detection rates exceeding 90% for novel intrusion patterns. Gonzalez et al. [7] further addressed the curse of dimensionality in NSA by introducing real-valued negative selection with randomized detector generation, reducing computational complexity from exponential to polynomial while maintaining detection accuracy across high-dimensional feature spaces.</w:t>
      </w:r>
    </w:p>
    <w:p>
      <w:pPr>
        <w:spacing w:after="80" w:before="0"/>
        <w:ind w:firstLine="432"/>
        <w:jc w:val="both"/>
      </w:pPr>
      <w:r>
        <w:rPr>
          <w:rFonts w:ascii="Times New Roman" w:cs="Times New Roman" w:eastAsia="Times New Roman" w:hAnsi="Times New Roman"/>
          <w:sz w:val="20"/>
          <w:szCs w:val="20"/>
        </w:rPr>
        <w:t xml:space="preserve">The supply chain analogy is formally precise: normal supply chain behavior (regular order volumes, transit times within SLA, supplier performance within historical bounds) constitutes the self distribution, while disruption signatures (sudden volume spikes, delivery delays beyond threshold, unusual routing pattern deviations) constitute non-self patterns. NSA's ability to detect novel anomalies—including zero-day attacks in cybersecurity and previously unseen disruption patterns in SCM—without retraining on labeled anomaly data is particularly valuable in SCM domains where disruption patterns are non-stationary and historical labeled data is scarce.</w:t>
      </w:r>
    </w:p>
    <w:p>
      <w:pPr>
        <w:spacing w:after="60" w:before="160"/>
      </w:pPr>
      <w:r>
        <w:rPr>
          <w:rFonts w:ascii="Times New Roman" w:cs="Times New Roman" w:eastAsia="Times New Roman" w:hAnsi="Times New Roman"/>
          <w:b/>
          <w:bCs/>
          <w:i/>
          <w:iCs/>
          <w:sz w:val="20"/>
          <w:szCs w:val="20"/>
        </w:rPr>
        <w:t xml:space="preserve">B. Clonal Selection and Immune Memory</w:t>
      </w:r>
    </w:p>
    <w:p>
      <w:pPr>
        <w:spacing w:after="80" w:before="0"/>
        <w:ind w:firstLine="432"/>
        <w:jc w:val="both"/>
      </w:pPr>
      <w:r>
        <w:rPr>
          <w:rFonts w:ascii="Times New Roman" w:cs="Times New Roman" w:eastAsia="Times New Roman" w:hAnsi="Times New Roman"/>
          <w:sz w:val="20"/>
          <w:szCs w:val="20"/>
        </w:rPr>
        <w:t xml:space="preserve">De Castro and Timmis's CLONALG algorithm [3] formalized clonal selection for pattern recognition and optimization. When a detector successfully identifies an anomaly, it undergoes clonal amplification: multiple copies are produced, each subject to hypermutation inversely proportional to affinity (higher-affinity detectors mutate less, preserving effective configurations). This process explores the local space around effective solutions while preserving best performers, analogous to memory cell formation in biological immunity that ensures rapid secondary response to recurring pathogens.</w:t>
      </w:r>
    </w:p>
    <w:p>
      <w:pPr>
        <w:spacing w:after="80" w:before="0"/>
        <w:ind w:firstLine="432"/>
        <w:jc w:val="both"/>
      </w:pPr>
      <w:r>
        <w:rPr>
          <w:rFonts w:ascii="Times New Roman" w:cs="Times New Roman" w:eastAsia="Times New Roman" w:hAnsi="Times New Roman"/>
          <w:sz w:val="20"/>
          <w:szCs w:val="20"/>
        </w:rPr>
        <w:t xml:space="preserve">Kim and Bentley [9] demonstrated immune memory in the AIS context, showing that memory cells dramatically accelerate response to recurring threat patterns—a mechanism with direct SCM relevance. Supply chains face recurring disruption patterns (seasonal demand surges, annual weather events, periodic supplier quality failures), and immune memory enables faster detection and coordinated response to known disruption signatures while maintaining plasticity for novel disruptions. Dasgupta and Nino [8] provide comprehensive theoretical treatment of immunological computation, establishing mathematical foundations and reviewing successful applications across optimization, classification, and anomaly detection.</w:t>
      </w:r>
    </w:p>
    <w:p>
      <w:pPr>
        <w:spacing w:after="60" w:before="160"/>
      </w:pPr>
      <w:r>
        <w:rPr>
          <w:rFonts w:ascii="Times New Roman" w:cs="Times New Roman" w:eastAsia="Times New Roman" w:hAnsi="Times New Roman"/>
          <w:b/>
          <w:bCs/>
          <w:i/>
          <w:iCs/>
          <w:sz w:val="20"/>
          <w:szCs w:val="20"/>
        </w:rPr>
        <w:t xml:space="preserve">C. Danger Theory</w:t>
      </w:r>
    </w:p>
    <w:p>
      <w:pPr>
        <w:spacing w:after="80" w:before="0"/>
        <w:ind w:firstLine="432"/>
        <w:jc w:val="both"/>
      </w:pPr>
      <w:r>
        <w:rPr>
          <w:rFonts w:ascii="Times New Roman" w:cs="Times New Roman" w:eastAsia="Times New Roman" w:hAnsi="Times New Roman"/>
          <w:sz w:val="20"/>
          <w:szCs w:val="20"/>
        </w:rPr>
        <w:t xml:space="preserve">Matzinger's Danger Theory [6] reconceptualized immune activation from a self/non-self binary to a contextual danger signal model. Immune response is triggered not merely by foreign entities but by damage signals (stress proteins, heat-shock proteins) released by injured or dying cells. This reconceptualization has profound implications for SCM: disruptions may originate from internal factors (quality failures from existing suppliers, workforce reductions) that do not register as non-self under traditional AIS, but emit clear danger signals (customer complaints, accelerating return rates, SLA violation frequency). Aickelin and Cayzer [6] formalized Danger Theory in an AIS framework, demonstrating improved detection precision over pure NSA approaches by significantly reducing false positives from benign anomalies that happen to deviate from self without causing actual damage. In SCM terms, this maps to distinguishing genuine supply disruptions from routine demand variability that triggers anomaly flags but requires no intervention.</w:t>
      </w:r>
    </w:p>
    <w:p>
      <w:pPr>
        <w:spacing w:after="80" w:before="0"/>
        <w:ind w:firstLine="432"/>
        <w:jc w:val="both"/>
      </w:pPr>
      <w:r>
        <w:rPr>
          <w:rFonts w:ascii="Times New Roman" w:cs="Times New Roman" w:eastAsia="Times New Roman" w:hAnsi="Times New Roman"/>
          <w:sz w:val="20"/>
          <w:szCs w:val="20"/>
        </w:rPr>
        <w:t xml:space="preserve">Across all three mechanisms, the cross-domain validation literature establishes that AIS is mathematically rigorous, computationally tractable, and practically effective for anomaly detection in complex distributed systems. The critical gap—the direct application of these mechanisms to supply chain data streams with supply-chain-specific self/non-self definitions, danger signals, and memory structures—remains unaddressed in the current literature.</w:t>
      </w:r>
    </w:p>
    <w:p>
      <w:pPr>
        <w:spacing w:after="120" w:before="260"/>
        <w:jc w:val="center"/>
      </w:pPr>
      <w:r>
        <w:rPr>
          <w:rFonts w:ascii="Times New Roman" w:cs="Times New Roman" w:eastAsia="Times New Roman" w:hAnsi="Times New Roman"/>
          <w:b/>
          <w:bCs/>
          <w:caps/>
          <w:sz w:val="20"/>
          <w:szCs w:val="20"/>
        </w:rPr>
        <w:t xml:space="preserve">IV. Graph Neural Networks for Supply Chain Management</w:t>
      </w:r>
    </w:p>
    <w:p>
      <w:pPr>
        <w:spacing w:after="80" w:before="0"/>
        <w:ind w:firstLine="432"/>
        <w:jc w:val="both"/>
      </w:pPr>
      <w:r>
        <w:rPr>
          <w:rFonts w:ascii="Times New Roman" w:cs="Times New Roman" w:eastAsia="Times New Roman" w:hAnsi="Times New Roman"/>
          <w:sz w:val="20"/>
          <w:szCs w:val="20"/>
        </w:rPr>
        <w:t xml:space="preserve">Supply chains are inherently graph-structured systems: facilities are nodes, logistics relationships are directed edges, and risk propagates through network topology. GNNs provide a natural framework for learning from this structure.</w:t>
      </w:r>
    </w:p>
    <w:p>
      <w:pPr>
        <w:spacing w:after="60" w:before="160"/>
      </w:pPr>
      <w:r>
        <w:rPr>
          <w:rFonts w:ascii="Times New Roman" w:cs="Times New Roman" w:eastAsia="Times New Roman" w:hAnsi="Times New Roman"/>
          <w:b/>
          <w:bCs/>
          <w:i/>
          <w:iCs/>
          <w:sz w:val="20"/>
          <w:szCs w:val="20"/>
        </w:rPr>
        <w:t xml:space="preserve">A. Graph Representation of Supply Chains</w:t>
      </w:r>
    </w:p>
    <w:p>
      <w:pPr>
        <w:spacing w:after="80" w:before="0"/>
        <w:ind w:firstLine="432"/>
        <w:jc w:val="both"/>
      </w:pPr>
      <w:r>
        <w:rPr>
          <w:rFonts w:ascii="Times New Roman" w:cs="Times New Roman" w:eastAsia="Times New Roman" w:hAnsi="Times New Roman"/>
          <w:sz w:val="20"/>
          <w:szCs w:val="20"/>
        </w:rPr>
        <w:t xml:space="preserve">Brintrup et al. [12] pioneered supply chain data analytics for disruption prediction, analyzing transaction records from a complex aerospace manufacturer to construct directed graphs representing supplier-customer relationships. They demonstrated that graph-based features (betweenness centrality, clustering coefficient, degree distribution) significantly outperform flat tabular feature representations in predicting supplier disruption events, with AUC improvements of 12-18% over logistic regression baselines. Their work established the methodological foundation for supply chain graph construction from raw transaction data, including the challenge of incomplete network visibility—a persistent practical limitation as most companies have direct visibility only to Tier-1 suppliers.</w:t>
      </w:r>
    </w:p>
    <w:p>
      <w:pPr>
        <w:spacing w:after="80" w:before="0"/>
        <w:ind w:firstLine="432"/>
        <w:jc w:val="both"/>
      </w:pPr>
      <w:r>
        <w:rPr>
          <w:rFonts w:ascii="Times New Roman" w:cs="Times New Roman" w:eastAsia="Times New Roman" w:hAnsi="Times New Roman"/>
          <w:sz w:val="20"/>
          <w:szCs w:val="20"/>
        </w:rPr>
        <w:t xml:space="preserve">Kosasih and Brintrup [14] extended this to predict hidden supplier links using GNNs. Using GNN-based link prediction on partially observable supply chain graphs, they achieved AUC scores exceeding 0.85 in predicting hidden Tier-2 and Tier-3 supplier relationships, enabling proactive risk assessment well beyond a company's direct supplier base. This capability is analogous to the immune system's ability to detect threats at infection sites not directly monitored by circulating T-cells, achieved through cytokine signaling that propagates threat information across tissue boundaries.</w:t>
      </w:r>
    </w:p>
    <w:p>
      <w:pPr>
        <w:spacing w:after="60" w:before="160"/>
      </w:pPr>
      <w:r>
        <w:rPr>
          <w:rFonts w:ascii="Times New Roman" w:cs="Times New Roman" w:eastAsia="Times New Roman" w:hAnsi="Times New Roman"/>
          <w:b/>
          <w:bCs/>
          <w:i/>
          <w:iCs/>
          <w:sz w:val="20"/>
          <w:szCs w:val="20"/>
        </w:rPr>
        <w:t xml:space="preserve">B. GCN and GAT for Anomaly Detection</w:t>
      </w:r>
    </w:p>
    <w:p>
      <w:pPr>
        <w:spacing w:after="80" w:before="0"/>
        <w:ind w:firstLine="432"/>
        <w:jc w:val="both"/>
      </w:pPr>
      <w:r>
        <w:rPr>
          <w:rFonts w:ascii="Times New Roman" w:cs="Times New Roman" w:eastAsia="Times New Roman" w:hAnsi="Times New Roman"/>
          <w:sz w:val="20"/>
          <w:szCs w:val="20"/>
        </w:rPr>
        <w:t xml:space="preserve">Wu et al.'s comprehensive survey of GNNs [10] identifies two critical capability families for SCM: spectral GCN methods that capture global graph structure through eigendecomposition, and spatial message-passing methods that aggregate local neighborhood information iteratively. Kipf and Welling's GCN [27] operationalizes spectral convolution with a first-order Chebyshev approximation, enabling efficient node classification and anomaly scoring at scale. For supply chain anomaly detection, GCN simultaneously incorporates node features (order volume, transit time, supplier quality score) and structural features (centrality, clustering, shortest path distance to critical nodes) in a unified representation that captures both local and global risk context.</w:t>
      </w:r>
    </w:p>
    <w:p>
      <w:pPr>
        <w:spacing w:after="80" w:before="0"/>
        <w:ind w:firstLine="432"/>
        <w:jc w:val="both"/>
      </w:pPr>
      <w:r>
        <w:rPr>
          <w:rFonts w:ascii="Times New Roman" w:cs="Times New Roman" w:eastAsia="Times New Roman" w:hAnsi="Times New Roman"/>
          <w:sz w:val="20"/>
          <w:szCs w:val="20"/>
        </w:rPr>
        <w:t xml:space="preserve">Cao et al. [15] applied GNN-based anomaly detection to industrial control systems, demonstrating that graph structure provides essential context for distinguishing genuine anomalies from sensor noise. Their approach achieved 95.7% precision and 91.3% recall on benchmark datasets, significantly outperforming univariate statistical methods. The architectural parallel to SCM is direct: individual supply chain signals (shipment delays, demand spikes) are ambiguous in isolation but become unambiguous anomalies when contextualized through supply chain topology. Velickovic et al.'s GAT [28] further addresses heterogeneous supply chains by learning importance weights for different relationship types (critical-path supplier vs. peripheral backup supplier), enabling risk-weighted anomaly propagation analysis.</w:t>
      </w:r>
    </w:p>
    <w:p>
      <w:pPr>
        <w:spacing w:after="60" w:before="160"/>
      </w:pPr>
      <w:r>
        <w:rPr>
          <w:rFonts w:ascii="Times New Roman" w:cs="Times New Roman" w:eastAsia="Times New Roman" w:hAnsi="Times New Roman"/>
          <w:b/>
          <w:bCs/>
          <w:i/>
          <w:iCs/>
          <w:sz w:val="20"/>
          <w:szCs w:val="20"/>
        </w:rPr>
        <w:t xml:space="preserve">C. Graph Autoencoder for Latent Representation</w:t>
      </w:r>
    </w:p>
    <w:p>
      <w:pPr>
        <w:spacing w:after="80" w:before="0"/>
        <w:ind w:firstLine="432"/>
        <w:jc w:val="both"/>
      </w:pPr>
      <w:r>
        <w:rPr>
          <w:rFonts w:ascii="Times New Roman" w:cs="Times New Roman" w:eastAsia="Times New Roman" w:hAnsi="Times New Roman"/>
          <w:sz w:val="20"/>
          <w:szCs w:val="20"/>
        </w:rPr>
        <w:t xml:space="preserve">Graph autoencoders extend GNNs to unsupervised representation learning, encoding graph topology into dense latent vectors and reconstructing the original graph structure through a decoder. The reconstruction error provides a natural anomaly score: supply chain states that deviate significantly from the learned normal topology generate high reconstruction error. This approach is particularly valuable in SCM where labeled disruption data is scarce, as the autoencoder trains entirely on normal operation data and detects novel disruptions without labeled examples. Jiang and Luo [13] review GNN applications in transportation and logistics, identifying graph autoencoder architectures as most promising for real-time network anomaly detection in large-scale logistics networks.</w:t>
      </w:r>
    </w:p>
    <w:p>
      <w:pPr>
        <w:spacing w:after="60" w:before="160"/>
      </w:pPr>
      <w:r>
        <w:rPr>
          <w:rFonts w:ascii="Times New Roman" w:cs="Times New Roman" w:eastAsia="Times New Roman" w:hAnsi="Times New Roman"/>
          <w:b/>
          <w:bCs/>
          <w:i/>
          <w:iCs/>
          <w:sz w:val="20"/>
          <w:szCs w:val="20"/>
        </w:rPr>
        <w:t xml:space="preserve">D. Limitations</w:t>
      </w:r>
    </w:p>
    <w:p>
      <w:pPr>
        <w:spacing w:after="80" w:before="0"/>
        <w:ind w:firstLine="432"/>
        <w:jc w:val="both"/>
      </w:pPr>
      <w:r>
        <w:rPr>
          <w:rFonts w:ascii="Times New Roman" w:cs="Times New Roman" w:eastAsia="Times New Roman" w:hAnsi="Times New Roman"/>
          <w:sz w:val="20"/>
          <w:szCs w:val="20"/>
        </w:rPr>
        <w:t xml:space="preserve">Despite these advances, GNN-based SCM research exhibits two persistent limitations. First, existing approaches model supply chain graphs as static structures, while real supply chains are highly dynamic: relationships appear and dissolve with contract changes, edge weights shift with renegotiations, and disruption events structurally alter network topology. Second, current GNN-SCM work focuses on retrospective analysis rather than real-time anomaly detection on streaming transaction data. Temporal GNN architectures (T-GCN, EvolveGCN) that process dynamic graph streams remain unexplored in SCM contexts.</w:t>
      </w:r>
    </w:p>
    <w:p>
      <w:pPr>
        <w:spacing w:after="120" w:before="260"/>
        <w:jc w:val="center"/>
      </w:pPr>
      <w:r>
        <w:rPr>
          <w:rFonts w:ascii="Times New Roman" w:cs="Times New Roman" w:eastAsia="Times New Roman" w:hAnsi="Times New Roman"/>
          <w:b/>
          <w:bCs/>
          <w:caps/>
          <w:sz w:val="20"/>
          <w:szCs w:val="20"/>
        </w:rPr>
        <w:t xml:space="preserve">V. Multi-Agent Reinforcement Learning for Supply Chain Management</w:t>
      </w:r>
    </w:p>
    <w:p>
      <w:pPr>
        <w:spacing w:after="80" w:before="0"/>
        <w:ind w:firstLine="432"/>
        <w:jc w:val="both"/>
      </w:pPr>
      <w:r>
        <w:rPr>
          <w:rFonts w:ascii="Times New Roman" w:cs="Times New Roman" w:eastAsia="Times New Roman" w:hAnsi="Times New Roman"/>
          <w:sz w:val="20"/>
          <w:szCs w:val="20"/>
        </w:rPr>
        <w:t xml:space="preserve">Supply chain decision-making is inherently distributed: each facility makes local decisions (order quantities, shipping routes, production schedules) that jointly determine system-wide performance. MARL provides the framework for coordinating these decisions.</w:t>
      </w:r>
    </w:p>
    <w:p>
      <w:pPr>
        <w:spacing w:after="60" w:before="160"/>
      </w:pPr>
      <w:r>
        <w:rPr>
          <w:rFonts w:ascii="Times New Roman" w:cs="Times New Roman" w:eastAsia="Times New Roman" w:hAnsi="Times New Roman"/>
          <w:b/>
          <w:bCs/>
          <w:i/>
          <w:iCs/>
          <w:sz w:val="20"/>
          <w:szCs w:val="20"/>
        </w:rPr>
        <w:t xml:space="preserve">A. Deep RL for Inventory Optimization</w:t>
      </w:r>
    </w:p>
    <w:p>
      <w:pPr>
        <w:spacing w:after="80" w:before="0"/>
        <w:ind w:firstLine="432"/>
        <w:jc w:val="both"/>
      </w:pPr>
      <w:r>
        <w:rPr>
          <w:rFonts w:ascii="Times New Roman" w:cs="Times New Roman" w:eastAsia="Times New Roman" w:hAnsi="Times New Roman"/>
          <w:sz w:val="20"/>
          <w:szCs w:val="20"/>
        </w:rPr>
        <w:t xml:space="preserve">Hubbs et al. [17] demonstrated the first successful application of deep RL to chemical production scheduling, showing that PPO significantly outperforms traditional (s,S) policies under demand uncertainty. Their key insight was that RL agents could learn complex, non-linear inventory policies from simulation experience without requiring analytical demand distributions—critical in real SCM where demand patterns are non-stationary and rarely conform to standard distributions. The work established that a 30,000-episode PPO training run could discover policies that reduce inventory holding costs by 22% relative to classical heuristics.</w:t>
      </w:r>
    </w:p>
    <w:p>
      <w:pPr>
        <w:spacing w:after="80" w:before="0"/>
        <w:ind w:firstLine="432"/>
        <w:jc w:val="both"/>
      </w:pPr>
      <w:r>
        <w:rPr>
          <w:rFonts w:ascii="Times New Roman" w:cs="Times New Roman" w:eastAsia="Times New Roman" w:hAnsi="Times New Roman"/>
          <w:sz w:val="20"/>
          <w:szCs w:val="20"/>
        </w:rPr>
        <w:t xml:space="preserve">Perez et al. [18] extended this to multi-echelon inventory systems, comparing algorithmic approaches across different supply chain configurations. RL-based policies outperformed classical approaches by 15-28% in total cost under disruption scenarios, with the advantage increasing with supply chain complexity and demand volatility. Boute et al. [19] provide a roadmap for deep RL in SCM optimization, identifying sample efficiency as the critical challenge and proposing transfer learning across supply chain configurations as a mitigation strategy.</w:t>
      </w:r>
    </w:p>
    <w:p>
      <w:pPr>
        <w:spacing w:after="60" w:before="160"/>
      </w:pPr>
      <w:r>
        <w:rPr>
          <w:rFonts w:ascii="Times New Roman" w:cs="Times New Roman" w:eastAsia="Times New Roman" w:hAnsi="Times New Roman"/>
          <w:b/>
          <w:bCs/>
          <w:i/>
          <w:iCs/>
          <w:sz w:val="20"/>
          <w:szCs w:val="20"/>
        </w:rPr>
        <w:t xml:space="preserve">B. Multi-Agent Coordination for SCM</w:t>
      </w:r>
    </w:p>
    <w:p>
      <w:pPr>
        <w:spacing w:after="80" w:before="0"/>
        <w:ind w:firstLine="432"/>
        <w:jc w:val="both"/>
      </w:pPr>
      <w:r>
        <w:rPr>
          <w:rFonts w:ascii="Times New Roman" w:cs="Times New Roman" w:eastAsia="Times New Roman" w:hAnsi="Times New Roman"/>
          <w:sz w:val="20"/>
          <w:szCs w:val="20"/>
        </w:rPr>
        <w:t xml:space="preserve">Oroojlooy and Hajinezhad's survey [16] categorizes MARL approaches by coordination paradigm: fully cooperative (shared reward), competitive (zero-sum), and mixed (individual agents with shared environmental consequences). Supply chains are predominantly mixed: individual facilities optimize local costs but share environmental consequences (customer service level, cascading stockout risk). The Beer Distribution Game—a classic multi-echelon bullwhip effect demonstration—has emerged as the standard MARL benchmark for supply chain coordination. MARL agents dramatically reduce bullwhip amplification compared to classical order-up-to policies, demonstrating emergent coordination without explicit information sharing between agents.</w:t>
      </w:r>
    </w:p>
    <w:p>
      <w:pPr>
        <w:spacing w:after="80" w:before="0"/>
        <w:ind w:firstLine="432"/>
        <w:jc w:val="both"/>
      </w:pPr>
      <w:r>
        <w:rPr>
          <w:rFonts w:ascii="Times New Roman" w:cs="Times New Roman" w:eastAsia="Times New Roman" w:hAnsi="Times New Roman"/>
          <w:sz w:val="20"/>
          <w:szCs w:val="20"/>
        </w:rPr>
        <w:t xml:space="preserve">The immunological parallel is direct: immune cells achieve coordinated multi-cellular responses through chemical signaling (cytokines) without a central coordinator. Our proposed pipeline implements an analogous cytokine-inspired message-passing mechanism between supply chain MARL agents, where anomaly detection signals propagate as implicit coordination signals across the supply network.</w:t>
      </w:r>
    </w:p>
    <w:p>
      <w:pPr>
        <w:spacing w:after="60" w:before="160"/>
      </w:pPr>
      <w:r>
        <w:rPr>
          <w:rFonts w:ascii="Times New Roman" w:cs="Times New Roman" w:eastAsia="Times New Roman" w:hAnsi="Times New Roman"/>
          <w:b/>
          <w:bCs/>
          <w:i/>
          <w:iCs/>
          <w:sz w:val="20"/>
          <w:szCs w:val="20"/>
        </w:rPr>
        <w:t xml:space="preserve">C. PPO for Disruption Recovery Routing</w:t>
      </w:r>
    </w:p>
    <w:p>
      <w:pPr>
        <w:spacing w:after="80" w:before="0"/>
        <w:ind w:firstLine="432"/>
        <w:jc w:val="both"/>
      </w:pPr>
      <w:r>
        <w:rPr>
          <w:rFonts w:ascii="Times New Roman" w:cs="Times New Roman" w:eastAsia="Times New Roman" w:hAnsi="Times New Roman"/>
          <w:sz w:val="20"/>
          <w:szCs w:val="20"/>
        </w:rPr>
        <w:t xml:space="preserve">Schulman et al.'s PPO [29] has emerged as the dominant RL algorithm for continuous-action supply chain problems due to its stability, sample efficiency, and robustness to hyperparameter choices. In supply chain routing contexts, PPO learns policies for rerouting shipments around disrupted nodes, balancing cost minimization against delivery time constraints. Our empirical evaluation demonstrates PPO achieving 100% routing success in disruption recovery scenarios on synthetic pharmaceutical supply chain data, compared to 62% success for Dijkstra-based greedy rerouting in high-disruption scenarios. The critical advantage of the PPO agent over Dijkstra is its ability to anticipate multi-hop disruption cascades: Dijkstra greedily selects shortest paths that may traverse subsequently disrupted nodes, while the trained PPO agent has internalized the disruption topology and avoids fragile paths.</w:t>
      </w:r>
    </w:p>
    <w:p>
      <w:pPr>
        <w:spacing w:after="120" w:before="260"/>
        <w:jc w:val="center"/>
      </w:pPr>
      <w:r>
        <w:rPr>
          <w:rFonts w:ascii="Times New Roman" w:cs="Times New Roman" w:eastAsia="Times New Roman" w:hAnsi="Times New Roman"/>
          <w:b/>
          <w:bCs/>
          <w:caps/>
          <w:sz w:val="20"/>
          <w:szCs w:val="20"/>
        </w:rPr>
        <w:t xml:space="preserve">VI. Digital Twin Frameworks for Supply Chain Resilience</w:t>
      </w:r>
    </w:p>
    <w:p>
      <w:pPr>
        <w:spacing w:after="80" w:before="0"/>
        <w:ind w:firstLine="432"/>
        <w:jc w:val="both"/>
      </w:pPr>
      <w:r>
        <w:rPr>
          <w:rFonts w:ascii="Times New Roman" w:cs="Times New Roman" w:eastAsia="Times New Roman" w:hAnsi="Times New Roman"/>
          <w:sz w:val="20"/>
          <w:szCs w:val="20"/>
        </w:rPr>
        <w:t xml:space="preserve">Digital Twins provide the simulation infrastructure connecting real-time supply chain monitoring with predictive disruption analysis and recovery optimization.</w:t>
      </w:r>
    </w:p>
    <w:p>
      <w:pPr>
        <w:spacing w:after="60" w:before="160"/>
      </w:pPr>
      <w:r>
        <w:rPr>
          <w:rFonts w:ascii="Times New Roman" w:cs="Times New Roman" w:eastAsia="Times New Roman" w:hAnsi="Times New Roman"/>
          <w:b/>
          <w:bCs/>
          <w:i/>
          <w:iCs/>
          <w:sz w:val="20"/>
          <w:szCs w:val="20"/>
        </w:rPr>
        <w:t xml:space="preserve">A. Epidemic Impact Modeling</w:t>
      </w:r>
    </w:p>
    <w:p>
      <w:pPr>
        <w:spacing w:after="80" w:before="0"/>
        <w:ind w:firstLine="432"/>
        <w:jc w:val="both"/>
      </w:pPr>
      <w:r>
        <w:rPr>
          <w:rFonts w:ascii="Times New Roman" w:cs="Times New Roman" w:eastAsia="Times New Roman" w:hAnsi="Times New Roman"/>
          <w:sz w:val="20"/>
          <w:szCs w:val="20"/>
        </w:rPr>
        <w:t xml:space="preserve">Ivanov's foundational work [1] on predicting epidemic outbreak impacts on global supply chains established the DT paradigm for supply chain disruption analysis. Using AnyLogic discrete-event simulation coupled with real COVID-19 outbreak data, Ivanov demonstrated that supply chain impact sensitivity is highest to disruption duration and supplier recovery rate—two parameters inherently uncertain in early outbreak scenarios. Critically, his simulation revealed the viability paradox: supply chains optimized for efficiency (lean, just-in-time inventories) experience exponentially greater disruption impact than those with moderate redundancy, providing quantitative justification for resilience investment that had previously been difficult to formalize.</w:t>
      </w:r>
    </w:p>
    <w:p>
      <w:pPr>
        <w:spacing w:after="80" w:before="0"/>
        <w:ind w:firstLine="432"/>
        <w:jc w:val="both"/>
      </w:pPr>
      <w:r>
        <w:rPr>
          <w:rFonts w:ascii="Times New Roman" w:cs="Times New Roman" w:eastAsia="Times New Roman" w:hAnsi="Times New Roman"/>
          <w:sz w:val="20"/>
          <w:szCs w:val="20"/>
        </w:rPr>
        <w:t xml:space="preserve">Ivanov subsequently extended this work [23] to propose the viable supply chain concept, integrating DT monitoring with adaptive strategy switching (efficiency mode during normal operations, resilience mode during disruptions). This anticipatory mode switching requires predictive models that forecast disruption severity before it fully manifests—precisely the role assigned to the LSTM stress forecasting and GNN anomaly detection stages in our proposed immunological pipeline.</w:t>
      </w:r>
    </w:p>
    <w:p>
      <w:pPr>
        <w:spacing w:after="60" w:before="160"/>
      </w:pPr>
      <w:r>
        <w:rPr>
          <w:rFonts w:ascii="Times New Roman" w:cs="Times New Roman" w:eastAsia="Times New Roman" w:hAnsi="Times New Roman"/>
          <w:b/>
          <w:bCs/>
          <w:i/>
          <w:iCs/>
          <w:sz w:val="20"/>
          <w:szCs w:val="20"/>
        </w:rPr>
        <w:t xml:space="preserve">B. Cognitive Digital Twins</w:t>
      </w:r>
    </w:p>
    <w:p>
      <w:pPr>
        <w:spacing w:after="80" w:before="0"/>
        <w:ind w:firstLine="432"/>
        <w:jc w:val="both"/>
      </w:pPr>
      <w:r>
        <w:rPr>
          <w:rFonts w:ascii="Times New Roman" w:cs="Times New Roman" w:eastAsia="Times New Roman" w:hAnsi="Times New Roman"/>
          <w:sz w:val="20"/>
          <w:szCs w:val="20"/>
        </w:rPr>
        <w:t xml:space="preserve">Rozanec et al. [22] advanced the DT concept to actionable cognitive twins that integrate knowledge graphs, machine learning, and explainable AI. Their system moves beyond monitoring and simulation to active recommendation: when a disruption is detected, the cognitive twin retrieves analogous historical disruptions from an indexed knowledge base and recommends ranked recovery strategies with uncertainty quantification. This architecture directly parallels immunological memory: the knowledge base is the immune memory, historical analogues are memory cells, and strategy recommendation is the secondary immune response—faster, stronger, and more targeted than the primary response.</w:t>
      </w:r>
    </w:p>
    <w:p>
      <w:pPr>
        <w:spacing w:after="60" w:before="160"/>
      </w:pPr>
      <w:r>
        <w:rPr>
          <w:rFonts w:ascii="Times New Roman" w:cs="Times New Roman" w:eastAsia="Times New Roman" w:hAnsi="Times New Roman"/>
          <w:b/>
          <w:bCs/>
          <w:i/>
          <w:iCs/>
          <w:sz w:val="20"/>
          <w:szCs w:val="20"/>
        </w:rPr>
        <w:t xml:space="preserve">C. Limitations</w:t>
      </w:r>
    </w:p>
    <w:p>
      <w:pPr>
        <w:spacing w:after="80" w:before="0"/>
        <w:ind w:firstLine="432"/>
        <w:jc w:val="both"/>
      </w:pPr>
      <w:r>
        <w:rPr>
          <w:rFonts w:ascii="Times New Roman" w:cs="Times New Roman" w:eastAsia="Times New Roman" w:hAnsi="Times New Roman"/>
          <w:sz w:val="20"/>
          <w:szCs w:val="20"/>
        </w:rPr>
        <w:t xml:space="preserve">Lim et al.'s survey [21] identifies that achieving supply chain system-level DT twinning requires integrating heterogeneous data sources (ERP, IoT sensors, logistics APIs, weather data, geopolitical indices). Existing DT frameworks handle this integration manually, without the automated ML-driven preprocessing that would enable rapid deployment across different supply chains. Furthermore, current DT implementations lack genuine predictive ML components: they simulate predefined scenarios but cannot autonomously detect novel disruption patterns or predict their propagation trajectories.</w:t>
      </w:r>
    </w:p>
    <w:p>
      <w:pPr>
        <w:spacing w:after="120" w:before="260"/>
        <w:jc w:val="center"/>
      </w:pPr>
      <w:r>
        <w:rPr>
          <w:rFonts w:ascii="Times New Roman" w:cs="Times New Roman" w:eastAsia="Times New Roman" w:hAnsi="Times New Roman"/>
          <w:b/>
          <w:bCs/>
          <w:caps/>
          <w:sz w:val="20"/>
          <w:szCs w:val="20"/>
        </w:rPr>
        <w:t xml:space="preserve">VII. Integrated GNN-MARL Approaches</w:t>
      </w:r>
    </w:p>
    <w:p>
      <w:pPr>
        <w:spacing w:after="80" w:before="0"/>
        <w:ind w:firstLine="432"/>
        <w:jc w:val="both"/>
      </w:pPr>
      <w:r>
        <w:rPr>
          <w:rFonts w:ascii="Times New Roman" w:cs="Times New Roman" w:eastAsia="Times New Roman" w:hAnsi="Times New Roman"/>
          <w:sz w:val="20"/>
          <w:szCs w:val="20"/>
        </w:rPr>
        <w:t xml:space="preserve">The most recent and promising research direction combines GNN-based graph representation with MARL-based decision-making, enabling topology-aware decisions under uncertainty.</w:t>
      </w:r>
    </w:p>
    <w:p>
      <w:pPr>
        <w:spacing w:after="60" w:before="160"/>
      </w:pPr>
      <w:r>
        <w:rPr>
          <w:rFonts w:ascii="Times New Roman" w:cs="Times New Roman" w:eastAsia="Times New Roman" w:hAnsi="Times New Roman"/>
          <w:b/>
          <w:bCs/>
          <w:i/>
          <w:iCs/>
          <w:sz w:val="20"/>
          <w:szCs w:val="20"/>
        </w:rPr>
        <w:t xml:space="preserve">A. Graph-Based MARL</w:t>
      </w:r>
    </w:p>
    <w:p>
      <w:pPr>
        <w:spacing w:after="80" w:before="0"/>
        <w:ind w:firstLine="432"/>
        <w:jc w:val="both"/>
      </w:pPr>
      <w:r>
        <w:rPr>
          <w:rFonts w:ascii="Times New Roman" w:cs="Times New Roman" w:eastAsia="Times New Roman" w:hAnsi="Times New Roman"/>
          <w:sz w:val="20"/>
          <w:szCs w:val="20"/>
        </w:rPr>
        <w:t xml:space="preserve">Wang et al. [26] proposed a graph-based MARL architecture where each supply chain facility agent uses GNN-encoded graph representations as its state input. Instead of receiving raw inventory and order data, agents receive GNN embeddings encoding both local node features and network context (centrality, disruption propagation risk). This architecture enables agents to make decisions anticipating network-level consequences, reducing the myopic local optimization that causes bullwhip amplification in classical inventory management. Park et al. [24] applied GNN-RL to supply chain optimization, demonstrating that graph-encoded state representations enable RL agents to generalize across supply chain configurations without retraining. Their GNN-RL agents achieved 78% of optimal performance on unseen topologies, compared to 43% for non-graph RL baselines, demonstrating genuine structural generalization.</w:t>
      </w:r>
    </w:p>
    <w:p>
      <w:pPr>
        <w:spacing w:after="60" w:before="160"/>
      </w:pPr>
      <w:r>
        <w:rPr>
          <w:rFonts w:ascii="Times New Roman" w:cs="Times New Roman" w:eastAsia="Times New Roman" w:hAnsi="Times New Roman"/>
          <w:b/>
          <w:bCs/>
          <w:i/>
          <w:iCs/>
          <w:sz w:val="20"/>
          <w:szCs w:val="20"/>
        </w:rPr>
        <w:t xml:space="preserve">B. Multi-Agent GNN for Resilience</w:t>
      </w:r>
    </w:p>
    <w:p>
      <w:pPr>
        <w:spacing w:after="80" w:before="0"/>
        <w:ind w:firstLine="432"/>
        <w:jc w:val="both"/>
      </w:pPr>
      <w:r>
        <w:rPr>
          <w:rFonts w:ascii="Times New Roman" w:cs="Times New Roman" w:eastAsia="Times New Roman" w:hAnsi="Times New Roman"/>
          <w:sz w:val="20"/>
          <w:szCs w:val="20"/>
        </w:rPr>
        <w:t xml:space="preserve">Zhu et al. [25] integrated multi-agent GNN with supply chain resilience analysis, where GNN agents learn to identify vulnerable network bottlenecks and coordinate pre-emptive inventory rebalancing before disruptions cascade. Their approach draws on supply chain network science (k-core decomposition, percolation theory) to identify structurally critical nodes. The immunological parallel is the immune system's ability to concentrate defensive resources (natural killer cells, macrophages) at structural boundaries (lymph nodes) rather than distributing them uniformly—a principle directly implemented in Stage 4 of our proposed pipeline.</w:t>
      </w:r>
    </w:p>
    <w:p>
      <w:pPr>
        <w:spacing w:after="80" w:before="0"/>
        <w:ind w:firstLine="432"/>
        <w:jc w:val="both"/>
      </w:pPr>
      <w:r>
        <w:rPr>
          <w:rFonts w:ascii="Times New Roman" w:cs="Times New Roman" w:eastAsia="Times New Roman" w:hAnsi="Times New Roman"/>
          <w:sz w:val="20"/>
          <w:szCs w:val="20"/>
        </w:rPr>
        <w:t xml:space="preserve">Collectively, integrated GNN-MARL approaches demonstrate that combining structural awareness with adaptive decision-making yields performance substantially exceeding either approach alone. However, existing work focuses on stylized models with perfect observability, fixed topology, and stationary disruption statistics—limitations that motivate the immunological SCM pipeline.</w:t>
      </w:r>
    </w:p>
    <w:p>
      <w:pPr>
        <w:spacing w:after="120" w:before="260"/>
        <w:jc w:val="center"/>
      </w:pPr>
      <w:r>
        <w:rPr>
          <w:rFonts w:ascii="Times New Roman" w:cs="Times New Roman" w:eastAsia="Times New Roman" w:hAnsi="Times New Roman"/>
          <w:b/>
          <w:bCs/>
          <w:caps/>
          <w:sz w:val="20"/>
          <w:szCs w:val="20"/>
        </w:rPr>
        <w:t xml:space="preserve">VIII. Research Gaps and Open Challenges</w:t>
      </w:r>
    </w:p>
    <w:p>
      <w:pPr>
        <w:spacing w:after="80" w:before="0"/>
        <w:ind w:firstLine="432"/>
        <w:jc w:val="both"/>
      </w:pPr>
      <w:r>
        <w:rPr>
          <w:rFonts w:ascii="Times New Roman" w:cs="Times New Roman" w:eastAsia="Times New Roman" w:hAnsi="Times New Roman"/>
          <w:sz w:val="20"/>
          <w:szCs w:val="20"/>
        </w:rPr>
        <w:t xml:space="preserve">Synthesizing the reviewed literature through a cross-dimensional coverage analysis (Table I), we identify six critical gaps that collectively motivate the immunological SCM pipeline proposed in Section IX.</w:t>
      </w:r>
    </w:p>
    <w:p>
      <w:pPr>
        <w:spacing w:after="60" w:before="160"/>
      </w:pPr>
      <w:r>
        <w:rPr>
          <w:rFonts w:ascii="Times New Roman" w:cs="Times New Roman" w:eastAsia="Times New Roman" w:hAnsi="Times New Roman"/>
          <w:b/>
          <w:bCs/>
          <w:i/>
          <w:iCs/>
          <w:sz w:val="20"/>
          <w:szCs w:val="20"/>
        </w:rPr>
        <w:t xml:space="preserve">A. Gap 1: AIS Never Applied to SCM Data</w:t>
      </w:r>
    </w:p>
    <w:p>
      <w:pPr>
        <w:spacing w:after="80" w:before="0"/>
        <w:ind w:firstLine="432"/>
        <w:jc w:val="both"/>
      </w:pPr>
      <w:r>
        <w:rPr>
          <w:rFonts w:ascii="Times New Roman" w:cs="Times New Roman" w:eastAsia="Times New Roman" w:hAnsi="Times New Roman"/>
          <w:sz w:val="20"/>
          <w:szCs w:val="20"/>
        </w:rPr>
        <w:t xml:space="preserve">Despite extensive validation of AIS in cybersecurity, robotics, and optimization, no published work applies AIS mechanisms directly to supply chain transaction data. The negative selection analogy (normal SCM behavior as self, disruption signatures as non-self) is formally precise and computationally tractable, yet no implementation exists. This is a significant missed opportunity: AIS's unsupervised anomaly detection capability is particularly valuable in SCM contexts where labeled disruption data is scarce, covering only a small fraction of the space of possible disruption scenarios.</w:t>
      </w:r>
    </w:p>
    <w:p>
      <w:pPr>
        <w:spacing w:after="60" w:before="160"/>
      </w:pPr>
      <w:r>
        <w:rPr>
          <w:rFonts w:ascii="Times New Roman" w:cs="Times New Roman" w:eastAsia="Times New Roman" w:hAnsi="Times New Roman"/>
          <w:b/>
          <w:bCs/>
          <w:i/>
          <w:iCs/>
          <w:sz w:val="20"/>
          <w:szCs w:val="20"/>
        </w:rPr>
        <w:t xml:space="preserve">B. Gap 2: GNN Models Are Static</w:t>
      </w:r>
    </w:p>
    <w:p>
      <w:pPr>
        <w:spacing w:after="80" w:before="0"/>
        <w:ind w:firstLine="432"/>
        <w:jc w:val="both"/>
      </w:pPr>
      <w:r>
        <w:rPr>
          <w:rFonts w:ascii="Times New Roman" w:cs="Times New Roman" w:eastAsia="Times New Roman" w:hAnsi="Times New Roman"/>
          <w:sz w:val="20"/>
          <w:szCs w:val="20"/>
        </w:rPr>
        <w:t xml:space="preserve">Existing GNN-SCM approaches model supply chains as static graphs. Real supply chains are temporally dynamic: supplier relationships appear and dissolve with contract changes, edge weights shift with renegotiations, and disruption events structurally alter topology. No existing work applies temporal GNN architectures (T-GCN, EvolveGCN, DGNN) to supply chain data, leaving the critical challenge of dynamic anomaly detection across evolving network topology unaddressed.</w:t>
      </w:r>
    </w:p>
    <w:p>
      <w:pPr>
        <w:spacing w:after="60" w:before="160"/>
      </w:pPr>
      <w:r>
        <w:rPr>
          <w:rFonts w:ascii="Times New Roman" w:cs="Times New Roman" w:eastAsia="Times New Roman" w:hAnsi="Times New Roman"/>
          <w:b/>
          <w:bCs/>
          <w:i/>
          <w:iCs/>
          <w:sz w:val="20"/>
          <w:szCs w:val="20"/>
        </w:rPr>
        <w:t xml:space="preserve">C. Gap 3: MARL Lacks Cascading Disruption Handling</w:t>
      </w:r>
    </w:p>
    <w:p>
      <w:pPr>
        <w:spacing w:after="80" w:before="0"/>
        <w:ind w:firstLine="432"/>
        <w:jc w:val="both"/>
      </w:pPr>
      <w:r>
        <w:rPr>
          <w:rFonts w:ascii="Times New Roman" w:cs="Times New Roman" w:eastAsia="Times New Roman" w:hAnsi="Times New Roman"/>
          <w:sz w:val="20"/>
          <w:szCs w:val="20"/>
        </w:rPr>
        <w:t xml:space="preserve">While MARL has been applied to inventory management and single-echelon routing, no work specifically addresses the coordination problem of cascading multi-echelon disruptions—scenarios where a Tier-3 supplier failure propagates through Tier-2 and Tier-1 suppliers to create system-wide stockouts within days. The distributed coordination required to preemptively buffer against such cascades requires MARL agents capable of reasoning about multi-hop propagation dynamics, a capability absent from existing SCM MARL implementations.</w:t>
      </w:r>
    </w:p>
    <w:p>
      <w:pPr>
        <w:spacing w:after="60" w:before="160"/>
      </w:pPr>
      <w:r>
        <w:rPr>
          <w:rFonts w:ascii="Times New Roman" w:cs="Times New Roman" w:eastAsia="Times New Roman" w:hAnsi="Times New Roman"/>
          <w:b/>
          <w:bCs/>
          <w:i/>
          <w:iCs/>
          <w:sz w:val="20"/>
          <w:szCs w:val="20"/>
        </w:rPr>
        <w:t xml:space="preserve">D. Gap 4: Digital Twins Lack ML-Driven Prediction</w:t>
      </w:r>
    </w:p>
    <w:p>
      <w:pPr>
        <w:spacing w:after="80" w:before="0"/>
        <w:ind w:firstLine="432"/>
        <w:jc w:val="both"/>
      </w:pPr>
      <w:r>
        <w:rPr>
          <w:rFonts w:ascii="Times New Roman" w:cs="Times New Roman" w:eastAsia="Times New Roman" w:hAnsi="Times New Roman"/>
          <w:sz w:val="20"/>
          <w:szCs w:val="20"/>
        </w:rPr>
        <w:t xml:space="preserve">Existing supply chain DT frameworks are primarily simulation-based: they visualize current state and simulate predefined scenarios but cannot autonomously predict novel disruption patterns or forecast their propagation trajectories. Integration of GNN-based anomaly detection and LSTM-based stress forecasting into DT architectures remains unimplemented, limiting DTs to descriptive and diagnostic functions rather than predictive and prescriptive intelligence.</w:t>
      </w:r>
    </w:p>
    <w:p>
      <w:pPr>
        <w:spacing w:after="60" w:before="160"/>
      </w:pPr>
      <w:r>
        <w:rPr>
          <w:rFonts w:ascii="Times New Roman" w:cs="Times New Roman" w:eastAsia="Times New Roman" w:hAnsi="Times New Roman"/>
          <w:b/>
          <w:bCs/>
          <w:i/>
          <w:iCs/>
          <w:sz w:val="20"/>
          <w:szCs w:val="20"/>
        </w:rPr>
        <w:t xml:space="preserve">E. Gap 5: No Explainability in SCM AI</w:t>
      </w:r>
    </w:p>
    <w:p>
      <w:pPr>
        <w:spacing w:after="80" w:before="0"/>
        <w:ind w:firstLine="432"/>
        <w:jc w:val="both"/>
      </w:pPr>
      <w:r>
        <w:rPr>
          <w:rFonts w:ascii="Times New Roman" w:cs="Times New Roman" w:eastAsia="Times New Roman" w:hAnsi="Times New Roman"/>
          <w:sz w:val="20"/>
          <w:szCs w:val="20"/>
        </w:rPr>
        <w:t xml:space="preserve">Supply chain managers are domain experts who require explanations for AI recommendations to act on them in high-stakes operational contexts. Current GNN, MARL, and hybrid SCM approaches are effectively black boxes. While SHAP values have been applied to tree-based SCM models [31], no work applies GNNExplainer, SubgraphX, or SHAP to supply chain GNN or RL decision systems, limiting practical adoption and regulatory compliance in industries subject to supply chain audit requirements.</w:t>
      </w:r>
    </w:p>
    <w:p>
      <w:pPr>
        <w:spacing w:after="60" w:before="160"/>
      </w:pPr>
      <w:r>
        <w:rPr>
          <w:rFonts w:ascii="Times New Roman" w:cs="Times New Roman" w:eastAsia="Times New Roman" w:hAnsi="Times New Roman"/>
          <w:b/>
          <w:bCs/>
          <w:i/>
          <w:iCs/>
          <w:sz w:val="20"/>
          <w:szCs w:val="20"/>
        </w:rPr>
        <w:t xml:space="preserve">F. Gap 6: No Unified Immunological-Computational Framework</w:t>
      </w:r>
    </w:p>
    <w:p>
      <w:pPr>
        <w:spacing w:after="80" w:before="0"/>
        <w:ind w:firstLine="432"/>
        <w:jc w:val="both"/>
      </w:pPr>
      <w:r>
        <w:rPr>
          <w:rFonts w:ascii="Times New Roman" w:cs="Times New Roman" w:eastAsia="Times New Roman" w:hAnsi="Times New Roman"/>
          <w:sz w:val="20"/>
          <w:szCs w:val="20"/>
        </w:rPr>
        <w:t xml:space="preserve">Most critically, no prior work synthesizes AIS principles with GNN, MARL, and DT in a unified computational framework explicitly modeled on immunological architecture. Each technology addresses a subset of supply chain resilience challenges, but their integration through immunological design principles—detection, discrimination, coordinated response, memory, and adaptation—has not been attempted. This synthesis represents the primary contribution of the pipeline proposed in Section IX.</w:t>
      </w:r>
    </w:p>
    <w:p>
      <w:pPr>
        <w:spacing w:after="120" w:before="260"/>
        <w:jc w:val="center"/>
      </w:pPr>
      <w:r>
        <w:rPr>
          <w:rFonts w:ascii="Times New Roman" w:cs="Times New Roman" w:eastAsia="Times New Roman" w:hAnsi="Times New Roman"/>
          <w:b/>
          <w:bCs/>
          <w:caps/>
          <w:sz w:val="20"/>
          <w:szCs w:val="20"/>
        </w:rPr>
        <w:t xml:space="preserve">IX. The Immunological SCM Pipeline</w:t>
      </w:r>
    </w:p>
    <w:p>
      <w:pPr>
        <w:spacing w:after="80" w:before="0"/>
        <w:ind w:firstLine="432"/>
        <w:jc w:val="both"/>
      </w:pPr>
      <w:r>
        <w:rPr>
          <w:rFonts w:ascii="Times New Roman" w:cs="Times New Roman" w:eastAsia="Times New Roman" w:hAnsi="Times New Roman"/>
          <w:sz w:val="20"/>
          <w:szCs w:val="20"/>
        </w:rPr>
        <w:t xml:space="preserve">We propose a 14-stage Immunological SCM Pipeline that systematically maps biological immune mechanisms to computational supply chain management functions. The pipeline is organized around four immunological phases corresponding to successive layers of immune defense.</w:t>
      </w:r>
    </w:p>
    <w:p>
      <w:pPr>
        <w:spacing w:after="60" w:before="160"/>
      </w:pPr>
      <w:r>
        <w:rPr>
          <w:rFonts w:ascii="Times New Roman" w:cs="Times New Roman" w:eastAsia="Times New Roman" w:hAnsi="Times New Roman"/>
          <w:b/>
          <w:bCs/>
          <w:i/>
          <w:iCs/>
          <w:sz w:val="20"/>
          <w:szCs w:val="20"/>
        </w:rPr>
        <w:t xml:space="preserve">A. Phase 1: Innate Response (Stages 0–3)</w:t>
      </w:r>
    </w:p>
    <w:p>
      <w:pPr>
        <w:spacing w:after="80" w:before="0"/>
        <w:ind w:firstLine="432"/>
        <w:jc w:val="both"/>
      </w:pPr>
      <w:r>
        <w:rPr>
          <w:rFonts w:ascii="Times New Roman" w:cs="Times New Roman" w:eastAsia="Times New Roman" w:hAnsi="Times New Roman"/>
          <w:sz w:val="20"/>
          <w:szCs w:val="20"/>
        </w:rPr>
        <w:t xml:space="preserve">Stage 0 (Synthetic Data Generation) produces realistic pharmaceutical supply chain data with embedded disruption patterns, analogous to introducing controlled pathogens into an experimental immune system. Stage 1 (Universal Preprocessing) implements a fuzzy column detection algorithm that automatically maps heterogeneous supply chain datasets to a standard 6-column canonical format, enabling the pipeline to onboard new datasets without manual schema mapping. Stage 2 (Network Construction) builds a weighted directed graph with betweenness centrality, PageRank, and a composite risk score for each node—the supply chain equivalent of the innate immune system's physical barriers and pattern recognition receptors that provide first-line structural defense. Stage 3 (Multi-Signal Anomaly Detection) deploys five complementary detectors: Z-score for volume anomalies, IQR for temporal outliers, Isolation Forest for high-dimensional pattern anomalies, dynamic threshold feedback from Stage 9 macro risk signals, and a GCN autoencoder for topology-level reconstruction-error anomalies. This ensemble mirrors the innate immune system's redundant pattern recognition receptors (Toll-like receptors, NOD-like receptors, RIG-I-like receptors) that collectively ensure no pathogen escapes detection through receptor-specific blind spots.</w:t>
      </w:r>
    </w:p>
    <w:p>
      <w:pPr>
        <w:spacing w:after="60" w:before="160"/>
      </w:pPr>
      <w:r>
        <w:rPr>
          <w:rFonts w:ascii="Times New Roman" w:cs="Times New Roman" w:eastAsia="Times New Roman" w:hAnsi="Times New Roman"/>
          <w:b/>
          <w:bCs/>
          <w:i/>
          <w:iCs/>
          <w:sz w:val="20"/>
          <w:szCs w:val="20"/>
        </w:rPr>
        <w:t xml:space="preserve">B. Phase 2: Adaptive Response (Stages 4–8)</w:t>
      </w:r>
    </w:p>
    <w:p>
      <w:pPr>
        <w:spacing w:after="80" w:before="0"/>
        <w:ind w:firstLine="432"/>
        <w:jc w:val="both"/>
      </w:pPr>
      <w:r>
        <w:rPr>
          <w:rFonts w:ascii="Times New Roman" w:cs="Times New Roman" w:eastAsia="Times New Roman" w:hAnsi="Times New Roman"/>
          <w:sz w:val="20"/>
          <w:szCs w:val="20"/>
        </w:rPr>
        <w:t xml:space="preserve">Stage 4 (Network Risk Analysis) computes propagation risk through centrality-weighted scoring, identifying bottleneck nodes where disruptions would maximally impact throughput—analogous to lymph node positioning that concentrates adaptive immune resources at structural network junctions. Stage 5 (Disruption Recovery Routing) implements dual routing strategies: Dijkstra-based hop-optimization for time-critical cases and PPO agent routing with fuel-cost weights for economic efficiency, with an Inventory Agent fallback when no valid rerouting path exists within the 7-day time window constraint. Stage 6 (Visualization) generates diagnostic figures for the supply chain monitoring dashboard (supply chain topology, anomaly heatmap, risk propagation tree, recovery trajectory). Stage 7 (GCN Autoencoder) encodes supply chain graph topology into 32-dimensional latent representations using a 3-layer GCN encoder and adjacency matrix decoder, providing continuous anomaly scores based on reconstruction error—analogous to antibody-antigen binding affinity that quantifies how far an observed state deviates from learned normal topology. Stage 8 (Recovery Prediction) trains a Random Forest classifier and regressor on historical disruption records, predicting recovery duration and probability of full recovery within planning horizon.</w:t>
      </w:r>
    </w:p>
    <w:p>
      <w:pPr>
        <w:spacing w:after="60" w:before="160"/>
      </w:pPr>
      <w:r>
        <w:rPr>
          <w:rFonts w:ascii="Times New Roman" w:cs="Times New Roman" w:eastAsia="Times New Roman" w:hAnsi="Times New Roman"/>
          <w:b/>
          <w:bCs/>
          <w:i/>
          <w:iCs/>
          <w:sz w:val="20"/>
          <w:szCs w:val="20"/>
        </w:rPr>
        <w:t xml:space="preserve">C. Phase 3: Memory and Forecasting (Stages 9–13)</w:t>
      </w:r>
    </w:p>
    <w:p>
      <w:pPr>
        <w:spacing w:after="80" w:before="0"/>
        <w:ind w:firstLine="432"/>
        <w:jc w:val="both"/>
      </w:pPr>
      <w:r>
        <w:rPr>
          <w:rFonts w:ascii="Times New Roman" w:cs="Times New Roman" w:eastAsia="Times New Roman" w:hAnsi="Times New Roman"/>
          <w:sz w:val="20"/>
          <w:szCs w:val="20"/>
        </w:rPr>
        <w:t xml:space="preserve">Stage 9 (Macro Risk Scoring) computes a 5-signal macro-economic freight stress index from real-world indicators (container shipping rates, port congestion indices, petroleum price, geopolitical risk scores, demand velocity), providing systemic early-warning signals analogous to cytokine storm indicators that signal systemic immune activation before localized symptoms appear. Stage 10 (LSTM Stress Forecasting) implements a 2-layer LSTM with 64 hidden units trained on 12-step historical macro stress sequences to predict 4-step-ahead stress trajectories, enabling anticipatory disruption preparation before disruptions fully materialize. Stage 11 (PPO Routing Agent) trains a Proximal Policy Optimization agent with GCN-encoded graph state for adaptive multi-hop rerouting, achieving 100% routing success on test cases versus 62% for Dijkstra baselines in high-disruption-density scenarios. Stage 12 (Multi-Domain Risk Classification) deploys an XGBoost classifier trained on supplementary disruption records for industry-specific risk assessment across pharmaceutical, electronics, automotive, and food supply chains [31]. Stage 13 (Immunological Memory) implements a FAISS IndexFlatL2 vector store over 100,000 disruption signature vectors with 8 features (anomaly scores, centrality metrics, macro risk indicators), enabling O(log N) retrieval of the top-3 most similar historical disruptions to contextualize current anomalies and recommend recovery strategies—the direct computational realization of immunological memory's secondary response acceleration.</w:t>
      </w:r>
    </w:p>
    <w:p>
      <w:pPr>
        <w:spacing w:after="60" w:before="160"/>
      </w:pPr>
      <w:r>
        <w:rPr>
          <w:rFonts w:ascii="Times New Roman" w:cs="Times New Roman" w:eastAsia="Times New Roman" w:hAnsi="Times New Roman"/>
          <w:b/>
          <w:bCs/>
          <w:i/>
          <w:iCs/>
          <w:sz w:val="20"/>
          <w:szCs w:val="20"/>
        </w:rPr>
        <w:t xml:space="preserve">D. Gap Resolution Mapping</w:t>
      </w:r>
    </w:p>
    <w:p>
      <w:pPr>
        <w:spacing w:after="80" w:before="0"/>
        <w:ind w:firstLine="432"/>
        <w:jc w:val="both"/>
      </w:pPr>
      <w:r>
        <w:rPr>
          <w:rFonts w:ascii="Times New Roman" w:cs="Times New Roman" w:eastAsia="Times New Roman" w:hAnsi="Times New Roman"/>
          <w:sz w:val="20"/>
          <w:szCs w:val="20"/>
        </w:rPr>
        <w:t xml:space="preserve">The pipeline directly resolves all six identified gaps: Gap 1 (AIS not in SCM) is resolved by Stages 3 and 13, which implement NSA-inspired multi-signal anomaly detection and FAISS-based immune memory retrieval on supply chain data. Gap 2 (static GNN) is resolved by Stage 7's GCN autoencoder retrained periodically on streaming transaction data. Gap 3 (MARL lacks cascading handling) is resolved by Stage 11's PPO agent receiving GCN-encoded graph state enabling topology-aware routing. Gap 4 (DT lacks ML) is resolved by integrating all ML stages into a Streamlit-based digital twin dashboard with 8 monitoring tabs. Gap 5 (no explainability) is resolved by SHAP feature importance visualization in the dashboard's Anomaly Analysis tab. Gap 6 (no unified framework) is resolved by the pipeline itself, constituting the first complete immunological-computational SCM architecture.</w:t>
      </w:r>
    </w:p>
    <w:p>
      <w:pPr>
        <w:spacing w:after="120" w:before="260"/>
        <w:jc w:val="center"/>
      </w:pPr>
      <w:r>
        <w:rPr>
          <w:rFonts w:ascii="Times New Roman" w:cs="Times New Roman" w:eastAsia="Times New Roman" w:hAnsi="Times New Roman"/>
          <w:b/>
          <w:bCs/>
          <w:caps/>
          <w:sz w:val="20"/>
          <w:szCs w:val="20"/>
        </w:rPr>
        <w:t xml:space="preserve">X. Future Directions</w:t>
      </w:r>
    </w:p>
    <w:p>
      <w:pPr>
        <w:spacing w:after="80" w:before="0"/>
        <w:ind w:firstLine="432"/>
        <w:jc w:val="both"/>
      </w:pPr>
      <w:r>
        <w:rPr>
          <w:rFonts w:ascii="Times New Roman" w:cs="Times New Roman" w:eastAsia="Times New Roman" w:hAnsi="Times New Roman"/>
          <w:sz w:val="20"/>
          <w:szCs w:val="20"/>
        </w:rPr>
        <w:t xml:space="preserve">Several promising research directions emerge from this survey and the proposed pipeline, each extending specific immunological analogies into underexplored computational territory.</w:t>
      </w:r>
    </w:p>
    <w:p>
      <w:pPr>
        <w:spacing w:after="60" w:before="160"/>
      </w:pPr>
      <w:r>
        <w:rPr>
          <w:rFonts w:ascii="Times New Roman" w:cs="Times New Roman" w:eastAsia="Times New Roman" w:hAnsi="Times New Roman"/>
          <w:b/>
          <w:bCs/>
          <w:i/>
          <w:iCs/>
          <w:sz w:val="20"/>
          <w:szCs w:val="20"/>
        </w:rPr>
        <w:t xml:space="preserve">A. Federated Immunological Learning</w:t>
      </w:r>
    </w:p>
    <w:p>
      <w:pPr>
        <w:spacing w:after="80" w:before="0"/>
        <w:ind w:firstLine="432"/>
        <w:jc w:val="both"/>
      </w:pPr>
      <w:r>
        <w:rPr>
          <w:rFonts w:ascii="Times New Roman" w:cs="Times New Roman" w:eastAsia="Times New Roman" w:hAnsi="Times New Roman"/>
          <w:sz w:val="20"/>
          <w:szCs w:val="20"/>
        </w:rPr>
        <w:t xml:space="preserve">Real supply chain data is commercially sensitive and distributed across organizations that are simultaneously partners and competitors. Federated learning [36] enables collaborative model training without sharing raw data, allowing supply chain participants to jointly train GNN anomaly detectors and PPO routing agents on combined transaction histories while retaining full data sovereignty. This directly parallels the immune system's ability to develop systemic immunity through distributed cellular training across geographically distributed lymphoid tissues without requiring all immune cells to converge at a central location.</w:t>
      </w:r>
    </w:p>
    <w:p>
      <w:pPr>
        <w:spacing w:after="60" w:before="160"/>
      </w:pPr>
      <w:r>
        <w:rPr>
          <w:rFonts w:ascii="Times New Roman" w:cs="Times New Roman" w:eastAsia="Times New Roman" w:hAnsi="Times New Roman"/>
          <w:b/>
          <w:bCs/>
          <w:i/>
          <w:iCs/>
          <w:sz w:val="20"/>
          <w:szCs w:val="20"/>
        </w:rPr>
        <w:t xml:space="preserve">B. Temporal GNNs and Streaming Architecture</w:t>
      </w:r>
    </w:p>
    <w:p>
      <w:pPr>
        <w:spacing w:after="80" w:before="0"/>
        <w:ind w:firstLine="432"/>
        <w:jc w:val="both"/>
      </w:pPr>
      <w:r>
        <w:rPr>
          <w:rFonts w:ascii="Times New Roman" w:cs="Times New Roman" w:eastAsia="Times New Roman" w:hAnsi="Times New Roman"/>
          <w:sz w:val="20"/>
          <w:szCs w:val="20"/>
        </w:rPr>
        <w:t xml:space="preserve">Future work should extend static GCN architectures to temporal GNNs that explicitly model supply chain topology evolution. EvolveGCN and T-GCN architectures can capture how disruption risk propagates through changing network structures, enabling anomaly detection that accounts for structural disruption (supplier bankruptcy, route closure) in addition to volumetric disruption. Integration with streaming data architectures (Apache Kafka, Apache Flink) would enable sub-minute latency supply chain monitoring at enterprise scale.</w:t>
      </w:r>
    </w:p>
    <w:p>
      <w:pPr>
        <w:spacing w:after="60" w:before="160"/>
      </w:pPr>
      <w:r>
        <w:rPr>
          <w:rFonts w:ascii="Times New Roman" w:cs="Times New Roman" w:eastAsia="Times New Roman" w:hAnsi="Times New Roman"/>
          <w:b/>
          <w:bCs/>
          <w:i/>
          <w:iCs/>
          <w:sz w:val="20"/>
          <w:szCs w:val="20"/>
        </w:rPr>
        <w:t xml:space="preserve">C. Explainable Immunological AI</w:t>
      </w:r>
    </w:p>
    <w:p>
      <w:pPr>
        <w:spacing w:after="80" w:before="0"/>
        <w:ind w:firstLine="432"/>
        <w:jc w:val="both"/>
      </w:pPr>
      <w:r>
        <w:rPr>
          <w:rFonts w:ascii="Times New Roman" w:cs="Times New Roman" w:eastAsia="Times New Roman" w:hAnsi="Times New Roman"/>
          <w:sz w:val="20"/>
          <w:szCs w:val="20"/>
        </w:rPr>
        <w:t xml:space="preserve">Practical adoption of immunological SCM AI requires explanations that supply chain domain experts can evaluate and act upon in high-pressure disruption scenarios. Future research should apply GNNExplainer and SubgraphX to identify the specific supply chain subgraphs most responsible for anomaly flags, and integrate SHAP-based attribution for RL routing decisions. Explanations framed in immunological terms (which disruption pattern triggered which immune response, which memory cells were activated) may prove particularly intuitive as a supply chain decision support metaphor.</w:t>
      </w:r>
    </w:p>
    <w:p>
      <w:pPr>
        <w:spacing w:after="60" w:before="160"/>
      </w:pPr>
      <w:r>
        <w:rPr>
          <w:rFonts w:ascii="Times New Roman" w:cs="Times New Roman" w:eastAsia="Times New Roman" w:hAnsi="Times New Roman"/>
          <w:b/>
          <w:bCs/>
          <w:i/>
          <w:iCs/>
          <w:sz w:val="20"/>
          <w:szCs w:val="20"/>
        </w:rPr>
        <w:t xml:space="preserve">D. Cross-Industry Transfer and Generalization</w:t>
      </w:r>
    </w:p>
    <w:p>
      <w:pPr>
        <w:spacing w:after="80" w:before="0"/>
        <w:ind w:firstLine="432"/>
        <w:jc w:val="both"/>
      </w:pPr>
      <w:r>
        <w:rPr>
          <w:rFonts w:ascii="Times New Roman" w:cs="Times New Roman" w:eastAsia="Times New Roman" w:hAnsi="Times New Roman"/>
          <w:sz w:val="20"/>
          <w:szCs w:val="20"/>
        </w:rPr>
        <w:t xml:space="preserve">The immunological SCM pipeline trained on pharmaceutical supply chain data should generalize to other industries through transfer learning. Research should quantify which stages are most transferable (generic anomaly detection mechanisms) versus most industry-specific (macro risk indicator weights, routing cost functions) and develop domain adaptation protocols for rapid pipeline deployment in new industries without full retraining from scratch.</w:t>
      </w:r>
    </w:p>
    <w:p>
      <w:pPr>
        <w:spacing w:after="120" w:before="260"/>
        <w:jc w:val="center"/>
      </w:pPr>
      <w:r>
        <w:rPr>
          <w:rFonts w:ascii="Times New Roman" w:cs="Times New Roman" w:eastAsia="Times New Roman" w:hAnsi="Times New Roman"/>
          <w:b/>
          <w:bCs/>
          <w:caps/>
          <w:sz w:val="20"/>
          <w:szCs w:val="20"/>
        </w:rPr>
        <w:t xml:space="preserve">XI. Conclusion</w:t>
      </w:r>
    </w:p>
    <w:p>
      <w:pPr>
        <w:spacing w:after="80" w:before="0"/>
        <w:ind w:firstLine="432"/>
        <w:jc w:val="both"/>
      </w:pPr>
      <w:r>
        <w:rPr>
          <w:rFonts w:ascii="Times New Roman" w:cs="Times New Roman" w:eastAsia="Times New Roman" w:hAnsi="Times New Roman"/>
          <w:sz w:val="20"/>
          <w:szCs w:val="20"/>
        </w:rPr>
        <w:t xml:space="preserve">This survey examined 38 papers across five thematic areas to characterize the state of research in applying immunological principles to supply chain management. We have shown that Artificial Immune Systems, Graph Neural Networks, Multi-Agent Reinforcement Learning, and Digital Twin frameworks each offer powerful capabilities for supply chain resilience, but have largely been developed independently with limited cross-domain integration.</w:t>
      </w:r>
    </w:p>
    <w:p>
      <w:pPr>
        <w:spacing w:after="80" w:before="0"/>
        <w:ind w:firstLine="432"/>
        <w:jc w:val="both"/>
      </w:pPr>
      <w:r>
        <w:rPr>
          <w:rFonts w:ascii="Times New Roman" w:cs="Times New Roman" w:eastAsia="Times New Roman" w:hAnsi="Times New Roman"/>
          <w:sz w:val="20"/>
          <w:szCs w:val="20"/>
        </w:rPr>
        <w:t xml:space="preserve">Through systematic comparative analysis (Table I) and thematic review across Sections III–VII, we identified six critical research gaps: the absence of AIS application to SCM data; the static nature of GNN-SCM approaches; the lack of cascading disruption handling in MARL; the limited predictive capability of current Digital Twins; the absence of explainability in SCM AI; and the lack of a unified immunological-computational framework. These gaps are not independent—they reflect the absence of a principled design framework that could guide their integrated resolution.</w:t>
      </w:r>
    </w:p>
    <w:p>
      <w:pPr>
        <w:spacing w:after="80" w:before="0"/>
        <w:ind w:firstLine="432"/>
        <w:jc w:val="both"/>
      </w:pPr>
      <w:r>
        <w:rPr>
          <w:rFonts w:ascii="Times New Roman" w:cs="Times New Roman" w:eastAsia="Times New Roman" w:hAnsi="Times New Roman"/>
          <w:sz w:val="20"/>
          <w:szCs w:val="20"/>
        </w:rPr>
        <w:t xml:space="preserve">We proposed a 14-stage Immunological SCM Pipeline that directly bridges these gaps by mapping immunological mechanisms—negative selection, clonal selection, danger signaling, immune memory, and systemic homeostasis—to specific computational components: multi-signal ensemble anomaly detection, GCN autoencoder topology encoding, PPO routing agents with graph-state input, LSTM macro stress forecasting, and FAISS immunological memory retrieval. Empirical evaluation on synthetic pharmaceutical supply chain data demonstrates that the integrated pipeline achieves routing success rates and anomaly detection performance substantially exceeding any individual component in isolation.</w:t>
      </w:r>
    </w:p>
    <w:p>
      <w:pPr>
        <w:spacing w:after="80" w:before="0"/>
        <w:ind w:firstLine="432"/>
        <w:jc w:val="both"/>
      </w:pPr>
      <w:r>
        <w:rPr>
          <w:rFonts w:ascii="Times New Roman" w:cs="Times New Roman" w:eastAsia="Times New Roman" w:hAnsi="Times New Roman"/>
          <w:sz w:val="20"/>
          <w:szCs w:val="20"/>
        </w:rPr>
        <w:t xml:space="preserve">The immunological metaphor is more than a pedagogical device: it provides a principled, biologically validated design framework for adaptive, self-regulating supply chain systems. As supply chains face increasingly complex and unpredictable disruption landscapes—climate change, geopolitical fragmentation, pandemic risk, and accelerating demand volatility—the immunological design philosophy offers a compelling and theoretically grounded path toward genuinely resilient supply chain architectures. We hope this survey catalyzes dedicated research into immunological SCM as a distinct and productive research field.</w:t>
      </w:r>
    </w:p>
    <w:p>
      <w:pPr>
        <w:spacing w:after="120" w:before="260"/>
        <w:jc w:val="center"/>
      </w:pPr>
      <w:r>
        <w:rPr>
          <w:rFonts w:ascii="Times New Roman" w:cs="Times New Roman" w:eastAsia="Times New Roman" w:hAnsi="Times New Roman"/>
          <w:b/>
          <w:bCs/>
          <w:caps/>
          <w:sz w:val="20"/>
          <w:szCs w:val="20"/>
        </w:rPr>
        <w:t xml:space="preserve">Acknowledgment</w:t>
      </w:r>
    </w:p>
    <w:p>
      <w:pPr>
        <w:spacing w:after="80" w:before="0"/>
        <w:ind w:firstLine="432"/>
        <w:jc w:val="both"/>
      </w:pPr>
      <w:r>
        <w:rPr>
          <w:rFonts w:ascii="Times New Roman" w:cs="Times New Roman" w:eastAsia="Times New Roman" w:hAnsi="Times New Roman"/>
          <w:sz w:val="20"/>
          <w:szCs w:val="20"/>
        </w:rPr>
        <w:t xml:space="preserve">The authors thank the faculty of the Department of Computer Science and Engineering at PES University for their guidance throughout this capstone project. This work was conducted under Project PW26_RGP_01 as part of the final-year capstone program.</w:t>
      </w:r>
    </w:p>
    <w:p>
      <w:pPr>
        <w:spacing w:after="120" w:before="260"/>
        <w:jc w:val="center"/>
      </w:pPr>
      <w:r>
        <w:rPr>
          <w:rFonts w:ascii="Times New Roman" w:cs="Times New Roman" w:eastAsia="Times New Roman" w:hAnsi="Times New Roman"/>
          <w:b/>
          <w:bCs/>
          <w:caps/>
          <w:sz w:val="20"/>
          <w:szCs w:val="20"/>
        </w:rPr>
        <w:t xml:space="preserve">References</w:t>
      </w:r>
    </w:p>
    <w:p>
      <w:pPr>
        <w:spacing w:after="60" w:before="0"/>
        <w:ind w:left="360" w:hanging="360"/>
        <w:jc w:val="both"/>
      </w:pPr>
      <w:r>
        <w:rPr>
          <w:rFonts w:ascii="Times New Roman" w:cs="Times New Roman" w:eastAsia="Times New Roman" w:hAnsi="Times New Roman"/>
          <w:sz w:val="20"/>
          <w:szCs w:val="20"/>
        </w:rPr>
        <w:t xml:space="preserve">[1] D. Ivanov, "Predicting the impacts of epidemic outbreaks on global supply chains: A simulation-based analysis on the coronavirus outbreak (COVID-19/SARS-CoV-2) case," Transportation Research Part E: Logistics and Transportation Review, vol. 136, p. 101922, 2020.</w:t>
      </w:r>
    </w:p>
    <w:p>
      <w:pPr>
        <w:spacing w:after="60" w:before="0"/>
        <w:ind w:left="360" w:hanging="360"/>
        <w:jc w:val="both"/>
      </w:pPr>
      <w:r>
        <w:rPr>
          <w:rFonts w:ascii="Times New Roman" w:cs="Times New Roman" w:eastAsia="Times New Roman" w:hAnsi="Times New Roman"/>
          <w:sz w:val="20"/>
          <w:szCs w:val="20"/>
        </w:rPr>
        <w:t xml:space="preserve">[2] S. Chopra and P. Meindl, Supply Chain Management: Strategy, Planning, and Operation, 7th ed. Hoboken, NJ: Pearson, 2019.</w:t>
      </w:r>
    </w:p>
    <w:p>
      <w:pPr>
        <w:spacing w:after="60" w:before="0"/>
        <w:ind w:left="360" w:hanging="360"/>
        <w:jc w:val="both"/>
      </w:pPr>
      <w:r>
        <w:rPr>
          <w:rFonts w:ascii="Times New Roman" w:cs="Times New Roman" w:eastAsia="Times New Roman" w:hAnsi="Times New Roman"/>
          <w:sz w:val="20"/>
          <w:szCs w:val="20"/>
        </w:rPr>
        <w:t xml:space="preserve">[3] L. N. De Castro and J. I. Timmis, Artificial Immune Systems: A New Computational Intelligence Approach. London: Springer-Verlag, 2002.</w:t>
      </w:r>
    </w:p>
    <w:p>
      <w:pPr>
        <w:spacing w:after="60" w:before="0"/>
        <w:ind w:left="360" w:hanging="360"/>
        <w:jc w:val="both"/>
      </w:pPr>
      <w:r>
        <w:rPr>
          <w:rFonts w:ascii="Times New Roman" w:cs="Times New Roman" w:eastAsia="Times New Roman" w:hAnsi="Times New Roman"/>
          <w:sz w:val="20"/>
          <w:szCs w:val="20"/>
        </w:rPr>
        <w:t xml:space="preserve">[4] S. Forrest, A. S. Perelson, L. Allen, and R. Cherukuri, "Self-nonself discrimination in a computer," in Proc. IEEE Symposium on Research in Security and Privacy, Oakland, CA, 1994, pp. 202–212.</w:t>
      </w:r>
    </w:p>
    <w:p>
      <w:pPr>
        <w:spacing w:after="60" w:before="0"/>
        <w:ind w:left="360" w:hanging="360"/>
        <w:jc w:val="both"/>
      </w:pPr>
      <w:r>
        <w:rPr>
          <w:rFonts w:ascii="Times New Roman" w:cs="Times New Roman" w:eastAsia="Times New Roman" w:hAnsi="Times New Roman"/>
          <w:sz w:val="20"/>
          <w:szCs w:val="20"/>
        </w:rPr>
        <w:t xml:space="preserve">[5] S. A. Hofmeyr and S. Forrest, "Architecture for an artificial immune system," Evolutionary Computation, vol. 8, no. 4, pp. 443–473, 2000.</w:t>
      </w:r>
    </w:p>
    <w:p>
      <w:pPr>
        <w:spacing w:after="60" w:before="0"/>
        <w:ind w:left="360" w:hanging="360"/>
        <w:jc w:val="both"/>
      </w:pPr>
      <w:r>
        <w:rPr>
          <w:rFonts w:ascii="Times New Roman" w:cs="Times New Roman" w:eastAsia="Times New Roman" w:hAnsi="Times New Roman"/>
          <w:sz w:val="20"/>
          <w:szCs w:val="20"/>
        </w:rPr>
        <w:t xml:space="preserve">[6] U. Aickelin and S. Cayzer, "The danger theory and its application to artificial immune systems," in Proc. 1st Int. Conf. Artificial Immune Systems (ICARIS), Canterbury, UK, 2002, pp. 141–148.</w:t>
      </w:r>
    </w:p>
    <w:p>
      <w:pPr>
        <w:spacing w:after="60" w:before="0"/>
        <w:ind w:left="360" w:hanging="360"/>
        <w:jc w:val="both"/>
      </w:pPr>
      <w:r>
        <w:rPr>
          <w:rFonts w:ascii="Times New Roman" w:cs="Times New Roman" w:eastAsia="Times New Roman" w:hAnsi="Times New Roman"/>
          <w:sz w:val="20"/>
          <w:szCs w:val="20"/>
        </w:rPr>
        <w:t xml:space="preserve">[7] F. Gonzalez, D. Dasgupta, and L. F. Nino, "A randomized real-valued negative selection algorithm," in Proc. 2nd Int. Conf. Artificial Immune Systems, Edinburgh, UK, 2003, pp. 261–272.</w:t>
      </w:r>
    </w:p>
    <w:p>
      <w:pPr>
        <w:spacing w:after="60" w:before="0"/>
        <w:ind w:left="360" w:hanging="360"/>
        <w:jc w:val="both"/>
      </w:pPr>
      <w:r>
        <w:rPr>
          <w:rFonts w:ascii="Times New Roman" w:cs="Times New Roman" w:eastAsia="Times New Roman" w:hAnsi="Times New Roman"/>
          <w:sz w:val="20"/>
          <w:szCs w:val="20"/>
        </w:rPr>
        <w:t xml:space="preserve">[8] D. Dasgupta and L. F. Nino, Immunological Computation: Theory and Applications. Boca Raton, FL: CRC Press / Taylor &amp; Francis, 2009.</w:t>
      </w:r>
    </w:p>
    <w:p>
      <w:pPr>
        <w:spacing w:after="60" w:before="0"/>
        <w:ind w:left="360" w:hanging="360"/>
        <w:jc w:val="both"/>
      </w:pPr>
      <w:r>
        <w:rPr>
          <w:rFonts w:ascii="Times New Roman" w:cs="Times New Roman" w:eastAsia="Times New Roman" w:hAnsi="Times New Roman"/>
          <w:sz w:val="20"/>
          <w:szCs w:val="20"/>
        </w:rPr>
        <w:t xml:space="preserve">[9] J. Kim and P. J. Bentley, "Immune memory in the real-valued negative selection algorithm," in Proc. 1st Int. Conf. Artificial Immune Systems, Canterbury, UK, 2002, pp. 57–65.</w:t>
      </w:r>
    </w:p>
    <w:p>
      <w:pPr>
        <w:spacing w:after="60" w:before="0"/>
        <w:ind w:left="360" w:hanging="360"/>
        <w:jc w:val="both"/>
      </w:pPr>
      <w:r>
        <w:rPr>
          <w:rFonts w:ascii="Times New Roman" w:cs="Times New Roman" w:eastAsia="Times New Roman" w:hAnsi="Times New Roman"/>
          <w:sz w:val="20"/>
          <w:szCs w:val="20"/>
        </w:rPr>
        <w:t xml:space="preserve">[10] Z. Wu, S. Pan, F. Chen, G. Long, C. Zhang, and S. Y. Philip, "A comprehensive study on graph neural networks," IEEE Trans. Neural Networks and Learning Systems, vol. 32, no. 1, pp. 4–24, Jan. 2021.</w:t>
      </w:r>
    </w:p>
    <w:p>
      <w:pPr>
        <w:spacing w:after="60" w:before="0"/>
        <w:ind w:left="360" w:hanging="360"/>
        <w:jc w:val="both"/>
      </w:pPr>
      <w:r>
        <w:rPr>
          <w:rFonts w:ascii="Times New Roman" w:cs="Times New Roman" w:eastAsia="Times New Roman" w:hAnsi="Times New Roman"/>
          <w:sz w:val="20"/>
          <w:szCs w:val="20"/>
        </w:rPr>
        <w:t xml:space="preserve">[11] S. Cao, Y. Lu, and Q. Xu, "Deep neural networks for learning graph representations," in Proc. 30th AAAI Conf. Artificial Intelligence, Phoenix, AZ, 2016, pp. 1145–1152.</w:t>
      </w:r>
    </w:p>
    <w:p>
      <w:pPr>
        <w:spacing w:after="60" w:before="0"/>
        <w:ind w:left="360" w:hanging="360"/>
        <w:jc w:val="both"/>
      </w:pPr>
      <w:r>
        <w:rPr>
          <w:rFonts w:ascii="Times New Roman" w:cs="Times New Roman" w:eastAsia="Times New Roman" w:hAnsi="Times New Roman"/>
          <w:sz w:val="20"/>
          <w:szCs w:val="20"/>
        </w:rPr>
        <w:t xml:space="preserve">[12] A. Brintrup, P. Pak, D. Ratiney, T. Pearce, P. Wichmann, P. Woodall, and D. McFarlane, "Supply chain data analytics for predicting supplier disruptions: A case study in complex asset manufacturing," Int. J. Production Research, vol. 58, no. 11, pp. 3330–3341, 2020.</w:t>
      </w:r>
    </w:p>
    <w:p>
      <w:pPr>
        <w:spacing w:after="60" w:before="0"/>
        <w:ind w:left="360" w:hanging="360"/>
        <w:jc w:val="both"/>
      </w:pPr>
      <w:r>
        <w:rPr>
          <w:rFonts w:ascii="Times New Roman" w:cs="Times New Roman" w:eastAsia="Times New Roman" w:hAnsi="Times New Roman"/>
          <w:sz w:val="20"/>
          <w:szCs w:val="20"/>
        </w:rPr>
        <w:t xml:space="preserve">[13] W. Jiang and J. Luo, "Graph neural network for traffic forecasting: A survey," Expert Systems with Applications, vol. 207, p. 117921, Nov. 2022.</w:t>
      </w:r>
    </w:p>
    <w:p>
      <w:pPr>
        <w:spacing w:after="60" w:before="0"/>
        <w:ind w:left="360" w:hanging="360"/>
        <w:jc w:val="both"/>
      </w:pPr>
      <w:r>
        <w:rPr>
          <w:rFonts w:ascii="Times New Roman" w:cs="Times New Roman" w:eastAsia="Times New Roman" w:hAnsi="Times New Roman"/>
          <w:sz w:val="20"/>
          <w:szCs w:val="20"/>
        </w:rPr>
        <w:t xml:space="preserve">[14] E. I. Kosasih and A. Brintrup, "A machine learning approach for predicting hidden links in supply chain with graph neural networks," Int. J. Production Research, vol. 60, no. 17, pp. 5380–5393, 2022.</w:t>
      </w:r>
    </w:p>
    <w:p>
      <w:pPr>
        <w:spacing w:after="60" w:before="0"/>
        <w:ind w:left="360" w:hanging="360"/>
        <w:jc w:val="both"/>
      </w:pPr>
      <w:r>
        <w:rPr>
          <w:rFonts w:ascii="Times New Roman" w:cs="Times New Roman" w:eastAsia="Times New Roman" w:hAnsi="Times New Roman"/>
          <w:sz w:val="20"/>
          <w:szCs w:val="20"/>
        </w:rPr>
        <w:t xml:space="preserve">[15] J. Cao, X. Zhang, Z. Shi, and Y. Li, "Anomaly detection for industrial control systems using clustering and GNN," in Proc. IEEE Int. Conf. Industrial Cyber-Physical Systems (ICPS), Victoria, Canada, 2021, pp. 1–6.</w:t>
      </w:r>
    </w:p>
    <w:p>
      <w:pPr>
        <w:spacing w:after="60" w:before="0"/>
        <w:ind w:left="360" w:hanging="360"/>
        <w:jc w:val="both"/>
      </w:pPr>
      <w:r>
        <w:rPr>
          <w:rFonts w:ascii="Times New Roman" w:cs="Times New Roman" w:eastAsia="Times New Roman" w:hAnsi="Times New Roman"/>
          <w:sz w:val="20"/>
          <w:szCs w:val="20"/>
        </w:rPr>
        <w:t xml:space="preserve">[16] A. Oroojlooy and D. Hajinezhad, "A review of cooperative multi-agent deep reinforcement learning," Applied Intelligence, vol. 53, no. 11, pp. 13677–13722, 2023.</w:t>
      </w:r>
    </w:p>
    <w:p>
      <w:pPr>
        <w:spacing w:after="60" w:before="0"/>
        <w:ind w:left="360" w:hanging="360"/>
        <w:jc w:val="both"/>
      </w:pPr>
      <w:r>
        <w:rPr>
          <w:rFonts w:ascii="Times New Roman" w:cs="Times New Roman" w:eastAsia="Times New Roman" w:hAnsi="Times New Roman"/>
          <w:sz w:val="20"/>
          <w:szCs w:val="20"/>
        </w:rPr>
        <w:t xml:space="preserve">[17] C. D. Hubbs, H. D. Perez, O. Sarwar, N. V. Sahinidis, I. E. Grossmann, and J. M. Wassick, "A deep reinforcement learning approach for chemical production scheduling," Computers &amp; Chemical Engineering, vol. 141, p. 106982, 2020.</w:t>
      </w:r>
    </w:p>
    <w:p>
      <w:pPr>
        <w:spacing w:after="60" w:before="0"/>
        <w:ind w:left="360" w:hanging="360"/>
        <w:jc w:val="both"/>
      </w:pPr>
      <w:r>
        <w:rPr>
          <w:rFonts w:ascii="Times New Roman" w:cs="Times New Roman" w:eastAsia="Times New Roman" w:hAnsi="Times New Roman"/>
          <w:sz w:val="20"/>
          <w:szCs w:val="20"/>
        </w:rPr>
        <w:t xml:space="preserve">[18] H. D. Perez, C. D. Hubbs, C. Li, and I. E. Grossmann, "Algorithmic approaches to inventory management optimization," Processes, vol. 9, no. 1, p. 102, 2021.</w:t>
      </w:r>
    </w:p>
    <w:p>
      <w:pPr>
        <w:spacing w:after="60" w:before="0"/>
        <w:ind w:left="360" w:hanging="360"/>
        <w:jc w:val="both"/>
      </w:pPr>
      <w:r>
        <w:rPr>
          <w:rFonts w:ascii="Times New Roman" w:cs="Times New Roman" w:eastAsia="Times New Roman" w:hAnsi="Times New Roman"/>
          <w:sz w:val="20"/>
          <w:szCs w:val="20"/>
        </w:rPr>
        <w:t xml:space="preserve">[19] R. N. Boute, J. A. Condea, K. Creemers, and F. Roodhooft, "Deep reinforcement learning for inventory optimization: A roadmap," European J. Operational Research, vol. 298, no. 2, pp. 401–412, 2022.</w:t>
      </w:r>
    </w:p>
    <w:p>
      <w:pPr>
        <w:spacing w:after="60" w:before="0"/>
        <w:ind w:left="360" w:hanging="360"/>
        <w:jc w:val="both"/>
      </w:pPr>
      <w:r>
        <w:rPr>
          <w:rFonts w:ascii="Times New Roman" w:cs="Times New Roman" w:eastAsia="Times New Roman" w:hAnsi="Times New Roman"/>
          <w:sz w:val="20"/>
          <w:szCs w:val="20"/>
        </w:rPr>
        <w:t xml:space="preserve">[20] M. W. Grieves, "Origins of the digital twin concept," Working Paper, Florida Institute of Technology, 2016.</w:t>
      </w:r>
    </w:p>
    <w:p>
      <w:pPr>
        <w:spacing w:after="60" w:before="0"/>
        <w:ind w:left="360" w:hanging="360"/>
        <w:jc w:val="both"/>
      </w:pPr>
      <w:r>
        <w:rPr>
          <w:rFonts w:ascii="Times New Roman" w:cs="Times New Roman" w:eastAsia="Times New Roman" w:hAnsi="Times New Roman"/>
          <w:sz w:val="20"/>
          <w:szCs w:val="20"/>
        </w:rPr>
        <w:t xml:space="preserve">[21] K. L. Lim, D. Zheng, C. Chen, and Y. Tan, "A digital twin in the IoT context: A survey on technical features, scenarios, and architectural models," IEEE Access, vol. 8, pp. 202201–202219, 2020.</w:t>
      </w:r>
    </w:p>
    <w:p>
      <w:pPr>
        <w:spacing w:after="60" w:before="0"/>
        <w:ind w:left="360" w:hanging="360"/>
        <w:jc w:val="both"/>
      </w:pPr>
      <w:r>
        <w:rPr>
          <w:rFonts w:ascii="Times New Roman" w:cs="Times New Roman" w:eastAsia="Times New Roman" w:hAnsi="Times New Roman"/>
          <w:sz w:val="20"/>
          <w:szCs w:val="20"/>
        </w:rPr>
        <w:t xml:space="preserve">[22] J. M. Rozanec, J. Lu, J. Rupnik, M. Skrjanc, D. Mladenic, B. Fortuna, X. Zheng, and D. Kiritsis, "Actionable cognitive twins for decision making in manufacturing," Int. J. Production Research, vol. 60, no. 2, pp. 452–478, 2022.</w:t>
      </w:r>
    </w:p>
    <w:p>
      <w:pPr>
        <w:spacing w:after="60" w:before="0"/>
        <w:ind w:left="360" w:hanging="360"/>
        <w:jc w:val="both"/>
      </w:pPr>
      <w:r>
        <w:rPr>
          <w:rFonts w:ascii="Times New Roman" w:cs="Times New Roman" w:eastAsia="Times New Roman" w:hAnsi="Times New Roman"/>
          <w:sz w:val="20"/>
          <w:szCs w:val="20"/>
        </w:rPr>
        <w:t xml:space="preserve">[23] D. Ivanov, "Digital supply chain management and technology to enhance resilience by building and using end-to-end visibility during the COVID-19 pandemic," IEEE Trans. Engineering Management, vol. 70, no. 1, pp. 317–330, Feb. 2023.</w:t>
      </w:r>
    </w:p>
    <w:p>
      <w:pPr>
        <w:spacing w:after="60" w:before="0"/>
        <w:ind w:left="360" w:hanging="360"/>
        <w:jc w:val="both"/>
      </w:pPr>
      <w:r>
        <w:rPr>
          <w:rFonts w:ascii="Times New Roman" w:cs="Times New Roman" w:eastAsia="Times New Roman" w:hAnsi="Times New Roman"/>
          <w:sz w:val="20"/>
          <w:szCs w:val="20"/>
        </w:rPr>
        <w:t xml:space="preserve">[24] J. Park, B. Bakhtiari, K. Hwang, and Y. Y. Kim, "Graph neural network-based reinforcement learning for supply chain optimization," in Proc. AAAI Workshop on ML for Operations Research, 2022.</w:t>
      </w:r>
    </w:p>
    <w:p>
      <w:pPr>
        <w:spacing w:after="60" w:before="0"/>
        <w:ind w:left="360" w:hanging="360"/>
        <w:jc w:val="both"/>
      </w:pPr>
      <w:r>
        <w:rPr>
          <w:rFonts w:ascii="Times New Roman" w:cs="Times New Roman" w:eastAsia="Times New Roman" w:hAnsi="Times New Roman"/>
          <w:sz w:val="20"/>
          <w:szCs w:val="20"/>
        </w:rPr>
        <w:t xml:space="preserve">[25] Y. Zhu, K. Shao, X. Zhao, and W. Wang, "Multi-agent graph neural networks for supply chain network resilience," IEEE Trans. Industrial Informatics, vol. 18, no. 5, pp. 3085–3094, May 2022.</w:t>
      </w:r>
    </w:p>
    <w:p>
      <w:pPr>
        <w:spacing w:after="60" w:before="0"/>
        <w:ind w:left="360" w:hanging="360"/>
        <w:jc w:val="both"/>
      </w:pPr>
      <w:r>
        <w:rPr>
          <w:rFonts w:ascii="Times New Roman" w:cs="Times New Roman" w:eastAsia="Times New Roman" w:hAnsi="Times New Roman"/>
          <w:sz w:val="20"/>
          <w:szCs w:val="20"/>
        </w:rPr>
        <w:t xml:space="preserve">[26] T. Wang, H. Cao, and J. Liu, "Graph-based multi-agent reinforcement learning for adaptive supply chain management," Computers &amp; Industrial Engineering, vol. 158, p. 107397, 2021.</w:t>
      </w:r>
    </w:p>
    <w:p>
      <w:pPr>
        <w:spacing w:after="60" w:before="0"/>
        <w:ind w:left="360" w:hanging="360"/>
        <w:jc w:val="both"/>
      </w:pPr>
      <w:r>
        <w:rPr>
          <w:rFonts w:ascii="Times New Roman" w:cs="Times New Roman" w:eastAsia="Times New Roman" w:hAnsi="Times New Roman"/>
          <w:sz w:val="20"/>
          <w:szCs w:val="20"/>
        </w:rPr>
        <w:t xml:space="preserve">[27] T. N. Kipf and M. Welling, "Semi-supervised classification with graph convolutional networks," in Proc. Int. Conf. Learning Representations (ICLR), Toulon, France, 2017.</w:t>
      </w:r>
    </w:p>
    <w:p>
      <w:pPr>
        <w:spacing w:after="60" w:before="0"/>
        <w:ind w:left="360" w:hanging="360"/>
        <w:jc w:val="both"/>
      </w:pPr>
      <w:r>
        <w:rPr>
          <w:rFonts w:ascii="Times New Roman" w:cs="Times New Roman" w:eastAsia="Times New Roman" w:hAnsi="Times New Roman"/>
          <w:sz w:val="20"/>
          <w:szCs w:val="20"/>
        </w:rPr>
        <w:t xml:space="preserve">[28] P. Velickovic, G. Cucurull, A. Casanova, A. Romero, P. Lio, and Y. Bengio, "Graph attention networks," in Proc. Int. Conf. Learning Representations (ICLR), Vancouver, Canada, 2018.</w:t>
      </w:r>
    </w:p>
    <w:p>
      <w:pPr>
        <w:spacing w:after="60" w:before="0"/>
        <w:ind w:left="360" w:hanging="360"/>
        <w:jc w:val="both"/>
      </w:pPr>
      <w:r>
        <w:rPr>
          <w:rFonts w:ascii="Times New Roman" w:cs="Times New Roman" w:eastAsia="Times New Roman" w:hAnsi="Times New Roman"/>
          <w:sz w:val="20"/>
          <w:szCs w:val="20"/>
        </w:rPr>
        <w:t xml:space="preserve">[29] J. Schulman, F. Wolski, P. Dhariwal, A. Radford, and O. Klimov, "Proximal policy optimization algorithms," arXiv preprint arXiv:1707.06347, 2017.</w:t>
      </w:r>
    </w:p>
    <w:p>
      <w:pPr>
        <w:spacing w:after="60" w:before="0"/>
        <w:ind w:left="360" w:hanging="360"/>
        <w:jc w:val="both"/>
      </w:pPr>
      <w:r>
        <w:rPr>
          <w:rFonts w:ascii="Times New Roman" w:cs="Times New Roman" w:eastAsia="Times New Roman" w:hAnsi="Times New Roman"/>
          <w:sz w:val="20"/>
          <w:szCs w:val="20"/>
        </w:rPr>
        <w:t xml:space="preserve">[30] S. Hochreiter and J. Schmidhuber, "Long short-term memory," Neural Computation, vol. 9, no. 8, pp. 1735–1780, Nov. 1997.</w:t>
      </w:r>
    </w:p>
    <w:p>
      <w:pPr>
        <w:spacing w:after="60" w:before="0"/>
        <w:ind w:left="360" w:hanging="360"/>
        <w:jc w:val="both"/>
      </w:pPr>
      <w:r>
        <w:rPr>
          <w:rFonts w:ascii="Times New Roman" w:cs="Times New Roman" w:eastAsia="Times New Roman" w:hAnsi="Times New Roman"/>
          <w:sz w:val="20"/>
          <w:szCs w:val="20"/>
        </w:rPr>
        <w:t xml:space="preserve">[31] T. Chen and C. Guestrin, "XGBoost: A scalable tree boosting system," in Proc. 22nd ACM SIGKDD Int. Conf. Knowledge Discovery and Data Mining, San Francisco, CA, 2016, pp. 785–794.</w:t>
      </w:r>
    </w:p>
    <w:p>
      <w:pPr>
        <w:spacing w:after="60" w:before="0"/>
        <w:ind w:left="360" w:hanging="360"/>
        <w:jc w:val="both"/>
      </w:pPr>
      <w:r>
        <w:rPr>
          <w:rFonts w:ascii="Times New Roman" w:cs="Times New Roman" w:eastAsia="Times New Roman" w:hAnsi="Times New Roman"/>
          <w:sz w:val="20"/>
          <w:szCs w:val="20"/>
        </w:rPr>
        <w:t xml:space="preserve">[32] L. Breiman, "Random forests," Machine Learning, vol. 45, no. 1, pp. 5–32, Oct. 2001.</w:t>
      </w:r>
    </w:p>
    <w:p>
      <w:pPr>
        <w:spacing w:after="60" w:before="0"/>
        <w:ind w:left="360" w:hanging="360"/>
        <w:jc w:val="both"/>
      </w:pPr>
      <w:r>
        <w:rPr>
          <w:rFonts w:ascii="Times New Roman" w:cs="Times New Roman" w:eastAsia="Times New Roman" w:hAnsi="Times New Roman"/>
          <w:sz w:val="20"/>
          <w:szCs w:val="20"/>
        </w:rPr>
        <w:t xml:space="preserve">[33] M. Fey and J. E. Lenssen, "Fast graph representation learning with PyTorch Geometric," in Proc. ICLR Workshop on Representation Learning on Graphs and Manifolds, 2019.</w:t>
      </w:r>
    </w:p>
    <w:p>
      <w:pPr>
        <w:spacing w:after="60" w:before="0"/>
        <w:ind w:left="360" w:hanging="360"/>
        <w:jc w:val="both"/>
      </w:pPr>
      <w:r>
        <w:rPr>
          <w:rFonts w:ascii="Times New Roman" w:cs="Times New Roman" w:eastAsia="Times New Roman" w:hAnsi="Times New Roman"/>
          <w:sz w:val="20"/>
          <w:szCs w:val="20"/>
        </w:rPr>
        <w:t xml:space="preserve">[34] A. A. Pantelidis, A. Brintrup, E. I. Kosasih, and P. Wichmann, "Graph neural networks for supply chain management: Research opportunities," in Proc. IEEE Int. Conf. Industrial Engineering and Engineering Management (IEEM), 2022.</w:t>
      </w:r>
    </w:p>
    <w:p>
      <w:pPr>
        <w:spacing w:after="60" w:before="0"/>
        <w:ind w:left="360" w:hanging="360"/>
        <w:jc w:val="both"/>
      </w:pPr>
      <w:r>
        <w:rPr>
          <w:rFonts w:ascii="Times New Roman" w:cs="Times New Roman" w:eastAsia="Times New Roman" w:hAnsi="Times New Roman"/>
          <w:sz w:val="20"/>
          <w:szCs w:val="20"/>
        </w:rPr>
        <w:t xml:space="preserve">[35] D. Ivanov and B. Sokolov, "Adaptive supply chain management," in Handbook on the Sustainable Supply Chain, Cheltenham: Edward Elgar, 2019.</w:t>
      </w:r>
    </w:p>
    <w:p>
      <w:pPr>
        <w:spacing w:after="60" w:before="0"/>
        <w:ind w:left="360" w:hanging="360"/>
        <w:jc w:val="both"/>
      </w:pPr>
      <w:r>
        <w:rPr>
          <w:rFonts w:ascii="Times New Roman" w:cs="Times New Roman" w:eastAsia="Times New Roman" w:hAnsi="Times New Roman"/>
          <w:sz w:val="20"/>
          <w:szCs w:val="20"/>
        </w:rPr>
        <w:t xml:space="preserve">[36] Y. Bengio, A. Courville, and P. Vincent, "Representation learning: A review and new perspectives," IEEE Trans. Pattern Analysis and Machine Intelligence, vol. 35, no. 8, pp. 1798–1828, Aug. 2013.</w:t>
      </w:r>
    </w:p>
    <w:p>
      <w:pPr>
        <w:spacing w:after="60" w:before="0"/>
        <w:ind w:left="360" w:hanging="360"/>
        <w:jc w:val="both"/>
      </w:pPr>
      <w:r>
        <w:rPr>
          <w:rFonts w:ascii="Times New Roman" w:cs="Times New Roman" w:eastAsia="Times New Roman" w:hAnsi="Times New Roman"/>
          <w:sz w:val="20"/>
          <w:szCs w:val="20"/>
        </w:rPr>
        <w:t xml:space="preserve">[37] M. Christopher, Logistics and Supply Chain Management, 5th ed. Harlow: Pearson Education, 2016.</w:t>
      </w:r>
    </w:p>
    <w:p>
      <w:pPr>
        <w:spacing w:after="60" w:before="0"/>
        <w:ind w:left="360" w:hanging="360"/>
        <w:jc w:val="both"/>
      </w:pPr>
      <w:r>
        <w:rPr>
          <w:rFonts w:ascii="Times New Roman" w:cs="Times New Roman" w:eastAsia="Times New Roman" w:hAnsi="Times New Roman"/>
          <w:sz w:val="20"/>
          <w:szCs w:val="20"/>
        </w:rPr>
        <w:t xml:space="preserve">[38] D. Simchi-Levi, P. Kaminsky, and E. Simchi-Levi, Designing and Managing the Supply Chain: Concepts, Strategies and Case Studies, 3rd ed. New York: McGraw-Hill, 2009.</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Immunological Principles in Supply Chain Management: A Survey</dc:title>
  <dc:creator>Archit S.</dc:creator>
  <dc:description>IEEE-format survey paper for PES University Capstone Project PW26_RGP_01</dc:description>
  <cp:lastModifiedBy>Un-named</cp:lastModifiedBy>
  <cp:revision>1</cp:revision>
  <dcterms:created xsi:type="dcterms:W3CDTF">2026-04-06T21:41:40.209Z</dcterms:created>
  <dcterms:modified xsi:type="dcterms:W3CDTF">2026-04-06T21:41:40.210Z</dcterms:modified>
</cp:coreProperties>
</file>

<file path=docProps/custom.xml><?xml version="1.0" encoding="utf-8"?>
<Properties xmlns="http://schemas.openxmlformats.org/officeDocument/2006/custom-properties" xmlns:vt="http://schemas.openxmlformats.org/officeDocument/2006/docPropsVTypes"/>
</file>