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Convowear is your one stop solution for all your graduation needs. We are a brand that spans across many markets - Kindergarten to High School to College/Universities and beyond — and we love to customize our products to you and your school. From custom caps and gowns, Stole and Hoods !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Our Products -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Graduation Cap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Graduation Gown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Masters Graduation Dresses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Doctoral Gown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Graduation Hood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Stole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Velvet Graduation Gowns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Diploma Cover / Degree Folder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Advocate Dress / Lawyer Uniform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  <w:rtl w:val="0"/>
        </w:rPr>
        <w:t xml:space="preserve">Scribbling Day T-Shirt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color w:val="50505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