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w:t>
      </w:r>
    </w:p>
    <w:p>
      <w:r>
        <w:t>This Master Services Agreement (the "Agreement") is entered into as of January 15, 2026 (the "Effective Date") by and between Northbridge Technologies, Inc., a Delaware corporation ("Company"), and Vendor Partner Solutions LLC, a California limited liability company ("Vendor").</w:t>
      </w:r>
    </w:p>
    <w:p>
      <w:r>
        <w:t>1. TERM AND RENEWAL</w:t>
      </w:r>
    </w:p>
    <w:p>
      <w:r>
        <w:t>This Agreement commences on the Effective Date and continues for an initial term of one (1) year, renewing automatically thereafter for successive one (1) year terms (next renewal on January 15, 2027) unless either Party provides written notice of non-renewal at least forty-five (45) days prior to the end of the then-current term (i.e., no later than November 30, 2026).</w:t>
      </w:r>
    </w:p>
    <w:p>
      <w:r>
        <w:t>2. TERMINATION</w:t>
      </w:r>
    </w:p>
    <w:p>
      <w:r>
        <w:t>Company may terminate this Agreement at any time without notice or cause. Vendor may not terminate except for Company's material breach.</w:t>
      </w:r>
    </w:p>
    <w:p>
      <w:r>
        <w:t>3. CONFIDENTIALITY</w:t>
      </w:r>
    </w:p>
    <w:p>
      <w:r>
        <w:t>Confidential Information excludes information that is or becomes publicly available through no fault of the receiving Party, was already known prior to disclosure, or is independently developed without use of the disclosing Party's Confidential Information. Obligations survive for three (3) years following termination.</w:t>
      </w:r>
    </w:p>
    <w:p>
      <w:r>
        <w:t>4. INDEMNIFICATION</w:t>
      </w:r>
    </w:p>
    <w:p>
      <w:r>
        <w:t>Vendor shall indemnify, defend, and hold harmless Company from any and all claims, damages, and liabilities of any kind whatsoever, without limitation.</w:t>
      </w:r>
    </w:p>
    <w:p>
      <w:r>
        <w:t>5. LIMITATION OF LIABILITY</w:t>
      </w:r>
    </w:p>
    <w:p>
      <w:r>
        <w:t>Neither Party's aggregate liability under this Agreement shall exceed the total fees paid in the twelve (12) months preceding the claim. Neither Party shall be liable for indirect, incidental, or consequential damages.</w:t>
      </w:r>
    </w:p>
    <w:p>
      <w:r>
        <w:t>6. GOVERNING LAW</w:t>
      </w:r>
    </w:p>
    <w:p>
      <w:r>
        <w:t>This Agreement is governed by the laws of the Cayman Islands, and all disputes must be resolved exclusively in that jurisdiction.</w:t>
      </w:r>
    </w:p>
    <w:p>
      <w:r>
        <w:t>7. PAYMENT TERMS</w:t>
      </w:r>
    </w:p>
    <w:p>
      <w:r>
        <w:t>Invoices are due within thirty (30) days of receipt. Late payments accrue interest at 1.5% per month or the maximum rate permitted by law, whichever is lower.</w:t>
      </w:r>
    </w:p>
    <w:p>
      <w:r>
        <w:t>8. GENERAL</w:t>
      </w:r>
    </w:p>
    <w:p>
      <w:r>
        <w:t>This Agreement constitutes the entire understanding between the Parties with respect to its subject matter.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