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SOFTWARE SUBSCRIPTION AGREEMENT</w:t>
      </w:r>
    </w:p>
    <w:p>
      <w:r>
        <w:t>This Enterprise Software Subscription Agreement ("Agreement") is entered into as of the Effective Date set forth below, by and between Acme Corporation, a Delaware corporation with its principal place of business at 100 Innovation Drive, San Francisco, CA 94105 ("Customer"), and Nexus Software Inc., a Delaware corporation with its principal place of business at 200 Platform Way, Austin, TX 78701 ("Vendor").</w:t>
      </w:r>
    </w:p>
    <w:p>
      <w:pPr>
        <w:pStyle w:val="Heading1"/>
      </w:pPr>
      <w:r>
        <w:t>1. DEFINITIONS</w:t>
      </w:r>
    </w:p>
    <w:p>
      <w:pPr>
        <w:pStyle w:val="Heading2"/>
      </w:pPr>
      <w:r>
        <w:t>1.1 "Authorized Users"</w:t>
      </w:r>
    </w:p>
    <w:p>
      <w:r>
        <w:t>means the Customer's employees, contractors, and agents who are authorised by Customer to access and use the Software under this Agreement, up to the number of seats specified in the applicable Order Form.</w:t>
      </w:r>
    </w:p>
    <w:p>
      <w:pPr>
        <w:pStyle w:val="Heading2"/>
      </w:pPr>
      <w:r>
        <w:t>1.2 "Documentation"</w:t>
      </w:r>
    </w:p>
    <w:p>
      <w:r>
        <w:t>means Vendor's then-current user manuals, technical specifications, and online help files for the Software, as updated by Vendor from time to time.</w:t>
      </w:r>
    </w:p>
    <w:p>
      <w:pPr>
        <w:pStyle w:val="Heading2"/>
      </w:pPr>
      <w:r>
        <w:t>1.3 "Order Form"</w:t>
      </w:r>
    </w:p>
    <w:p>
      <w:r>
        <w:t>means the order document executed by both parties that specifies the Software, subscription tier, number of Authorized Users, Fees, and subscription term, and that is incorporated herein by reference.</w:t>
      </w:r>
    </w:p>
    <w:p>
      <w:pPr>
        <w:pStyle w:val="Heading2"/>
      </w:pPr>
      <w:r>
        <w:t>1.4 "Professional Services"</w:t>
      </w:r>
    </w:p>
    <w:p>
      <w:r>
        <w:t>means the implementation, configuration, training, and consulting services described in a Statement of Work ("SOW") mutually executed by the parties.</w:t>
      </w:r>
    </w:p>
    <w:p>
      <w:pPr>
        <w:pStyle w:val="Heading2"/>
      </w:pPr>
      <w:r>
        <w:t>1.5 "Software"</w:t>
      </w:r>
    </w:p>
    <w:p>
      <w:r>
        <w:t>means Vendor's proprietary cloud-based software platform known as NexusIQ, including all updates, upgrades, and new releases provided by Vendor during the Subscription Term.</w:t>
      </w:r>
    </w:p>
    <w:p>
      <w:pPr>
        <w:pStyle w:val="Heading2"/>
      </w:pPr>
      <w:r>
        <w:t>1.6 "Subscription Term"</w:t>
      </w:r>
    </w:p>
    <w:p>
      <w:r>
        <w:t>means the initial period specified in the Order Form and any renewal periods thereafter.</w:t>
      </w:r>
    </w:p>
    <w:p>
      <w:pPr>
        <w:pStyle w:val="Heading1"/>
      </w:pPr>
      <w:r>
        <w:t>2. SUBSCRIPTION AND ACCESS</w:t>
      </w:r>
    </w:p>
    <w:p>
      <w:pPr>
        <w:pStyle w:val="Heading2"/>
      </w:pPr>
      <w:r>
        <w:t>2.1 Grant of Subscription</w:t>
      </w:r>
    </w:p>
    <w:p>
      <w:r>
        <w:t>Subject to the terms and conditions of this Agreement and timely payment of Fees, Vendor grants Customer a non-exclusive, non-transferable, non-sublicensable subscription right during the Subscription Term for Authorized Users to access and use the Software solely for Customer's internal business operations.</w:t>
      </w:r>
    </w:p>
    <w:p>
      <w:pPr>
        <w:pStyle w:val="Heading2"/>
      </w:pPr>
      <w:r>
        <w:t>2.2 Restrictions</w:t>
      </w:r>
    </w:p>
    <w:p>
      <w:r>
        <w:t>Customer shall not: (a) sublicense, resell, or distribute the Software; (b) modify, adapt, or create derivative works; (c) reverse engineer, decompile, or disassemble the Software; (d) access the Software to build a competitive product; (e) exceed the number of Authorised Users specified in the applicable Order Form.</w:t>
      </w:r>
    </w:p>
    <w:p>
      <w:pPr>
        <w:pStyle w:val="Heading2"/>
      </w:pPr>
      <w:r>
        <w:t>2.3 Vendor Responsibilities</w:t>
      </w:r>
    </w:p>
    <w:p>
      <w:r>
        <w:t>Vendor shall: (a) maintain the security and integrity of Customer data; (b) provide the Software in conformance with the Documentation; (c) implement commercially reasonable security measures including SOC 2 Type II controls.</w:t>
      </w:r>
    </w:p>
    <w:p>
      <w:pPr>
        <w:pStyle w:val="Heading1"/>
      </w:pPr>
      <w:r>
        <w:t>3. FEES AND PAYMENT</w:t>
      </w:r>
    </w:p>
    <w:p>
      <w:pPr>
        <w:pStyle w:val="Heading2"/>
      </w:pPr>
      <w:r>
        <w:t>3.1 Subscription Fees</w:t>
      </w:r>
    </w:p>
    <w:p>
      <w:r>
        <w:t>Customer shall pay the Fees specified in the Order Form. Annual subscriptions are invoiced on the Effective Date and each anniversary thereof. Monthly subscriptions are invoiced at the start of each calendar month.</w:t>
      </w:r>
    </w:p>
    <w:p>
      <w:pPr>
        <w:pStyle w:val="Heading2"/>
      </w:pPr>
      <w:r>
        <w:t>3.2 Payment Terms</w:t>
      </w:r>
    </w:p>
    <w:p>
      <w:r>
        <w:t>All invoices are due and payable within thirty (30) days of invoice date (Net-30). Overdue amounts accrue interest at 1.5% per month or the maximum permitted by law, whichever is lower.</w:t>
      </w:r>
    </w:p>
    <w:p>
      <w:pPr>
        <w:pStyle w:val="Heading2"/>
      </w:pPr>
      <w:r>
        <w:t>3.3 Taxes</w:t>
      </w:r>
    </w:p>
    <w:p>
      <w:r>
        <w:t>Fees exclude all applicable taxes. Customer is responsible for all sales, use, VAT, GST, and similar taxes, excluding taxes on Vendor's income.</w:t>
      </w:r>
    </w:p>
    <w:p>
      <w:pPr>
        <w:pStyle w:val="Heading2"/>
      </w:pPr>
      <w:r>
        <w:t>3.4 Price Adjustments</w:t>
      </w:r>
    </w:p>
    <w:p>
      <w:r>
        <w:t>Vendor may adjust Fees at renewal upon sixty (60) days' written notice, with increases capped at the greater of (a) 5% or (b) the year-over-year change in the US CPI-U for the preceding 12 months.</w:t>
      </w:r>
    </w:p>
    <w:p>
      <w:pPr>
        <w:pStyle w:val="Heading1"/>
      </w:pPr>
      <w:r>
        <w:t>4. SERVICE LEVEL AGREEMENT</w:t>
      </w:r>
    </w:p>
    <w:p>
      <w:pPr>
        <w:pStyle w:val="Heading2"/>
      </w:pPr>
      <w:r>
        <w:t>4.1 Uptime Commitment</w:t>
      </w:r>
    </w:p>
    <w:p>
      <w:r>
        <w:t>Vendor commits to 99.9% monthly uptime for the Software (excluding Scheduled Maintenance and events beyond Vendor's reasonable control). "Uptime" is calculated as: ((Total Minutes - Downtime Minutes) / Total Minutes) x 100.</w:t>
      </w:r>
    </w:p>
    <w:p>
      <w:pPr>
        <w:pStyle w:val="Heading2"/>
      </w:pPr>
      <w:r>
        <w:t>4.2 Service Credits</w:t>
      </w:r>
    </w:p>
    <w:p>
      <w:r>
        <w:t>If monthly uptime falls below 99.9%, Customer is eligible for service credits: 99.0-99.9% = 10% of monthly fee; 95.0-98.9% = 25%; below 95% = 50%. Credits are Customer's sole remedy for uptime failures.</w:t>
      </w:r>
    </w:p>
    <w:p>
      <w:pPr>
        <w:pStyle w:val="Heading2"/>
      </w:pPr>
      <w:r>
        <w:t>4.3 Support</w:t>
      </w:r>
    </w:p>
    <w:p>
      <w:r>
        <w:t>Vendor provides Tier-1 through Tier-3 technical support via email, chat, and phone (for Enterprise tier). Initial response SLAs: Critical (P1) 1 hour; High (P2) 4 hours; Medium (P3) 1 business day; Low (P4) 3 business days.</w:t>
      </w:r>
    </w:p>
    <w:p>
      <w:pPr>
        <w:pStyle w:val="Heading2"/>
      </w:pPr>
      <w:r>
        <w:t>4.4 Scheduled Maintenance</w:t>
      </w:r>
    </w:p>
    <w:p>
      <w:r>
        <w:t>Vendor will provide 72 hours' advance notice for scheduled maintenance windows. Emergency maintenance may be performed with shorter notice. Maintenance windows shall not exceed 4 hours per month.</w:t>
      </w:r>
    </w:p>
    <w:p>
      <w:pPr>
        <w:pStyle w:val="Heading1"/>
      </w:pPr>
      <w:r>
        <w:t>5. CONFIDENTIALITY</w:t>
      </w:r>
    </w:p>
    <w:p>
      <w:pPr>
        <w:pStyle w:val="Heading2"/>
      </w:pPr>
      <w:r>
        <w:t>5.1 Obligations</w:t>
      </w:r>
    </w:p>
    <w:p>
      <w:r>
        <w:t>Each party ("Receiving Party") agrees to: (a) hold in strict confidence the Confidential Information of the other party ("Disclosing Party"); (b) not disclose such information to third parties without prior written consent; (c) use Confidential Information solely for purposes of this Agreement; (d) restrict access to employees and contractors with a need-to-know who are bound by obligations no less restrictive than those herein.</w:t>
      </w:r>
    </w:p>
    <w:p>
      <w:pPr>
        <w:pStyle w:val="Heading2"/>
      </w:pPr>
      <w:r>
        <w:t>5.2 Exclusions</w:t>
      </w:r>
    </w:p>
    <w:p>
      <w:r>
        <w:t>Confidentiality obligations do not apply to information that: (a) is or becomes publicly known without breach of this Agreement; (b) was rightfully known before disclosure; (c) is independently developed without use of Confidential Information; (d) is required to be disclosed by law, provided Receiving Party gives prompt written notice.</w:t>
      </w:r>
    </w:p>
    <w:p>
      <w:pPr>
        <w:pStyle w:val="Heading2"/>
      </w:pPr>
      <w:r>
        <w:t>5.3 Term</w:t>
      </w:r>
    </w:p>
    <w:p>
      <w:r>
        <w:t>Confidentiality obligations survive for three (3) years following expiration or termination of this Agreement, provided that trade secrets shall be maintained in confidence indefinitely.</w:t>
      </w:r>
    </w:p>
    <w:p>
      <w:pPr>
        <w:pStyle w:val="Heading1"/>
      </w:pPr>
      <w:r>
        <w:t>6. DATA PROTECTION AND SECURITY</w:t>
      </w:r>
    </w:p>
    <w:p>
      <w:pPr>
        <w:pStyle w:val="Heading2"/>
      </w:pPr>
      <w:r>
        <w:t>6.1 Data Processing</w:t>
      </w:r>
    </w:p>
    <w:p>
      <w:r>
        <w:t>To the extent Vendor processes personal data on behalf of Customer, Vendor acts as a data processor under applicable privacy laws (including GDPR and CCPA). The parties shall execute Vendor's Data Processing Addendum ("DPA"), which is incorporated herein.</w:t>
      </w:r>
    </w:p>
    <w:p>
      <w:pPr>
        <w:pStyle w:val="Heading2"/>
      </w:pPr>
      <w:r>
        <w:t>6.2 Security Measures</w:t>
      </w:r>
    </w:p>
    <w:p>
      <w:r>
        <w:t>Vendor maintains an information security programme that includes: AES-256 encryption at rest; TLS 1.2+ in transit; SOC 2 Type II certification; annual penetration testing by an accredited third party; 24/7 security monitoring.</w:t>
      </w:r>
    </w:p>
    <w:p>
      <w:pPr>
        <w:pStyle w:val="Heading2"/>
      </w:pPr>
      <w:r>
        <w:t>6.3 Data Residency</w:t>
      </w:r>
    </w:p>
    <w:p>
      <w:r>
        <w:t>Customer data is stored in the AWS us-east-1 and eu-west-1 regions by default. Alternative regions available upon written request and subject to additional fees.</w:t>
      </w:r>
    </w:p>
    <w:p>
      <w:pPr>
        <w:pStyle w:val="Heading2"/>
      </w:pPr>
      <w:r>
        <w:t>6.4 Breach Notification</w:t>
      </w:r>
    </w:p>
    <w:p>
      <w:r>
        <w:t>Vendor shall notify Customer within 72 hours of confirming a security incident affecting Customer data, as required by applicable law.</w:t>
      </w:r>
    </w:p>
    <w:p>
      <w:pPr>
        <w:pStyle w:val="Heading1"/>
      </w:pPr>
      <w:r>
        <w:t>7. INTELLECTUAL PROPERTY</w:t>
      </w:r>
    </w:p>
    <w:p>
      <w:pPr>
        <w:pStyle w:val="Heading2"/>
      </w:pPr>
      <w:r>
        <w:t>7.1 Vendor IP</w:t>
      </w:r>
    </w:p>
    <w:p>
      <w:r>
        <w:t>Vendor retains all right, title, and interest in the Software, Documentation, and any improvements or modifications thereto. Nothing in this Agreement transfers ownership of Vendor IP to Customer.</w:t>
      </w:r>
    </w:p>
    <w:p>
      <w:pPr>
        <w:pStyle w:val="Heading2"/>
      </w:pPr>
      <w:r>
        <w:t>7.2 Customer Data</w:t>
      </w:r>
    </w:p>
    <w:p>
      <w:r>
        <w:t>Customer retains all right, title, and interest in Customer data. Customer grants Vendor a limited licence to process Customer data solely to provide the Software and related services.</w:t>
      </w:r>
    </w:p>
    <w:p>
      <w:pPr>
        <w:pStyle w:val="Heading2"/>
      </w:pPr>
      <w:r>
        <w:t>7.3 Feedback</w:t>
      </w:r>
    </w:p>
    <w:p>
      <w:r>
        <w:t>If Customer provides Vendor with feedback or suggestions, Vendor may use such feedback without restriction or obligation to Customer.</w:t>
      </w:r>
    </w:p>
    <w:p>
      <w:pPr>
        <w:pStyle w:val="Heading1"/>
      </w:pPr>
      <w:r>
        <w:t>8. TERM AND TERMINATION</w:t>
      </w:r>
    </w:p>
    <w:p>
      <w:pPr>
        <w:pStyle w:val="Heading2"/>
      </w:pPr>
      <w:r>
        <w:t>8.1 Initial Term</w:t>
      </w:r>
    </w:p>
    <w:p>
      <w:r>
        <w:t>This Agreement commences on the Effective Date and continues for the Initial Term specified in the Order Form, unless earlier terminated in accordance with this Section.</w:t>
      </w:r>
    </w:p>
    <w:p>
      <w:pPr>
        <w:pStyle w:val="Heading2"/>
      </w:pPr>
      <w:r>
        <w:t>8.2 Renewal</w:t>
      </w:r>
    </w:p>
    <w:p>
      <w:r>
        <w:t>The Agreement automatically renews for successive one-year periods unless either party provides written notice of non-renewal at least sixty (60) days prior to the end of the then-current term.</w:t>
      </w:r>
    </w:p>
    <w:p>
      <w:pPr>
        <w:pStyle w:val="Heading2"/>
      </w:pPr>
      <w:r>
        <w:t>8.3 Termination for Cause</w:t>
      </w:r>
    </w:p>
    <w:p>
      <w:r>
        <w:t>Either party may terminate this Agreement upon thirty (30) days' written notice if the other party materially breaches any term of this Agreement and fails to cure such breach within such period.</w:t>
      </w:r>
    </w:p>
    <w:p>
      <w:pPr>
        <w:pStyle w:val="Heading2"/>
      </w:pPr>
      <w:r>
        <w:t>8.4 Effect of Termination</w:t>
      </w:r>
    </w:p>
    <w:p>
      <w:r>
        <w:t>Upon termination, Customer's right to access the Software ceases. Vendor will make Customer data available for export for thirty (30) days, after which Vendor may delete it. Fees paid are non-refundable except for prepaid unused service following termination for cause.</w:t>
      </w:r>
    </w:p>
    <w:p>
      <w:pPr>
        <w:pStyle w:val="Heading1"/>
      </w:pPr>
      <w:r>
        <w:t>9. LIMITATION OF LIABILITY</w:t>
      </w:r>
    </w:p>
    <w:p>
      <w:pPr>
        <w:pStyle w:val="Heading2"/>
      </w:pPr>
      <w:r>
        <w:t>9.1 Exclusion of Consequential Damages</w:t>
      </w:r>
    </w:p>
    <w:p>
      <w:r>
        <w:t>NEITHER PARTY SHALL BE LIABLE FOR INDIRECT, INCIDENTAL, SPECIAL, CONSEQUENTIAL, PUNITIVE, OR EXEMPLARY DAMAGES, INCLUDING LOSS OF PROFITS, REVENUE, DATA, OR BUSINESS OPPORTUNITIES, EVEN IF ADVISED OF THE POSSIBILITY OF SUCH DAMAGES.</w:t>
      </w:r>
    </w:p>
    <w:p>
      <w:pPr>
        <w:pStyle w:val="Heading2"/>
      </w:pPr>
      <w:r>
        <w:t>9.2 Cap on Liability</w:t>
      </w:r>
    </w:p>
    <w:p>
      <w:r>
        <w:t>EACH PARTY'S TOTAL CUMULATIVE LIABILITY ARISING OUT OF OR RELATED TO THIS AGREEMENT SHALL NOT EXCEED THE TOTAL FEES PAID OR PAYABLE BY CUSTOMER IN THE TWELVE (12) MONTHS PRECEDING THE CLAIM.</w:t>
      </w:r>
    </w:p>
    <w:p>
      <w:pPr>
        <w:pStyle w:val="Heading2"/>
      </w:pPr>
      <w:r>
        <w:t>9.3 Exceptions</w:t>
      </w:r>
    </w:p>
    <w:p>
      <w:r>
        <w:t>The foregoing limitations do not apply to: (a) breaches of confidentiality obligations; (b) indemnification obligations; (c) gross negligence or wilful misconduct; (d) death or personal injury caused by negligence.</w:t>
      </w:r>
    </w:p>
    <w:p>
      <w:pPr>
        <w:pStyle w:val="Heading1"/>
      </w:pPr>
      <w:r>
        <w:t>10. GENERAL PROVISIONS</w:t>
      </w:r>
    </w:p>
    <w:p>
      <w:r>
        <w:t>10.1 Governing Law. This Agreement is governed by the laws of the State of Delaware without regard to its conflict of law provisions. 10.2 Dispute Resolution. The parties agree to attempt to resolve disputes through good-faith negotiation for 30 days before resorting to binding arbitration under JAMS rules in San Francisco, CA. 10.3 Force Majeure. Neither party is liable for delays caused by circumstances beyond its reasonable control. 10.4 Entire Agreement. This Agreement, including all Order Forms and SOWs, constitutes the entire agreement between the parties and supersedes all prior agreements.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