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D7295" w14:textId="035761FF" w:rsidR="00FD6C17" w:rsidRDefault="00B76DB9" w:rsidP="00B76DB9">
      <w:pPr>
        <w:jc w:val="center"/>
        <w:rPr>
          <w:b/>
          <w:bCs/>
          <w:sz w:val="32"/>
          <w:szCs w:val="32"/>
        </w:rPr>
      </w:pPr>
      <w:r w:rsidRPr="00B76DB9">
        <w:rPr>
          <w:b/>
          <w:bCs/>
          <w:sz w:val="32"/>
          <w:szCs w:val="32"/>
        </w:rPr>
        <w:t>Dashboard Design</w:t>
      </w:r>
    </w:p>
    <w:tbl>
      <w:tblPr>
        <w:tblW w:w="9018" w:type="dxa"/>
        <w:tblBorders>
          <w:top w:val="single" w:sz="2" w:space="0" w:color="auto"/>
          <w:left w:val="single" w:sz="2" w:space="0" w:color="auto"/>
          <w:bottom w:val="single" w:sz="2" w:space="0" w:color="auto"/>
          <w:right w:val="single" w:sz="2" w:space="0" w:color="auto"/>
        </w:tblBorders>
        <w:shd w:val="clear" w:color="auto" w:fill="FFFFFF"/>
        <w:tblCellMar>
          <w:top w:w="100" w:type="dxa"/>
          <w:left w:w="100" w:type="dxa"/>
          <w:bottom w:w="100" w:type="dxa"/>
          <w:right w:w="100" w:type="dxa"/>
        </w:tblCellMar>
        <w:tblLook w:val="04A0" w:firstRow="1" w:lastRow="0" w:firstColumn="1" w:lastColumn="0" w:noHBand="0" w:noVBand="1"/>
      </w:tblPr>
      <w:tblGrid>
        <w:gridCol w:w="4400"/>
        <w:gridCol w:w="4618"/>
      </w:tblGrid>
      <w:tr w:rsidR="00B76DB9" w:rsidRPr="00B76DB9" w14:paraId="58B947EB" w14:textId="77777777" w:rsidTr="00B76DB9">
        <w:trPr>
          <w:trHeight w:val="278"/>
        </w:trPr>
        <w:tc>
          <w:tcPr>
            <w:tcW w:w="4400" w:type="dxa"/>
            <w:tcBorders>
              <w:top w:val="single" w:sz="8" w:space="0" w:color="000000"/>
              <w:left w:val="single" w:sz="8" w:space="0" w:color="000000"/>
              <w:bottom w:val="single" w:sz="8" w:space="0" w:color="000000"/>
              <w:right w:val="single" w:sz="8" w:space="0" w:color="000000"/>
            </w:tcBorders>
            <w:shd w:val="clear" w:color="auto" w:fill="FFFFFF"/>
            <w:hideMark/>
          </w:tcPr>
          <w:p w14:paraId="1C9A18C4" w14:textId="77777777" w:rsidR="00B76DB9" w:rsidRPr="00B76DB9" w:rsidRDefault="00B76DB9" w:rsidP="00B76DB9">
            <w:pPr>
              <w:jc w:val="center"/>
            </w:pPr>
            <w:r w:rsidRPr="00B76DB9">
              <w:t xml:space="preserve">Date </w:t>
            </w:r>
          </w:p>
        </w:tc>
        <w:tc>
          <w:tcPr>
            <w:tcW w:w="4618" w:type="dxa"/>
            <w:tcBorders>
              <w:top w:val="single" w:sz="8" w:space="0" w:color="000000"/>
              <w:left w:val="single" w:sz="8" w:space="0" w:color="000000"/>
              <w:bottom w:val="single" w:sz="8" w:space="0" w:color="000000"/>
              <w:right w:val="single" w:sz="8" w:space="0" w:color="000000"/>
            </w:tcBorders>
            <w:shd w:val="clear" w:color="auto" w:fill="FFFFFF"/>
            <w:hideMark/>
          </w:tcPr>
          <w:p w14:paraId="5EB4CA14" w14:textId="6AA0D1E4" w:rsidR="00B76DB9" w:rsidRPr="00B76DB9" w:rsidRDefault="00B76DB9" w:rsidP="00B76DB9">
            <w:pPr>
              <w:jc w:val="center"/>
            </w:pPr>
            <w:r>
              <w:t>30</w:t>
            </w:r>
            <w:r w:rsidRPr="00B76DB9">
              <w:t xml:space="preserve"> July 2026</w:t>
            </w:r>
          </w:p>
        </w:tc>
      </w:tr>
      <w:tr w:rsidR="00B76DB9" w:rsidRPr="00B76DB9" w14:paraId="77330DCC" w14:textId="77777777" w:rsidTr="00B76DB9">
        <w:trPr>
          <w:trHeight w:val="278"/>
        </w:trPr>
        <w:tc>
          <w:tcPr>
            <w:tcW w:w="4400" w:type="dxa"/>
            <w:tcBorders>
              <w:top w:val="single" w:sz="8" w:space="0" w:color="000000"/>
              <w:left w:val="single" w:sz="8" w:space="0" w:color="000000"/>
              <w:bottom w:val="single" w:sz="8" w:space="0" w:color="000000"/>
              <w:right w:val="single" w:sz="8" w:space="0" w:color="000000"/>
            </w:tcBorders>
            <w:shd w:val="clear" w:color="auto" w:fill="FFFFFF"/>
            <w:hideMark/>
          </w:tcPr>
          <w:p w14:paraId="5708D65D" w14:textId="77777777" w:rsidR="00B76DB9" w:rsidRPr="00B76DB9" w:rsidRDefault="00B76DB9" w:rsidP="00B76DB9">
            <w:pPr>
              <w:jc w:val="center"/>
            </w:pPr>
            <w:r w:rsidRPr="00B76DB9">
              <w:t xml:space="preserve">Team ID </w:t>
            </w:r>
          </w:p>
        </w:tc>
        <w:tc>
          <w:tcPr>
            <w:tcW w:w="4618" w:type="dxa"/>
            <w:tcBorders>
              <w:top w:val="single" w:sz="8" w:space="0" w:color="000000"/>
              <w:left w:val="single" w:sz="8" w:space="0" w:color="000000"/>
              <w:bottom w:val="single" w:sz="8" w:space="0" w:color="000000"/>
              <w:right w:val="single" w:sz="8" w:space="0" w:color="000000"/>
            </w:tcBorders>
            <w:shd w:val="clear" w:color="auto" w:fill="FFFFFF"/>
            <w:hideMark/>
          </w:tcPr>
          <w:p w14:paraId="09149F61" w14:textId="1D1BFB7D" w:rsidR="00B76DB9" w:rsidRPr="00B76DB9" w:rsidRDefault="00B76DB9" w:rsidP="00B76DB9">
            <w:pPr>
              <w:jc w:val="center"/>
            </w:pPr>
            <w:r>
              <w:t>Archana kumari</w:t>
            </w:r>
          </w:p>
        </w:tc>
      </w:tr>
      <w:tr w:rsidR="00B76DB9" w:rsidRPr="00B76DB9" w14:paraId="45D8D81C" w14:textId="77777777" w:rsidTr="00B76DB9">
        <w:trPr>
          <w:trHeight w:val="278"/>
        </w:trPr>
        <w:tc>
          <w:tcPr>
            <w:tcW w:w="4400" w:type="dxa"/>
            <w:tcBorders>
              <w:top w:val="single" w:sz="8" w:space="0" w:color="000000"/>
              <w:left w:val="single" w:sz="8" w:space="0" w:color="000000"/>
              <w:bottom w:val="single" w:sz="8" w:space="0" w:color="000000"/>
              <w:right w:val="single" w:sz="8" w:space="0" w:color="000000"/>
            </w:tcBorders>
            <w:shd w:val="clear" w:color="auto" w:fill="FFFFFF"/>
            <w:hideMark/>
          </w:tcPr>
          <w:p w14:paraId="7CA548D6" w14:textId="77777777" w:rsidR="00B76DB9" w:rsidRPr="00B76DB9" w:rsidRDefault="00B76DB9" w:rsidP="00B76DB9">
            <w:pPr>
              <w:jc w:val="center"/>
            </w:pPr>
            <w:r w:rsidRPr="00B76DB9">
              <w:t xml:space="preserve">Project Name </w:t>
            </w:r>
          </w:p>
        </w:tc>
        <w:tc>
          <w:tcPr>
            <w:tcW w:w="4618" w:type="dxa"/>
            <w:tcBorders>
              <w:top w:val="single" w:sz="8" w:space="0" w:color="000000"/>
              <w:left w:val="single" w:sz="8" w:space="0" w:color="000000"/>
              <w:bottom w:val="single" w:sz="8" w:space="0" w:color="000000"/>
              <w:right w:val="single" w:sz="8" w:space="0" w:color="000000"/>
            </w:tcBorders>
            <w:shd w:val="clear" w:color="auto" w:fill="FFFFFF"/>
            <w:hideMark/>
          </w:tcPr>
          <w:p w14:paraId="6BE83226" w14:textId="06B8CF35" w:rsidR="00B76DB9" w:rsidRPr="00B76DB9" w:rsidRDefault="00B76DB9" w:rsidP="00B76DB9">
            <w:pPr>
              <w:jc w:val="center"/>
            </w:pPr>
            <w:r>
              <w:t>F</w:t>
            </w:r>
            <w:r w:rsidRPr="00B76DB9">
              <w:t xml:space="preserve">ood ordering </w:t>
            </w:r>
            <w:proofErr w:type="spellStart"/>
            <w:r w:rsidRPr="00B76DB9">
              <w:t>behaviour</w:t>
            </w:r>
            <w:proofErr w:type="spellEnd"/>
            <w:r w:rsidRPr="00B76DB9">
              <w:t xml:space="preserve"> and consumer trends</w:t>
            </w:r>
          </w:p>
        </w:tc>
      </w:tr>
      <w:tr w:rsidR="00B76DB9" w:rsidRPr="00B76DB9" w14:paraId="4FB736FC" w14:textId="77777777" w:rsidTr="00B76DB9">
        <w:trPr>
          <w:trHeight w:val="278"/>
        </w:trPr>
        <w:tc>
          <w:tcPr>
            <w:tcW w:w="4400" w:type="dxa"/>
            <w:tcBorders>
              <w:top w:val="single" w:sz="8" w:space="0" w:color="000000"/>
              <w:left w:val="single" w:sz="8" w:space="0" w:color="000000"/>
              <w:bottom w:val="single" w:sz="8" w:space="0" w:color="000000"/>
              <w:right w:val="single" w:sz="8" w:space="0" w:color="000000"/>
            </w:tcBorders>
            <w:shd w:val="clear" w:color="auto" w:fill="FFFFFF"/>
            <w:hideMark/>
          </w:tcPr>
          <w:p w14:paraId="2AE79133" w14:textId="77777777" w:rsidR="00B76DB9" w:rsidRPr="00B76DB9" w:rsidRDefault="00B76DB9" w:rsidP="00B76DB9">
            <w:pPr>
              <w:jc w:val="center"/>
            </w:pPr>
            <w:r w:rsidRPr="00B76DB9">
              <w:t xml:space="preserve">Maximum Marks </w:t>
            </w:r>
          </w:p>
        </w:tc>
        <w:tc>
          <w:tcPr>
            <w:tcW w:w="4618" w:type="dxa"/>
            <w:tcBorders>
              <w:top w:val="single" w:sz="8" w:space="0" w:color="000000"/>
              <w:left w:val="single" w:sz="8" w:space="0" w:color="000000"/>
              <w:bottom w:val="single" w:sz="8" w:space="0" w:color="000000"/>
              <w:right w:val="single" w:sz="8" w:space="0" w:color="000000"/>
            </w:tcBorders>
            <w:shd w:val="clear" w:color="auto" w:fill="FFFFFF"/>
            <w:hideMark/>
          </w:tcPr>
          <w:p w14:paraId="10BA2201" w14:textId="77777777" w:rsidR="00B76DB9" w:rsidRPr="00B76DB9" w:rsidRDefault="00B76DB9" w:rsidP="00B76DB9">
            <w:pPr>
              <w:jc w:val="center"/>
            </w:pPr>
            <w:r w:rsidRPr="00B76DB9">
              <w:t>5 Marks</w:t>
            </w:r>
          </w:p>
        </w:tc>
      </w:tr>
    </w:tbl>
    <w:p w14:paraId="56E97229" w14:textId="77777777" w:rsidR="00B76DB9" w:rsidRDefault="00B76DB9" w:rsidP="00B76DB9"/>
    <w:p w14:paraId="5744F513" w14:textId="77777777" w:rsidR="00B76DB9" w:rsidRDefault="00B76DB9" w:rsidP="00B76DB9"/>
    <w:p w14:paraId="10639708" w14:textId="77777777" w:rsidR="00B76DB9" w:rsidRDefault="00B76DB9" w:rsidP="00B76DB9">
      <w:pPr>
        <w:rPr>
          <w:b/>
          <w:bCs/>
          <w:sz w:val="28"/>
          <w:szCs w:val="28"/>
        </w:rPr>
      </w:pPr>
      <w:r w:rsidRPr="00B76DB9">
        <w:rPr>
          <w:b/>
          <w:bCs/>
          <w:sz w:val="28"/>
          <w:szCs w:val="28"/>
        </w:rPr>
        <w:t>Activity 1: Interactive and Visually Appealing Dashboards</w:t>
      </w:r>
    </w:p>
    <w:p w14:paraId="435470CC" w14:textId="77777777" w:rsidR="00B76DB9" w:rsidRDefault="00B76DB9" w:rsidP="00B76DB9">
      <w:pPr>
        <w:rPr>
          <w:b/>
          <w:bCs/>
          <w:sz w:val="28"/>
          <w:szCs w:val="28"/>
        </w:rPr>
      </w:pPr>
    </w:p>
    <w:p w14:paraId="2CDE2D18" w14:textId="0C9221CF" w:rsidR="00B76DB9" w:rsidRDefault="00B76DB9" w:rsidP="00B76DB9">
      <w:pPr>
        <w:rPr>
          <w:sz w:val="28"/>
          <w:szCs w:val="28"/>
        </w:rPr>
      </w:pPr>
      <w:r>
        <w:rPr>
          <w:noProof/>
          <w:sz w:val="28"/>
          <w:szCs w:val="28"/>
        </w:rPr>
        <w:drawing>
          <wp:inline distT="0" distB="0" distL="0" distR="0" wp14:anchorId="5D27C63C" wp14:editId="2F86CBC2">
            <wp:extent cx="5943600" cy="3004185"/>
            <wp:effectExtent l="0" t="0" r="0" b="5715"/>
            <wp:docPr id="1678423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23513" name="Picture 167842351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004185"/>
                    </a:xfrm>
                    <a:prstGeom prst="rect">
                      <a:avLst/>
                    </a:prstGeom>
                  </pic:spPr>
                </pic:pic>
              </a:graphicData>
            </a:graphic>
          </wp:inline>
        </w:drawing>
      </w:r>
    </w:p>
    <w:p w14:paraId="7661A22A" w14:textId="1853A57F" w:rsidR="00B76DB9" w:rsidRDefault="00B76DB9" w:rsidP="00B76DB9">
      <w:pPr>
        <w:rPr>
          <w:sz w:val="28"/>
          <w:szCs w:val="28"/>
        </w:rPr>
      </w:pPr>
      <w:r>
        <w:rPr>
          <w:noProof/>
          <w:sz w:val="28"/>
          <w:szCs w:val="28"/>
        </w:rPr>
        <w:lastRenderedPageBreak/>
        <w:drawing>
          <wp:inline distT="0" distB="0" distL="0" distR="0" wp14:anchorId="5C00C869" wp14:editId="50FDB147">
            <wp:extent cx="5943600" cy="3025140"/>
            <wp:effectExtent l="0" t="0" r="0" b="3810"/>
            <wp:docPr id="2007705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05980" name="Picture 20077059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25140"/>
                    </a:xfrm>
                    <a:prstGeom prst="rect">
                      <a:avLst/>
                    </a:prstGeom>
                  </pic:spPr>
                </pic:pic>
              </a:graphicData>
            </a:graphic>
          </wp:inline>
        </w:drawing>
      </w:r>
    </w:p>
    <w:p w14:paraId="0488822E" w14:textId="77777777" w:rsidR="00B76DB9" w:rsidRDefault="00B76DB9" w:rsidP="00B76DB9">
      <w:pPr>
        <w:rPr>
          <w:sz w:val="28"/>
          <w:szCs w:val="28"/>
        </w:rPr>
      </w:pPr>
    </w:p>
    <w:p w14:paraId="31A37CEC" w14:textId="77777777" w:rsidR="00B76DB9" w:rsidRPr="00B76DB9" w:rsidRDefault="00B76DB9" w:rsidP="00B76DB9">
      <w:r w:rsidRPr="00B76DB9">
        <w:rPr>
          <w:b/>
          <w:bCs/>
        </w:rPr>
        <w:t>The core design principles—including a Clear and Intuitive Layout, Consistent Color and Theming, Interactive Analysis, and Effective Data Visualization—have been applied to create the Food Ordering Behavior Analysis Dashboard. Below are the key outcomes and insights surfaced by the analytical interface:</w:t>
      </w:r>
    </w:p>
    <w:p w14:paraId="67FC3243" w14:textId="77777777" w:rsidR="00B76DB9" w:rsidRPr="00B76DB9" w:rsidRDefault="00B76DB9" w:rsidP="00B76DB9">
      <w:r w:rsidRPr="00B76DB9">
        <w:rPr>
          <w:b/>
          <w:bCs/>
        </w:rPr>
        <w:t>City-wise Revenue Performance (Q1):</w:t>
      </w:r>
      <w:r w:rsidRPr="00B76DB9">
        <w:t xml:space="preserve"> The Total Order Value by City bar chart compares revenue contribution across different cities and helps identify the strongest-performing markets. This provides a basis for evaluating market potential and supporting decisions related to marketing, expansion, and resource allocation.</w:t>
      </w:r>
    </w:p>
    <w:p w14:paraId="51212DF3" w14:textId="77777777" w:rsidR="00B76DB9" w:rsidRPr="00B76DB9" w:rsidRDefault="00B76DB9" w:rsidP="00B76DB9">
      <w:r w:rsidRPr="00B76DB9">
        <w:rPr>
          <w:b/>
          <w:bCs/>
        </w:rPr>
        <w:t>Order Value by Time of Day (Q2 &amp; Q3):</w:t>
      </w:r>
      <w:r w:rsidRPr="00B76DB9">
        <w:t xml:space="preserve"> The Average Order Value line chart and Total Order Value area chart highlight customer spending and revenue patterns across Morning, Afternoon, Evening, and Night. These visualizations help identify variations in customer ordering behavior throughout the day and support better promotional and operational planning.</w:t>
      </w:r>
    </w:p>
    <w:p w14:paraId="00EC958E" w14:textId="77777777" w:rsidR="00B76DB9" w:rsidRPr="00B76DB9" w:rsidRDefault="00B76DB9" w:rsidP="00B76DB9">
      <w:r w:rsidRPr="00B76DB9">
        <w:rPr>
          <w:b/>
          <w:bCs/>
        </w:rPr>
        <w:t>Meal Preference and Ordering Patterns (Q4 &amp; Q5):</w:t>
      </w:r>
      <w:r w:rsidRPr="00B76DB9">
        <w:t xml:space="preserve"> The Order Distribution heat map and Meal Type </w:t>
      </w:r>
      <w:proofErr w:type="spellStart"/>
      <w:r w:rsidRPr="00B76DB9">
        <w:t>treemap</w:t>
      </w:r>
      <w:proofErr w:type="spellEnd"/>
      <w:r w:rsidRPr="00B76DB9">
        <w:t xml:space="preserve"> reveal customer preferences across different meal types and order times. The analysis helps identify popular meal-time combinations and the relative revenue contribution of different meal categories, supporting menu planning and inventory decisions.</w:t>
      </w:r>
    </w:p>
    <w:p w14:paraId="0F3206A3" w14:textId="77777777" w:rsidR="00B76DB9" w:rsidRPr="00B76DB9" w:rsidRDefault="00B76DB9" w:rsidP="00B76DB9">
      <w:r w:rsidRPr="00B76DB9">
        <w:rPr>
          <w:b/>
          <w:bCs/>
        </w:rPr>
        <w:t>Customer Spending Distribution (Q6):</w:t>
      </w:r>
      <w:r w:rsidRPr="00B76DB9">
        <w:t xml:space="preserve"> The Order Value histogram illustrates how customer orders are distributed across different spending ranges. This provides a clearer </w:t>
      </w:r>
      <w:r w:rsidRPr="00B76DB9">
        <w:lastRenderedPageBreak/>
        <w:t>understanding of common purchasing patterns and can support pricing, promotional, and customer-segmentation strategies.</w:t>
      </w:r>
    </w:p>
    <w:p w14:paraId="0D35487A" w14:textId="77777777" w:rsidR="00B76DB9" w:rsidRPr="00B76DB9" w:rsidRDefault="00B76DB9" w:rsidP="00B76DB9">
      <w:r w:rsidRPr="00B76DB9">
        <w:rPr>
          <w:b/>
          <w:bCs/>
        </w:rPr>
        <w:t>Cuisine Contribution Across Cities (Q7):</w:t>
      </w:r>
      <w:r w:rsidRPr="00B76DB9">
        <w:t xml:space="preserve"> The stacked bar chart compares cuisine-wise order value across different cities, highlighting how individual cuisines contribute to overall city revenue. This helps identify regional preferences and supports localized menu and marketing strategies.</w:t>
      </w:r>
    </w:p>
    <w:p w14:paraId="502A2435" w14:textId="77777777" w:rsidR="00B76DB9" w:rsidRPr="00B76DB9" w:rsidRDefault="00B76DB9" w:rsidP="00B76DB9">
      <w:r w:rsidRPr="00B76DB9">
        <w:rPr>
          <w:b/>
          <w:bCs/>
        </w:rPr>
        <w:t>Cuisine-wise Revenue Performance (Q8):</w:t>
      </w:r>
      <w:r w:rsidRPr="00B76DB9">
        <w:t xml:space="preserve"> The Order Value by Cuisine lollipop chart provides a clear comparison of total order value across cuisine categories. It helps identify higher and lower revenue-generating cuisines and supports strategic decisions related to menu offerings and promotional focus.</w:t>
      </w:r>
    </w:p>
    <w:p w14:paraId="3009C02E" w14:textId="77777777" w:rsidR="00B76DB9" w:rsidRDefault="00B76DB9" w:rsidP="00B76DB9"/>
    <w:p w14:paraId="68DB053F" w14:textId="77777777" w:rsidR="00B76DB9" w:rsidRPr="00B76DB9" w:rsidRDefault="00B76DB9" w:rsidP="00B76DB9">
      <w:pPr>
        <w:rPr>
          <w:sz w:val="28"/>
          <w:szCs w:val="28"/>
        </w:rPr>
      </w:pPr>
      <w:r w:rsidRPr="00B76DB9">
        <w:rPr>
          <w:b/>
          <w:bCs/>
          <w:sz w:val="28"/>
          <w:szCs w:val="28"/>
        </w:rPr>
        <w:t>Activity 2: Live Deployment Link</w:t>
      </w:r>
    </w:p>
    <w:p w14:paraId="35653D72" w14:textId="77777777" w:rsidR="00B76DB9" w:rsidRPr="00B76DB9" w:rsidRDefault="00B76DB9" w:rsidP="00B76DB9">
      <w:r w:rsidRPr="00B76DB9">
        <w:t>Below is the verified public access link to the interactive, cloud-hosted visualization story:</w:t>
      </w:r>
    </w:p>
    <w:p w14:paraId="07F3060D" w14:textId="77777777" w:rsidR="00B76DB9" w:rsidRPr="00B76DB9" w:rsidRDefault="00B76DB9" w:rsidP="00B76DB9">
      <w:r w:rsidRPr="00B76DB9">
        <w:rPr>
          <w:b/>
          <w:bCs/>
        </w:rPr>
        <w:t>Tableau Public Dashboard Link:</w:t>
      </w:r>
    </w:p>
    <w:p w14:paraId="5CC6ECE1" w14:textId="32BF13CC" w:rsidR="00B76DB9" w:rsidRDefault="004235D7" w:rsidP="00B76DB9">
      <w:pPr>
        <w:rPr>
          <w:sz w:val="28"/>
          <w:szCs w:val="28"/>
        </w:rPr>
      </w:pPr>
      <w:hyperlink r:id="rId6" w:history="1">
        <w:r w:rsidRPr="0017662D">
          <w:rPr>
            <w:rStyle w:val="Hyperlink"/>
            <w:sz w:val="28"/>
            <w:szCs w:val="28"/>
          </w:rPr>
          <w:t>https://public.tableau.com/views/food_ordering_behaviourdashboard1/BusinessPerformanceOverview?:language=en-US&amp;publish=yes&amp;:sid=&amp;:redirect=auth&amp;:display_count=n&amp;:origin=viz_share_link</w:t>
        </w:r>
      </w:hyperlink>
    </w:p>
    <w:p w14:paraId="6DFF882F" w14:textId="033705F0" w:rsidR="004235D7" w:rsidRDefault="00747DAE" w:rsidP="00B76DB9">
      <w:pPr>
        <w:rPr>
          <w:sz w:val="28"/>
          <w:szCs w:val="28"/>
        </w:rPr>
      </w:pPr>
      <w:hyperlink r:id="rId7" w:history="1">
        <w:r w:rsidRPr="0017662D">
          <w:rPr>
            <w:rStyle w:val="Hyperlink"/>
            <w:sz w:val="28"/>
            <w:szCs w:val="28"/>
          </w:rPr>
          <w:t>https://public.tableau.com/views/food_ordering_behaviourdashboard2/RevenueAndDistributionAnalysis?:language=en-US&amp;publish=yes&amp;:sid=&amp;:redirect=auth&amp;:display_count=n&amp;:origin=viz_share_link</w:t>
        </w:r>
      </w:hyperlink>
    </w:p>
    <w:p w14:paraId="5A67952C" w14:textId="77777777" w:rsidR="00747DAE" w:rsidRDefault="00747DAE" w:rsidP="00B76DB9">
      <w:pPr>
        <w:rPr>
          <w:sz w:val="28"/>
          <w:szCs w:val="28"/>
        </w:rPr>
      </w:pPr>
    </w:p>
    <w:p w14:paraId="31C580C1" w14:textId="77777777" w:rsidR="00B76DB9" w:rsidRPr="00B76DB9" w:rsidRDefault="00B76DB9" w:rsidP="00B76DB9">
      <w:pPr>
        <w:rPr>
          <w:sz w:val="28"/>
          <w:szCs w:val="28"/>
        </w:rPr>
      </w:pPr>
    </w:p>
    <w:p w14:paraId="58C62D8E" w14:textId="77777777" w:rsidR="00B76DB9" w:rsidRDefault="00B76DB9" w:rsidP="00B76DB9"/>
    <w:p w14:paraId="1C33052C" w14:textId="77777777" w:rsidR="00B76DB9" w:rsidRPr="00B76DB9" w:rsidRDefault="00B76DB9" w:rsidP="00B76DB9"/>
    <w:sectPr w:rsidR="00B76DB9" w:rsidRPr="00B76D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DB9"/>
    <w:rsid w:val="0009079A"/>
    <w:rsid w:val="004235D7"/>
    <w:rsid w:val="00747DAE"/>
    <w:rsid w:val="007F7AAF"/>
    <w:rsid w:val="00806D95"/>
    <w:rsid w:val="00995F70"/>
    <w:rsid w:val="009D6057"/>
    <w:rsid w:val="00B04F01"/>
    <w:rsid w:val="00B76DB9"/>
    <w:rsid w:val="00FD6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28D49"/>
  <w15:chartTrackingRefBased/>
  <w15:docId w15:val="{6AD1BCFC-1183-4DDD-A2A1-A9E0FA2B8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D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6D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D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D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D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D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D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D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D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D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DB9"/>
    <w:rPr>
      <w:rFonts w:eastAsiaTheme="majorEastAsia" w:cstheme="majorBidi"/>
      <w:color w:val="272727" w:themeColor="text1" w:themeTint="D8"/>
    </w:rPr>
  </w:style>
  <w:style w:type="paragraph" w:styleId="Title">
    <w:name w:val="Title"/>
    <w:basedOn w:val="Normal"/>
    <w:next w:val="Normal"/>
    <w:link w:val="TitleChar"/>
    <w:uiPriority w:val="10"/>
    <w:qFormat/>
    <w:rsid w:val="00B76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DB9"/>
    <w:pPr>
      <w:spacing w:before="160"/>
      <w:jc w:val="center"/>
    </w:pPr>
    <w:rPr>
      <w:i/>
      <w:iCs/>
      <w:color w:val="404040" w:themeColor="text1" w:themeTint="BF"/>
    </w:rPr>
  </w:style>
  <w:style w:type="character" w:customStyle="1" w:styleId="QuoteChar">
    <w:name w:val="Quote Char"/>
    <w:basedOn w:val="DefaultParagraphFont"/>
    <w:link w:val="Quote"/>
    <w:uiPriority w:val="29"/>
    <w:rsid w:val="00B76DB9"/>
    <w:rPr>
      <w:i/>
      <w:iCs/>
      <w:color w:val="404040" w:themeColor="text1" w:themeTint="BF"/>
    </w:rPr>
  </w:style>
  <w:style w:type="paragraph" w:styleId="ListParagraph">
    <w:name w:val="List Paragraph"/>
    <w:basedOn w:val="Normal"/>
    <w:uiPriority w:val="34"/>
    <w:qFormat/>
    <w:rsid w:val="00B76DB9"/>
    <w:pPr>
      <w:ind w:left="720"/>
      <w:contextualSpacing/>
    </w:pPr>
  </w:style>
  <w:style w:type="character" w:styleId="IntenseEmphasis">
    <w:name w:val="Intense Emphasis"/>
    <w:basedOn w:val="DefaultParagraphFont"/>
    <w:uiPriority w:val="21"/>
    <w:qFormat/>
    <w:rsid w:val="00B76DB9"/>
    <w:rPr>
      <w:i/>
      <w:iCs/>
      <w:color w:val="0F4761" w:themeColor="accent1" w:themeShade="BF"/>
    </w:rPr>
  </w:style>
  <w:style w:type="paragraph" w:styleId="IntenseQuote">
    <w:name w:val="Intense Quote"/>
    <w:basedOn w:val="Normal"/>
    <w:next w:val="Normal"/>
    <w:link w:val="IntenseQuoteChar"/>
    <w:uiPriority w:val="30"/>
    <w:qFormat/>
    <w:rsid w:val="00B76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DB9"/>
    <w:rPr>
      <w:i/>
      <w:iCs/>
      <w:color w:val="0F4761" w:themeColor="accent1" w:themeShade="BF"/>
    </w:rPr>
  </w:style>
  <w:style w:type="character" w:styleId="IntenseReference">
    <w:name w:val="Intense Reference"/>
    <w:basedOn w:val="DefaultParagraphFont"/>
    <w:uiPriority w:val="32"/>
    <w:qFormat/>
    <w:rsid w:val="00B76DB9"/>
    <w:rPr>
      <w:b/>
      <w:bCs/>
      <w:smallCaps/>
      <w:color w:val="0F4761" w:themeColor="accent1" w:themeShade="BF"/>
      <w:spacing w:val="5"/>
    </w:rPr>
  </w:style>
  <w:style w:type="character" w:styleId="Hyperlink">
    <w:name w:val="Hyperlink"/>
    <w:basedOn w:val="DefaultParagraphFont"/>
    <w:uiPriority w:val="99"/>
    <w:unhideWhenUsed/>
    <w:rsid w:val="004235D7"/>
    <w:rPr>
      <w:color w:val="467886" w:themeColor="hyperlink"/>
      <w:u w:val="single"/>
    </w:rPr>
  </w:style>
  <w:style w:type="character" w:styleId="UnresolvedMention">
    <w:name w:val="Unresolved Mention"/>
    <w:basedOn w:val="DefaultParagraphFont"/>
    <w:uiPriority w:val="99"/>
    <w:semiHidden/>
    <w:unhideWhenUsed/>
    <w:rsid w:val="004235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public.tableau.com/views/food_ordering_behaviourdashboard2/RevenueAndDistributionAnalysis?:language=en-US&amp;publish=yes&amp;:sid=&amp;:redirect=auth&amp;:display_count=n&amp;:origin=viz_share_lin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ublic.tableau.com/views/food_ordering_behaviourdashboard1/BusinessPerformanceOverview?:language=en-US&amp;publish=yes&amp;:sid=&amp;:redirect=auth&amp;:display_count=n&amp;:origin=viz_share_link"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archanakumari9561@gmail.com</dc:creator>
  <cp:keywords/>
  <dc:description/>
  <cp:lastModifiedBy>archanakumari9561@gmail.com</cp:lastModifiedBy>
  <cp:revision>5</cp:revision>
  <dcterms:created xsi:type="dcterms:W3CDTF">2026-07-30T05:36:00Z</dcterms:created>
  <dcterms:modified xsi:type="dcterms:W3CDTF">2026-08-01T17:27:00Z</dcterms:modified>
</cp:coreProperties>
</file>