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4485"/>
        <w:tblGridChange w:id="0">
          <w:tblGrid>
            <w:gridCol w:w="4875"/>
            <w:gridCol w:w="448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Referenties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vertAlign w:val="superscript"/>
                <w:rtl w:val="0"/>
              </w:rPr>
              <w:t xml:space="preserve">[1]</w:t>
            </w:r>
            <w:r w:rsidDel="00000000" w:rsidR="00000000" w:rsidRPr="00000000">
              <w:rPr>
                <w:rtl w:val="0"/>
              </w:rPr>
              <w:t xml:space="preserve"> </w:t>
            </w:r>
            <w:commentRangeStart w:id="0"/>
            <w:r w:rsidDel="00000000" w:rsidR="00000000" w:rsidRPr="00000000">
              <w:rPr>
                <w:rtl w:val="0"/>
              </w:rPr>
              <w:t xml:space="preserve">Elaborative Evaluation of RGB-D based Point Cloud Registration for Personal Robots</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7">
              <w:r w:rsidDel="00000000" w:rsidR="00000000" w:rsidRPr="00000000">
                <w:rPr>
                  <w:color w:val="1155cc"/>
                  <w:u w:val="single"/>
                  <w:rtl w:val="0"/>
                </w:rPr>
                <w:t xml:space="preserve">http://citeseerx.ist.psu.edu/viewdoc/download?doi=10.1.1.391.2433&amp;rep=rep1&amp;type=pdf</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vertAlign w:val="superscript"/>
                <w:rtl w:val="0"/>
              </w:rPr>
              <w:t xml:space="preserve">[2]</w:t>
            </w:r>
            <w:r w:rsidDel="00000000" w:rsidR="00000000" w:rsidRPr="00000000">
              <w:rPr>
                <w:rtl w:val="0"/>
              </w:rPr>
              <w:t xml:space="preserve"> </w:t>
            </w:r>
            <w:commentRangeStart w:id="1"/>
            <w:r w:rsidDel="00000000" w:rsidR="00000000" w:rsidRPr="00000000">
              <w:rPr>
                <w:rtl w:val="0"/>
              </w:rPr>
              <w:t xml:space="preserve">An evaluation of the RGB-D SLAM system</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8">
              <w:r w:rsidDel="00000000" w:rsidR="00000000" w:rsidRPr="00000000">
                <w:rPr>
                  <w:color w:val="1155cc"/>
                  <w:u w:val="single"/>
                  <w:rtl w:val="0"/>
                </w:rPr>
                <w:t xml:space="preserve">http://ieeexplore.ieee.org/abstract/document/6225199/</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vertAlign w:val="superscript"/>
                <w:rtl w:val="0"/>
              </w:rPr>
              <w:t xml:space="preserve">[3] </w:t>
            </w:r>
            <w:r w:rsidDel="00000000" w:rsidR="00000000" w:rsidRPr="00000000">
              <w:rPr>
                <w:rtl w:val="0"/>
              </w:rPr>
              <w:t xml:space="preserve">Open source Visual SLAM evaluation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9">
              <w:r w:rsidDel="00000000" w:rsidR="00000000" w:rsidRPr="00000000">
                <w:rPr>
                  <w:color w:val="1155cc"/>
                  <w:u w:val="single"/>
                  <w:rtl w:val="0"/>
                </w:rPr>
                <w:t xml:space="preserve">http://nicolovaligi.com/open-source-visual-slam-evaluation.html</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vertAlign w:val="superscript"/>
                <w:rtl w:val="0"/>
              </w:rPr>
              <w:t xml:space="preserve">[4]</w:t>
            </w:r>
            <w:r w:rsidDel="00000000" w:rsidR="00000000" w:rsidRPr="00000000">
              <w:rPr>
                <w:rtl w:val="0"/>
              </w:rPr>
              <w:t xml:space="preserve"> </w:t>
            </w:r>
            <w:commentRangeStart w:id="2"/>
            <w:r w:rsidDel="00000000" w:rsidR="00000000" w:rsidRPr="00000000">
              <w:rPr>
                <w:rtl w:val="0"/>
              </w:rPr>
              <w:t xml:space="preserve">An emprical point error model for TLS derived point clouds</w:t>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0">
              <w:r w:rsidDel="00000000" w:rsidR="00000000" w:rsidRPr="00000000">
                <w:rPr>
                  <w:color w:val="1155cc"/>
                  <w:u w:val="single"/>
                  <w:rtl w:val="0"/>
                </w:rPr>
                <w:t xml:space="preserve">http://www2.isikun.edu.tr/personel/akca/devrim/2016CZ_Ozendi_etal_ISPRS_Prague.pdf</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Start w:id="3"/>
            <w:r w:rsidDel="00000000" w:rsidR="00000000" w:rsidRPr="00000000">
              <w:rPr>
                <w:vertAlign w:val="superscript"/>
                <w:rtl w:val="0"/>
              </w:rPr>
              <w:t xml:space="preserve">[6] </w:t>
            </w:r>
            <w:r w:rsidDel="00000000" w:rsidR="00000000" w:rsidRPr="00000000">
              <w:rPr>
                <w:rtl w:val="0"/>
              </w:rPr>
              <w:t xml:space="preserve">On Measuring The Accuracy of SLAM Algorithms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1">
              <w:r w:rsidDel="00000000" w:rsidR="00000000" w:rsidRPr="00000000">
                <w:rPr>
                  <w:color w:val="1155cc"/>
                  <w:u w:val="single"/>
                  <w:rtl w:val="0"/>
                </w:rPr>
                <w:t xml:space="preserve">http://www.diva-portal.org/smash/get/diva2:459937/FULLTEXT02</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commentRangeEnd w:id="3"/>
            <w:r w:rsidDel="00000000" w:rsidR="00000000" w:rsidRPr="00000000">
              <w:commentReference w:id="3"/>
            </w:r>
            <w:r w:rsidDel="00000000" w:rsidR="00000000" w:rsidRPr="00000000">
              <w:rPr>
                <w:vertAlign w:val="superscript"/>
                <w:rtl w:val="0"/>
              </w:rPr>
              <w:t xml:space="preserve">[7] </w:t>
            </w:r>
            <w:r w:rsidDel="00000000" w:rsidR="00000000" w:rsidRPr="00000000">
              <w:rPr>
                <w:rtl w:val="0"/>
              </w:rPr>
              <w:t xml:space="preserve">Towards a benchmark for RGB-D SLAM evaluation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2">
              <w:r w:rsidDel="00000000" w:rsidR="00000000" w:rsidRPr="00000000">
                <w:rPr>
                  <w:color w:val="1155cc"/>
                  <w:u w:val="single"/>
                  <w:rtl w:val="0"/>
                </w:rPr>
                <w:t xml:space="preserve">http://vision.in.tum.de/_media/spezial/bib/sturm11rss-rgbd.pdf</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vertAlign w:val="superscript"/>
                <w:rtl w:val="0"/>
              </w:rPr>
              <w:t xml:space="preserve">[8]</w:t>
            </w:r>
            <w:r w:rsidDel="00000000" w:rsidR="00000000" w:rsidRPr="00000000">
              <w:rPr>
                <w:rtl w:val="0"/>
              </w:rPr>
              <w:t xml:space="preserve"> ORB-SLAM: a Versatile and Accurate Monocular SLAM 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6621"/>
                <w:sz w:val="21"/>
                <w:szCs w:val="21"/>
                <w:highlight w:val="white"/>
              </w:rPr>
            </w:pPr>
            <w:hyperlink r:id="rId13">
              <w:r w:rsidDel="00000000" w:rsidR="00000000" w:rsidRPr="00000000">
                <w:rPr>
                  <w:color w:val="1155cc"/>
                  <w:sz w:val="21"/>
                  <w:szCs w:val="21"/>
                  <w:highlight w:val="white"/>
                  <w:u w:val="single"/>
                  <w:rtl w:val="0"/>
                </w:rPr>
                <w:t xml:space="preserve">https://arxiv.org/pdf/1502.00956</w:t>
              </w:r>
            </w:hyperlink>
            <w:r w:rsidDel="00000000" w:rsidR="00000000" w:rsidRPr="00000000">
              <w:rPr>
                <w:color w:val="006621"/>
                <w:sz w:val="21"/>
                <w:szCs w:val="21"/>
                <w:highlight w:val="whit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6621"/>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vertAlign w:val="superscript"/>
              </w:rPr>
            </w:pPr>
            <w:r w:rsidDel="00000000" w:rsidR="00000000" w:rsidRPr="00000000">
              <w:rPr>
                <w:sz w:val="34"/>
                <w:szCs w:val="34"/>
                <w:vertAlign w:val="superscript"/>
                <w:rtl w:val="0"/>
              </w:rPr>
              <w:t xml:space="preserve">g</w:t>
            </w:r>
            <w:r w:rsidDel="00000000" w:rsidR="00000000" w:rsidRPr="00000000">
              <w:rPr>
                <w:vertAlign w:val="superscript"/>
                <w:rtl w:val="0"/>
              </w:rPr>
              <w:t xml:space="preserve">2</w:t>
            </w:r>
            <w:r w:rsidDel="00000000" w:rsidR="00000000" w:rsidRPr="00000000">
              <w:rPr>
                <w:sz w:val="34"/>
                <w:szCs w:val="34"/>
                <w:vertAlign w:val="superscript"/>
                <w:rtl w:val="0"/>
              </w:rPr>
              <w:t xml:space="preserve">o</w:t>
            </w:r>
            <w:r w:rsidDel="00000000" w:rsidR="00000000" w:rsidRPr="00000000">
              <w:rPr>
                <w:sz w:val="32"/>
                <w:szCs w:val="32"/>
                <w:vertAlign w:val="superscript"/>
                <w:rtl w:val="0"/>
              </w:rPr>
              <w:t xml:space="preserve">: A General Framework for Graph </w:t>
            </w:r>
            <w:r w:rsidDel="00000000" w:rsidR="00000000" w:rsidRPr="00000000">
              <w:rPr>
                <w:sz w:val="32"/>
                <w:szCs w:val="32"/>
                <w:vertAlign w:val="superscript"/>
                <w:rtl w:val="0"/>
              </w:rPr>
              <w:t xml:space="preserve">Optimization</w:t>
            </w:r>
            <w:r w:rsidDel="00000000" w:rsidR="00000000" w:rsidRPr="00000000">
              <w:rPr>
                <w:sz w:val="32"/>
                <w:szCs w:val="32"/>
                <w:vertAlign w:val="superscript"/>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hyperlink r:id="rId14">
              <w:r w:rsidDel="00000000" w:rsidR="00000000" w:rsidRPr="00000000">
                <w:rPr>
                  <w:color w:val="1155cc"/>
                  <w:sz w:val="21"/>
                  <w:szCs w:val="21"/>
                  <w:highlight w:val="white"/>
                  <w:u w:val="single"/>
                  <w:rtl w:val="0"/>
                </w:rPr>
                <w:t xml:space="preserve">https://www.cct.lsu.edu/~kzhang/papers/g2o.pdf</w:t>
              </w:r>
            </w:hyperlink>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igppuu59rff9" w:id="0"/>
      <w:bookmarkEnd w:id="0"/>
      <w:r w:rsidDel="00000000" w:rsidR="00000000" w:rsidRPr="00000000">
        <w:rPr>
          <w:rtl w:val="0"/>
        </w:rPr>
        <w:t xml:space="preserve">Validatie Mapping</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1845"/>
        <w:gridCol w:w="3570"/>
        <w:tblGridChange w:id="0">
          <w:tblGrid>
            <w:gridCol w:w="3945"/>
            <w:gridCol w:w="1845"/>
            <w:gridCol w:w="357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Methodieken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br w:type="textWrapping"/>
            </w:r>
            <w:r w:rsidDel="00000000" w:rsidR="00000000" w:rsidRPr="00000000">
              <w:rPr>
                <w:b w:val="1"/>
                <w:rtl w:val="0"/>
              </w:rPr>
              <w:t xml:space="preserve">In tekst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vertAlign w:val="superscript"/>
                <w:rtl w:val="0"/>
              </w:rPr>
              <w:t xml:space="preserve">[1] </w:t>
            </w:r>
            <w:r w:rsidDel="00000000" w:rsidR="00000000" w:rsidRPr="00000000">
              <w:rPr>
                <w:rtl w:val="0"/>
              </w:rPr>
              <w:t xml:space="preserve">Distance Error Metric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We used a </w:t>
            </w:r>
            <w:r w:rsidDel="00000000" w:rsidR="00000000" w:rsidRPr="00000000">
              <w:rPr>
                <w:b w:val="1"/>
                <w:i w:val="1"/>
                <w:sz w:val="20"/>
                <w:szCs w:val="20"/>
                <w:rtl w:val="0"/>
              </w:rPr>
              <w:t xml:space="preserve">distance error metric</w:t>
            </w:r>
            <w:r w:rsidDel="00000000" w:rsidR="00000000" w:rsidRPr="00000000">
              <w:rPr>
                <w:i w:val="1"/>
                <w:sz w:val="20"/>
                <w:szCs w:val="20"/>
                <w:rtl w:val="0"/>
              </w:rPr>
              <w:t xml:space="preserve"> to evaluate each test, which was calculated by first finding point correspondences using nearest neighbour search, rejecting correspondences over a distance of 1cm</w:t>
            </w:r>
            <w:r w:rsidDel="00000000" w:rsidR="00000000" w:rsidRPr="00000000">
              <w:rPr>
                <w:i w:val="1"/>
                <w:sz w:val="20"/>
                <w:szCs w:val="20"/>
                <w:vertAlign w:val="superscript"/>
                <w:rtl w:val="0"/>
              </w:rPr>
              <w:t xml:space="preserve">2</w:t>
            </w:r>
            <w:r w:rsidDel="00000000" w:rsidR="00000000" w:rsidRPr="00000000">
              <w:rPr>
                <w:i w:val="1"/>
                <w:sz w:val="20"/>
                <w:szCs w:val="20"/>
                <w:rtl w:val="0"/>
              </w:rPr>
              <w:t xml:space="preserve"> (as to ignore non overlapping sections of the clouds) and normalizing the error over the number of correspondences.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It is important to note this metric evaluates the structural alignment of clouds, and does not take matching point colour into account. Therefore flat surfaces may obtain very good results even when the textures are completely misaligned.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vertAlign w:val="superscript"/>
                <w:rtl w:val="0"/>
              </w:rPr>
              <w:t xml:space="preserve">[4] </w:t>
            </w:r>
            <w:r w:rsidDel="00000000" w:rsidR="00000000" w:rsidRPr="00000000">
              <w:rPr>
                <w:rtl w:val="0"/>
              </w:rPr>
              <w:t xml:space="preserve">Iterative closest point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However, the former approach proposes a method which aims to refine data iteratively, similar to </w:t>
            </w:r>
            <w:r w:rsidDel="00000000" w:rsidR="00000000" w:rsidRPr="00000000">
              <w:rPr>
                <w:b w:val="1"/>
                <w:i w:val="1"/>
                <w:sz w:val="20"/>
                <w:szCs w:val="20"/>
                <w:rtl w:val="0"/>
              </w:rPr>
              <w:t xml:space="preserve">ICP</w:t>
            </w:r>
            <w:r w:rsidDel="00000000" w:rsidR="00000000" w:rsidRPr="00000000">
              <w:rPr>
                <w:i w:val="1"/>
                <w:sz w:val="20"/>
                <w:szCs w:val="20"/>
                <w:rtl w:val="0"/>
              </w:rPr>
              <w:t xml:space="preserve"> algorithm, and the latter approach estimates the uncertainty by determining the precision of range measurement with respect to intensity of the observed light as described in (Sagawa et al., 2005).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vertAlign w:val="superscript"/>
                <w:rtl w:val="0"/>
              </w:rPr>
              <w:t xml:space="preserve">[4] </w:t>
            </w:r>
            <w:r w:rsidDel="00000000" w:rsidR="00000000" w:rsidRPr="00000000">
              <w:rPr>
                <w:rtl w:val="0"/>
              </w:rPr>
              <w:t xml:space="preserve">Point Error Model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sz w:val="20"/>
                <w:szCs w:val="20"/>
              </w:rPr>
            </w:pPr>
            <w:r w:rsidDel="00000000" w:rsidR="00000000" w:rsidRPr="00000000">
              <w:rPr>
                <w:b w:val="1"/>
                <w:i w:val="1"/>
                <w:sz w:val="20"/>
                <w:szCs w:val="20"/>
                <w:rtl w:val="0"/>
              </w:rPr>
              <w:t xml:space="preserve">Anisotropic Point Error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tl w:val="0"/>
              </w:rPr>
              <w:t xml:space="preserve">TLS system operates in spherical coordinate system measuring range (ρ), horizontal (θ) and vertical (α) angles where any point is defined as 𝑟𝑖 = [ρ, θ, α] 𝑇 . Most of the current TLSs provide the point cloud data in Cartesian coordinate system, which are computed from spherical coordinates as defined in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vertAlign w:val="superscript"/>
                <w:rtl w:val="0"/>
              </w:rPr>
              <w:t xml:space="preserve">[6] </w:t>
            </w:r>
            <w:r w:rsidDel="00000000" w:rsidR="00000000" w:rsidRPr="00000000">
              <w:rPr>
                <w:rtl w:val="0"/>
              </w:rPr>
              <w:t xml:space="preserve">Evaluate the quality of the resulting map (differences in the projected sensor data)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0"/>
                <w:szCs w:val="20"/>
              </w:rPr>
            </w:pPr>
            <w:r w:rsidDel="00000000" w:rsidR="00000000" w:rsidRPr="00000000">
              <w:rPr>
                <w:i w:val="1"/>
                <w:sz w:val="20"/>
                <w:szCs w:val="20"/>
              </w:rPr>
              <w:drawing>
                <wp:inline distB="114300" distT="114300" distL="114300" distR="114300">
                  <wp:extent cx="3295650" cy="97790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295650" cy="977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i w:val="1"/>
                <w:sz w:val="20"/>
                <w:szCs w:val="20"/>
              </w:rPr>
            </w:pPr>
            <w:r w:rsidDel="00000000" w:rsidR="00000000" w:rsidRPr="00000000">
              <w:rPr>
                <w:i w:val="1"/>
                <w:sz w:val="20"/>
                <w:szCs w:val="20"/>
              </w:rPr>
              <w:drawing>
                <wp:inline distB="114300" distT="114300" distL="114300" distR="114300">
                  <wp:extent cx="3295650" cy="13970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295650" cy="1397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98b4mduzketb" w:id="1"/>
      <w:bookmarkEnd w:id="1"/>
      <w:r w:rsidDel="00000000" w:rsidR="00000000" w:rsidRPr="00000000">
        <w:rPr>
          <w:rtl w:val="0"/>
        </w:rPr>
        <w:t xml:space="preserve">Validatie Trajectory</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1845"/>
        <w:gridCol w:w="3570"/>
        <w:tblGridChange w:id="0">
          <w:tblGrid>
            <w:gridCol w:w="3945"/>
            <w:gridCol w:w="1845"/>
            <w:gridCol w:w="357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Methodieken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br w:type="textWrapping"/>
            </w:r>
            <w:r w:rsidDel="00000000" w:rsidR="00000000" w:rsidRPr="00000000">
              <w:rPr>
                <w:b w:val="1"/>
                <w:rtl w:val="0"/>
              </w:rPr>
              <w:t xml:space="preserve">In tekst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vertAlign w:val="superscript"/>
                <w:rtl w:val="0"/>
              </w:rPr>
              <w:t xml:space="preserve">[2] </w:t>
            </w:r>
            <w:r w:rsidDel="00000000" w:rsidR="00000000" w:rsidRPr="00000000">
              <w:rPr>
                <w:rtl w:val="0"/>
              </w:rPr>
              <w:t xml:space="preserve">Een combinatie van:</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Root Mean Squared Error</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Scale Invariant Feature Transform</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Fast Library for Approximate Nearest Neighbors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0"/>
                <w:szCs w:val="20"/>
              </w:rPr>
            </w:pPr>
            <w:r w:rsidDel="00000000" w:rsidR="00000000" w:rsidRPr="00000000">
              <w:rPr>
                <w:i w:val="1"/>
                <w:sz w:val="20"/>
                <w:szCs w:val="20"/>
                <w:rtl w:val="0"/>
              </w:rPr>
              <w:t xml:space="preserve">To evaluate our system, we use the RGB-D benchmark</w:t>
              <w:br w:type="textWrapping"/>
              <w:t xml:space="preserve">[29] which provides a dataset of Kinect sequences</w:t>
              <w:br w:type="textWrapping"/>
              <w:t xml:space="preserve">with synchronized ground truth. Furthermore, the benchmark</w:t>
              <w:br w:type="textWrapping"/>
              <w:t xml:space="preserve">provides an evaluation tool that computes the </w:t>
            </w:r>
            <w:r w:rsidDel="00000000" w:rsidR="00000000" w:rsidRPr="00000000">
              <w:rPr>
                <w:b w:val="1"/>
                <w:i w:val="1"/>
                <w:sz w:val="20"/>
                <w:szCs w:val="20"/>
                <w:rtl w:val="0"/>
              </w:rPr>
              <w:t xml:space="preserve">root mean</w:t>
              <w:br w:type="textWrapping"/>
              <w:t xml:space="preserve">square error</w:t>
            </w:r>
            <w:r w:rsidDel="00000000" w:rsidR="00000000" w:rsidRPr="00000000">
              <w:rPr>
                <w:i w:val="1"/>
                <w:sz w:val="20"/>
                <w:szCs w:val="20"/>
                <w:rtl w:val="0"/>
              </w:rPr>
              <w:t xml:space="preserve"> (RSME) given an estimated trajectory.</w:t>
            </w:r>
          </w:p>
          <w:p w:rsidR="00000000" w:rsidDel="00000000" w:rsidP="00000000" w:rsidRDefault="00000000" w:rsidRPr="00000000">
            <w:pPr>
              <w:widowControl w:val="0"/>
              <w:spacing w:line="240" w:lineRule="auto"/>
              <w:contextualSpacing w:val="0"/>
              <w:rPr>
                <w:i w:val="1"/>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i w:val="1"/>
                <w:sz w:val="20"/>
                <w:szCs w:val="20"/>
              </w:rPr>
            </w:pPr>
            <w:r w:rsidDel="00000000" w:rsidR="00000000" w:rsidRPr="00000000">
              <w:rPr>
                <w:i w:val="1"/>
                <w:sz w:val="20"/>
                <w:szCs w:val="20"/>
                <w:rtl w:val="0"/>
              </w:rPr>
              <w:t xml:space="preserve">Accuracy of the Trajectory Estimation</w:t>
              <w:br w:type="textWrapping"/>
            </w:r>
          </w:p>
          <w:p w:rsidR="00000000" w:rsidDel="00000000" w:rsidP="00000000" w:rsidRDefault="00000000" w:rsidRPr="00000000">
            <w:pPr>
              <w:widowControl w:val="0"/>
              <w:spacing w:line="240" w:lineRule="auto"/>
              <w:contextualSpacing w:val="0"/>
              <w:rPr>
                <w:i w:val="1"/>
                <w:sz w:val="20"/>
                <w:szCs w:val="20"/>
              </w:rPr>
            </w:pPr>
            <w:r w:rsidDel="00000000" w:rsidR="00000000" w:rsidRPr="00000000">
              <w:rPr>
                <w:i w:val="1"/>
                <w:sz w:val="20"/>
                <w:szCs w:val="20"/>
                <w:rtl w:val="0"/>
              </w:rPr>
              <w:t xml:space="preserve">In our first rounds of experiments, we evaluated the</w:t>
            </w:r>
          </w:p>
          <w:p w:rsidR="00000000" w:rsidDel="00000000" w:rsidP="00000000" w:rsidRDefault="00000000" w:rsidRPr="00000000">
            <w:pPr>
              <w:widowControl w:val="0"/>
              <w:spacing w:line="240" w:lineRule="auto"/>
              <w:contextualSpacing w:val="0"/>
              <w:rPr>
                <w:i w:val="1"/>
                <w:sz w:val="20"/>
                <w:szCs w:val="20"/>
              </w:rPr>
            </w:pPr>
            <w:r w:rsidDel="00000000" w:rsidR="00000000" w:rsidRPr="00000000">
              <w:rPr>
                <w:i w:val="1"/>
                <w:sz w:val="20"/>
                <w:szCs w:val="20"/>
                <w:rtl w:val="0"/>
              </w:rPr>
              <w:t xml:space="preserve">accuracy of our system on all sequences using SIFTGPU</w:t>
            </w:r>
          </w:p>
          <w:p w:rsidR="00000000" w:rsidDel="00000000" w:rsidP="00000000" w:rsidRDefault="00000000" w:rsidRPr="00000000">
            <w:pPr>
              <w:widowControl w:val="0"/>
              <w:spacing w:line="240" w:lineRule="auto"/>
              <w:contextualSpacing w:val="0"/>
              <w:rPr>
                <w:i w:val="1"/>
                <w:sz w:val="20"/>
                <w:szCs w:val="20"/>
              </w:rPr>
            </w:pPr>
            <w:r w:rsidDel="00000000" w:rsidR="00000000" w:rsidRPr="00000000">
              <w:rPr>
                <w:i w:val="1"/>
                <w:sz w:val="20"/>
                <w:szCs w:val="20"/>
                <w:rtl w:val="0"/>
              </w:rPr>
              <w:t xml:space="preserve">feature extraction and approximate matching using FLANN.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vertAlign w:val="superscript"/>
                <w:rtl w:val="0"/>
              </w:rPr>
              <w:t xml:space="preserve">[6] </w:t>
            </w:r>
            <w:r w:rsidDel="00000000" w:rsidR="00000000" w:rsidRPr="00000000">
              <w:rPr>
                <w:rtl w:val="0"/>
              </w:rPr>
              <w:t xml:space="preserve">Evaluate the quality of the camera trajectory (differences in relative poses)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0"/>
                <w:szCs w:val="20"/>
              </w:rPr>
            </w:pPr>
            <w:commentRangeStart w:id="4"/>
            <w:r w:rsidDel="00000000" w:rsidR="00000000" w:rsidRPr="00000000">
              <w:rPr>
                <w:i w:val="1"/>
                <w:sz w:val="20"/>
                <w:szCs w:val="20"/>
              </w:rPr>
              <w:drawing>
                <wp:inline distB="114300" distT="114300" distL="114300" distR="114300">
                  <wp:extent cx="3295650" cy="546100"/>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295650" cy="546100"/>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pPr>
              <w:widowControl w:val="0"/>
              <w:spacing w:line="240" w:lineRule="auto"/>
              <w:contextualSpacing w:val="0"/>
              <w:rPr>
                <w:i w:val="1"/>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i w:val="1"/>
                <w:sz w:val="20"/>
                <w:szCs w:val="20"/>
              </w:rPr>
            </w:pPr>
            <w:r w:rsidDel="00000000" w:rsidR="00000000" w:rsidRPr="00000000">
              <w:rPr>
                <w:i w:val="1"/>
                <w:sz w:val="20"/>
                <w:szCs w:val="20"/>
              </w:rPr>
              <w:drawing>
                <wp:inline distB="114300" distT="114300" distL="114300" distR="114300">
                  <wp:extent cx="3295650" cy="139700"/>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295650" cy="1397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3.2974032337092"/>
        <w:gridCol w:w="2068.8682018618324"/>
        <w:gridCol w:w="104.53699167074956"/>
        <w:gridCol w:w="3593.2974032337092"/>
        <w:tblGridChange w:id="0">
          <w:tblGrid>
            <w:gridCol w:w="3593.2974032337092"/>
            <w:gridCol w:w="2068.8682018618324"/>
            <w:gridCol w:w="104.53699167074956"/>
            <w:gridCol w:w="3593.2974032337092"/>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br w:type="textWrapping"/>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br w:type="textWrapping"/>
              <w:t xml:space="preserve">Ground Truth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vertAlign w:val="superscript"/>
                <w:rtl w:val="0"/>
              </w:rPr>
              <w:t xml:space="preserve">[2]</w:t>
            </w:r>
            <w:r w:rsidDel="00000000" w:rsidR="00000000" w:rsidRPr="00000000">
              <w:rPr>
                <w:b w:val="1"/>
                <w:rtl w:val="0"/>
              </w:rPr>
              <w:t xml:space="preserve"> </w:t>
            </w:r>
            <w:r w:rsidDel="00000000" w:rsidR="00000000" w:rsidRPr="00000000">
              <w:rPr>
                <w:rtl w:val="0"/>
              </w:rPr>
              <w:t xml:space="preserve">Accuracy of the Trajectory Estimation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vertAlign w:val="superscript"/>
              </w:rPr>
            </w:pPr>
            <w:r w:rsidDel="00000000" w:rsidR="00000000" w:rsidRPr="00000000">
              <w:rPr>
                <w:vertAlign w:val="superscript"/>
                <w:rtl w:val="0"/>
              </w:rPr>
              <w:t xml:space="preserve">n.v.t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vertAlign w:val="superscript"/>
                <w:rtl w:val="0"/>
              </w:rPr>
              <w:t xml:space="preserve">[1] </w:t>
            </w:r>
            <w:r w:rsidDel="00000000" w:rsidR="00000000" w:rsidRPr="00000000">
              <w:rPr>
                <w:rtl w:val="0"/>
              </w:rPr>
              <w:t xml:space="preserve">Reliability of the Associations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vertAlign w:val="superscript"/>
              </w:rPr>
            </w:pPr>
            <w:r w:rsidDel="00000000" w:rsidR="00000000" w:rsidRPr="00000000">
              <w:rPr>
                <w:vertAlign w:val="superscript"/>
                <w:rtl w:val="0"/>
              </w:rPr>
              <w:t xml:space="preserve">n.v.t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vertAlign w:val="superscript"/>
                <w:rtl w:val="0"/>
              </w:rPr>
              <w:t xml:space="preserve">[3] </w:t>
            </w:r>
            <w:r w:rsidDel="00000000" w:rsidR="00000000" w:rsidRPr="00000000">
              <w:rPr>
                <w:rtl w:val="0"/>
              </w:rPr>
              <w:t xml:space="preserve">Accuracy of the Trajectory Estimation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Accurate mapping from a laser system.</w:t>
            </w:r>
          </w:p>
        </w:tc>
      </w:tr>
      <w:tr>
        <w:trPr>
          <w:trHeight w:val="4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vertAlign w:val="superscript"/>
                <w:rtl w:val="0"/>
              </w:rPr>
              <w:t xml:space="preserve">[8, 2]</w:t>
            </w:r>
            <w:r w:rsidDel="00000000" w:rsidR="00000000" w:rsidRPr="00000000">
              <w:rPr>
                <w:rtl w:val="0"/>
              </w:rPr>
              <w:t xml:space="preserve"> Root Mean Squared Error (RMSE)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vertAlign w:val="superscript"/>
                <w:rtl w:val="0"/>
              </w:rPr>
              <w:t xml:space="preserve">[4] </w:t>
            </w:r>
            <w:r w:rsidDel="00000000" w:rsidR="00000000" w:rsidRPr="00000000">
              <w:rPr>
                <w:rtl w:val="0"/>
              </w:rPr>
              <w:t xml:space="preserve">Point Error Ellipsoids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vertAlign w:val="superscript"/>
              </w:rPr>
            </w:pPr>
            <w:r w:rsidDel="00000000" w:rsidR="00000000" w:rsidRPr="00000000">
              <w:rPr>
                <w:vertAlign w:val="superscript"/>
                <w:rtl w:val="0"/>
              </w:rPr>
              <w:t xml:space="preserve">n.v.t</w:t>
            </w:r>
          </w:p>
        </w:tc>
      </w:tr>
      <w:tr>
        <w:trPr>
          <w:trHeight w:val="4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vertAlign w:val="superscript"/>
                <w:rtl w:val="0"/>
              </w:rPr>
              <w:t xml:space="preserve">[4] </w:t>
            </w:r>
            <w:r w:rsidDel="00000000" w:rsidR="00000000" w:rsidRPr="00000000">
              <w:rPr>
                <w:rtl w:val="0"/>
              </w:rPr>
              <w:t xml:space="preserve">Least Square Plane RMSE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vertAlign w:val="superscript"/>
              </w:rPr>
            </w:pPr>
            <w:r w:rsidDel="00000000" w:rsidR="00000000" w:rsidRPr="00000000">
              <w:rPr>
                <w:vertAlign w:val="superscript"/>
                <w:rtl w:val="0"/>
              </w:rPr>
              <w:t xml:space="preserve">n.v.t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br w:type="textWrapping"/>
            </w:r>
            <w:r w:rsidDel="00000000" w:rsidR="00000000" w:rsidRPr="00000000">
              <w:rPr>
                <w:b w:val="1"/>
                <w:rtl w:val="0"/>
              </w:rPr>
              <w:t xml:space="preserve">Begrippen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vertAlign w:val="superscript"/>
                <w:rtl w:val="0"/>
              </w:rPr>
              <w:t xml:space="preserve">[2] </w:t>
            </w:r>
            <w:r w:rsidDel="00000000" w:rsidR="00000000" w:rsidRPr="00000000">
              <w:rPr>
                <w:rtl w:val="0"/>
              </w:rPr>
              <w:t xml:space="preserve">Root Mean Squared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Een manier om de afwijking tussen waardes te berekenen gebaseerd op een “ground truth”.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vertAlign w:val="superscript"/>
                <w:rtl w:val="0"/>
              </w:rPr>
              <w:t xml:space="preserve">[2] </w:t>
            </w:r>
            <w:r w:rsidDel="00000000" w:rsidR="00000000" w:rsidRPr="00000000">
              <w:rPr>
                <w:rtl w:val="0"/>
              </w:rPr>
              <w:t xml:space="preserve">Scale Invariant Feature Transform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Een algoritme om kenmerken zoals een hoek of een punt te herkennen in een afbeelding.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vertAlign w:val="superscript"/>
                <w:rtl w:val="0"/>
              </w:rPr>
              <w:t xml:space="preserve">[2] </w:t>
            </w:r>
            <w:r w:rsidDel="00000000" w:rsidR="00000000" w:rsidRPr="00000000">
              <w:rPr>
                <w:rtl w:val="0"/>
              </w:rPr>
              <w:t xml:space="preserve">Fast Library (FLANN)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Een collectie van algoritmes die het beste werken om “nearest neighbor search” uit te voeren. Ook bevat het een systeem om het beste algoritme en optimaal configureren van dit algoritme te selecteren aan de hand van de geleverde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vertAlign w:val="superscript"/>
                <w:rtl w:val="0"/>
              </w:rPr>
              <w:t xml:space="preserve">[3] </w:t>
            </w:r>
            <w:r w:rsidDel="00000000" w:rsidR="00000000" w:rsidRPr="00000000">
              <w:rPr>
                <w:rtl w:val="0"/>
              </w:rPr>
              <w:t xml:space="preserve">Ground-truth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Training set met accurate observatie(s) voor het evalueren van supervised learning technieken.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vertAlign w:val="superscript"/>
                <w:rtl w:val="0"/>
              </w:rPr>
              <w:t xml:space="preserve">[4] </w:t>
            </w:r>
            <w:r w:rsidDel="00000000" w:rsidR="00000000" w:rsidRPr="00000000">
              <w:rPr>
                <w:rtl w:val="0"/>
              </w:rPr>
              <w:t xml:space="preserve">Iterative Closest Point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Een algoritme om de verschillen tussen twee point clouds te minimaliseren.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vertAlign w:val="superscript"/>
                <w:rtl w:val="0"/>
              </w:rPr>
              <w:t xml:space="preserve">[6]</w:t>
            </w:r>
            <w:r w:rsidDel="00000000" w:rsidR="00000000" w:rsidRPr="00000000">
              <w:rPr>
                <w:rtl w:val="0"/>
              </w:rPr>
              <w:t xml:space="preserve"> Monte Carlo Localization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Een algoritme voor robots om locatiebepaling te doen door middel van een particle filter.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vertAlign w:val="superscript"/>
                <w:rtl w:val="0"/>
              </w:rPr>
              <w:t xml:space="preserve">[4] </w:t>
            </w:r>
            <w:r w:rsidDel="00000000" w:rsidR="00000000" w:rsidRPr="00000000">
              <w:rPr>
                <w:rtl w:val="0"/>
              </w:rPr>
              <w:t xml:space="preserve">Anisotropic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vertAlign w:val="superscript"/>
                <w:rtl w:val="0"/>
              </w:rPr>
              <w:t xml:space="preserve">[2] </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Start w:id="5"/>
            <w:r w:rsidDel="00000000" w:rsidR="00000000" w:rsidRPr="00000000">
              <w:rPr>
                <w:rtl w:val="0"/>
              </w:rPr>
              <w:t xml:space="preserve">Wiskundig symbool voor </w:t>
            </w:r>
            <w:hyperlink r:id="rId19">
              <w:r w:rsidDel="00000000" w:rsidR="00000000" w:rsidRPr="00000000">
                <w:rPr>
                  <w:color w:val="1155cc"/>
                  <w:u w:val="single"/>
                  <w:rtl w:val="0"/>
                </w:rPr>
                <w:t xml:space="preserve">https://en.wikipedia.org/wiki/Erosion_(morphology)</w:t>
              </w:r>
            </w:hyperlink>
            <w:r w:rsidDel="00000000" w:rsidR="00000000" w:rsidRPr="00000000">
              <w:rPr>
                <w:rtl w:val="0"/>
              </w:rPr>
              <w:t xml:space="preserve"> </w:t>
            </w:r>
            <w:commentRangeEnd w:id="5"/>
            <w:r w:rsidDel="00000000" w:rsidR="00000000" w:rsidRPr="00000000">
              <w:commentReference w:id="5"/>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vertAlign w:val="superscript"/>
              </w:rPr>
            </w:pPr>
            <w:r w:rsidDel="00000000" w:rsidR="00000000" w:rsidRPr="00000000">
              <w:rPr>
                <w:vertAlign w:val="superscript"/>
                <w:rtl w:val="0"/>
              </w:rPr>
              <w:t xml:space="preserve">[6]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Inverse of standard motion composition operator</w:t>
            </w:r>
          </w:p>
        </w:tc>
      </w:tr>
    </w:tbl>
    <w:p w:rsidR="00000000" w:rsidDel="00000000" w:rsidP="00000000" w:rsidRDefault="00000000" w:rsidRPr="00000000">
      <w:pPr>
        <w:contextualSpacing w:val="0"/>
        <w:rPr/>
      </w:pPr>
      <w:r w:rsidDel="00000000" w:rsidR="00000000" w:rsidRPr="00000000">
        <w:rPr>
          <w:rtl w:val="0"/>
        </w:rPr>
      </w:r>
    </w:p>
    <w:sectPr>
      <w:headerReference r:id="rId20"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ffrey van Hoven" w:id="2" w:date="2017-09-18T10:14: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Laser gebaseerd</w:t>
      </w:r>
    </w:p>
  </w:comment>
  <w:comment w:author="Jeroen Vuurens" w:id="5" w:date="2017-09-28T08:55: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 denk niet dat het hier voor ersosion staat, vermoedelijk hebben ze een eigen operator gedefinieerd waarvoor geen symbool bestaat.</w:t>
      </w:r>
    </w:p>
  </w:comment>
  <w:comment w:author="Jeffrey van Hoven" w:id="1" w:date="2017-09-18T09:59: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Helaas beschrijven ze niet in detail hoe ze evalueren maar meer met wat ze evalueren.</w:t>
      </w:r>
    </w:p>
  </w:comment>
  <w:comment w:author="Jeffrey van Hoven" w:id="3" w:date="2017-09-20T10:01: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Zeer interessante aanpak voor ons.</w:t>
      </w:r>
    </w:p>
  </w:comment>
  <w:comment w:author="Jeroen Vuurens" w:id="4" w:date="2017-09-28T08:56: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meer uitleg nodig wat het cirkel symbool precies is</w:t>
      </w:r>
    </w:p>
  </w:comment>
  <w:comment w:author="Jeffrey van Hoven" w:id="0" w:date="2017-09-19T12:14: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Gaat meer over het "joinen" van point clouds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www.diva-portal.org/smash/get/diva2:459937/FULLTEXT02" TargetMode="External"/><Relationship Id="rId10" Type="http://schemas.openxmlformats.org/officeDocument/2006/relationships/hyperlink" Target="http://www2.isikun.edu.tr/personel/akca/devrim/2016CZ_Ozendi_etal_ISPRS_Prague.pdf" TargetMode="External"/><Relationship Id="rId13" Type="http://schemas.openxmlformats.org/officeDocument/2006/relationships/hyperlink" Target="https://arxiv.org/pdf/1502.00956" TargetMode="External"/><Relationship Id="rId12" Type="http://schemas.openxmlformats.org/officeDocument/2006/relationships/hyperlink" Target="http://vision.in.tum.de/_media/spezial/bib/sturm11rss-rgbd.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nicolovaligi.com/open-source-visual-slam-evaluation.html" TargetMode="External"/><Relationship Id="rId15" Type="http://schemas.openxmlformats.org/officeDocument/2006/relationships/image" Target="media/image6.png"/><Relationship Id="rId14" Type="http://schemas.openxmlformats.org/officeDocument/2006/relationships/hyperlink" Target="https://www.cct.lsu.edu/~kzhang/papers/g2o.pdf" TargetMode="External"/><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hyperlink" Target="https://en.wikipedia.org/wiki/Erosion_(morphology)" TargetMode="External"/><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hyperlink" Target="http://citeseerx.ist.psu.edu/viewdoc/download?doi=10.1.1.391.2433&amp;rep=rep1&amp;type=pdf" TargetMode="External"/><Relationship Id="rId8" Type="http://schemas.openxmlformats.org/officeDocument/2006/relationships/hyperlink" Target="http://ieeexplore.ieee.org/abstract/document/6225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