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spacing w:line="400" w:lineRule="exact" w:before="360" w:after="160"/>
        <w:jc w:val="center"/>
      </w:pPr>
      <w:r>
        <w:rPr>
          <w:rFonts w:ascii="Times New Roman" w:hAnsi="Times New Roman" w:eastAsia="宋体"/>
          <w:b/>
          <w:sz w:val="32"/>
        </w:rPr>
        <w:t>综 合 论 文 训 练</w:t>
      </w:r>
    </w:p>
    <w:p/>
    <w:p>
      <w:pPr>
        <w:pStyle w:val="Heading2"/>
        <w:spacing w:line="400" w:lineRule="exact" w:before="240" w:after="80"/>
        <w:jc w:val="left"/>
      </w:pPr>
      <w:r>
        <w:rPr>
          <w:rFonts w:ascii="Times New Roman" w:hAnsi="Times New Roman" w:eastAsia="宋体"/>
          <w:b/>
          <w:sz w:val="28"/>
        </w:rPr>
        <w:t>本科生综合论文训练标题</w:t>
      </w:r>
    </w:p>
    <w:p/>
    <w:p>
      <w:pPr>
        <w:spacing w:line="400" w:lineRule="exact" w:before="0" w:after="0"/>
        <w:ind w:firstLine="480"/>
      </w:pPr>
      <w:r>
        <w:rPr>
          <w:rFonts w:ascii="Times New Roman" w:hAnsi="Times New Roman" w:eastAsia="宋体"/>
          <w:b w:val="0"/>
          <w:sz w:val="24"/>
        </w:rPr>
        <w:t>基于大数据的佛山市南海区旅游景区文旅融合潜力研究</w:t>
      </w:r>
    </w:p>
    <w:p/>
    <w:p>
      <w:pPr>
        <w:spacing w:line="400" w:lineRule="exact" w:before="0" w:after="0"/>
        <w:ind w:firstLine="480"/>
      </w:pPr>
      <w:r>
        <w:rPr>
          <w:rFonts w:ascii="Times New Roman" w:hAnsi="Times New Roman" w:eastAsia="宋体"/>
          <w:b w:val="0"/>
          <w:sz w:val="24"/>
        </w:rPr>
        <w:t>系　　别：【待填写：系别】</w:t>
      </w:r>
    </w:p>
    <w:p>
      <w:pPr>
        <w:spacing w:line="400" w:lineRule="exact" w:before="0" w:after="0"/>
        <w:ind w:firstLine="480"/>
      </w:pPr>
      <w:r>
        <w:rPr>
          <w:rFonts w:ascii="Times New Roman" w:hAnsi="Times New Roman" w:eastAsia="宋体"/>
          <w:b w:val="0"/>
          <w:sz w:val="24"/>
        </w:rPr>
        <w:t>专　　业：【待填写：专业】</w:t>
      </w:r>
    </w:p>
    <w:p>
      <w:pPr>
        <w:spacing w:line="400" w:lineRule="exact" w:before="0" w:after="0"/>
        <w:ind w:firstLine="480"/>
      </w:pPr>
      <w:r>
        <w:rPr>
          <w:rFonts w:ascii="Times New Roman" w:hAnsi="Times New Roman" w:eastAsia="宋体"/>
          <w:b w:val="0"/>
          <w:sz w:val="24"/>
        </w:rPr>
        <w:t>姓　　名：孟　帅</w:t>
      </w:r>
    </w:p>
    <w:p>
      <w:pPr>
        <w:spacing w:line="400" w:lineRule="exact" w:before="0" w:after="0"/>
        <w:ind w:firstLine="480"/>
      </w:pPr>
      <w:r>
        <w:rPr>
          <w:rFonts w:ascii="Times New Roman" w:hAnsi="Times New Roman" w:eastAsia="宋体"/>
          <w:b w:val="0"/>
          <w:sz w:val="24"/>
        </w:rPr>
        <w:t>指导教师：【待填写：指导教师】</w:t>
      </w:r>
    </w:p>
    <w:p/>
    <w:p>
      <w:pPr>
        <w:spacing w:line="400" w:lineRule="exact" w:before="0" w:after="0"/>
        <w:ind w:firstLine="480"/>
      </w:pPr>
      <w:r>
        <w:rPr>
          <w:rFonts w:ascii="Times New Roman" w:hAnsi="Times New Roman" w:eastAsia="宋体"/>
          <w:b w:val="0"/>
          <w:sz w:val="24"/>
        </w:rPr>
        <w:t>二○二六年六月</w:t>
      </w:r>
    </w:p>
    <w:p/>
    <w:p>
      <w:r>
        <w:br w:type="page"/>
      </w:r>
    </w:p>
    <w:p/>
    <w:p>
      <w:pPr>
        <w:pStyle w:val="Heading2"/>
        <w:spacing w:line="400" w:lineRule="exact" w:before="240" w:after="80"/>
        <w:jc w:val="left"/>
      </w:pPr>
      <w:r>
        <w:rPr>
          <w:rFonts w:ascii="Times New Roman" w:hAnsi="Times New Roman" w:eastAsia="宋体"/>
          <w:b/>
          <w:sz w:val="28"/>
        </w:rPr>
        <w:t>关于论文使用授权的说明</w:t>
      </w:r>
    </w:p>
    <w:p/>
    <w:p>
      <w:pPr>
        <w:spacing w:line="400" w:lineRule="exact" w:before="0" w:after="0"/>
        <w:ind w:firstLine="480"/>
      </w:pPr>
      <w:r>
        <w:rPr>
          <w:rFonts w:ascii="Times New Roman" w:hAnsi="Times New Roman" w:eastAsia="宋体"/>
          <w:b w:val="0"/>
          <w:sz w:val="24"/>
        </w:rPr>
        <w:t>本人完全了解【待填写：学校名称】有关保留、使用综合论文训练论文的规定，即：学校有权保留论文的复印件，允许论文被查阅和借阅；学校可以公布论文的全部或部分内容，可以采用影印、缩印或其他复制手段保存论文。</w:t>
      </w:r>
    </w:p>
    <w:p/>
    <w:p>
      <w:pPr>
        <w:spacing w:line="400" w:lineRule="exact" w:before="0" w:after="0"/>
        <w:ind w:firstLine="480"/>
      </w:pPr>
      <w:r>
        <w:rPr>
          <w:rFonts w:ascii="Times New Roman" w:hAnsi="Times New Roman" w:eastAsia="宋体"/>
          <w:b w:val="0"/>
          <w:sz w:val="24"/>
        </w:rPr>
        <w:t>作者签名：　　　　　　导师签名：</w:t>
      </w:r>
    </w:p>
    <w:p/>
    <w:p>
      <w:pPr>
        <w:spacing w:line="400" w:lineRule="exact" w:before="0" w:after="0"/>
        <w:ind w:firstLine="480"/>
      </w:pPr>
      <w:r>
        <w:rPr>
          <w:rFonts w:ascii="Times New Roman" w:hAnsi="Times New Roman" w:eastAsia="宋体"/>
          <w:b w:val="0"/>
          <w:sz w:val="24"/>
        </w:rPr>
        <w:t>日　　期：　　　　　　日　　期：</w:t>
      </w:r>
    </w:p>
    <w:p/>
    <w:p>
      <w:r>
        <w:br w:type="page"/>
      </w:r>
    </w:p>
    <w:p/>
    <w:p>
      <w:pPr>
        <w:pStyle w:val="Heading2"/>
        <w:spacing w:line="400" w:lineRule="exact" w:before="240" w:after="80"/>
        <w:jc w:val="left"/>
      </w:pPr>
      <w:r>
        <w:rPr>
          <w:rFonts w:ascii="Times New Roman" w:hAnsi="Times New Roman" w:eastAsia="宋体"/>
          <w:b/>
          <w:sz w:val="28"/>
        </w:rPr>
        <w:t>摘　　要</w:t>
      </w:r>
    </w:p>
    <w:p/>
    <w:p>
      <w:pPr>
        <w:spacing w:line="400" w:lineRule="exact" w:before="0" w:after="0"/>
        <w:ind w:firstLine="480"/>
      </w:pPr>
      <w:r>
        <w:rPr>
          <w:rFonts w:ascii="Times New Roman" w:hAnsi="Times New Roman" w:eastAsia="宋体"/>
          <w:b w:val="0"/>
          <w:sz w:val="24"/>
        </w:rPr>
        <w:t>佛山市南海区在珠三角的区县层面有相对丰厚的文化资源家底：共有国家、省、市、区四级非物质文化遗产 91 项，不可移动文物 80 处（含全国重点 2 处、省级 19 处、市级 59 处），历史文化名村、传统村落 12 处，以及西樵山、千灯湖等多处代表性景区。但在实际的旅游景区（点）开发中，文献层面的文化记忆与市场层面的产品供给之间存在可观察的错位，使"以文塑旅、以旅彰文"的政策目标难以在区县尺度上被精细识别和评估。</w:t>
      </w:r>
    </w:p>
    <w:p/>
    <w:p>
      <w:pPr>
        <w:spacing w:line="400" w:lineRule="exact" w:before="0" w:after="0"/>
        <w:ind w:firstLine="480"/>
      </w:pPr>
      <w:r>
        <w:rPr>
          <w:rFonts w:ascii="Times New Roman" w:hAnsi="Times New Roman" w:eastAsia="宋体"/>
          <w:b w:val="0"/>
          <w:sz w:val="24"/>
        </w:rPr>
        <w:t>本文以"文化—旅游"双谱系对照为分析框架，开展载体级、层级、片区三个维度的错位识别与潜力释放条件分析。文化侧以《南海县志》、《南海文史资料》等 53 份地方典籍共 8,991,098 字语料为原料，经 OCR 识别与人工校对后，借助大语言模型抽取实体与关系，形成含 8,048 个实体、19,382 条关系的合并知识图谱。旅游侧以高德、百度、佛山市公开 Shapefile 三源融合清洗后的 13,512 条 POI 为供给底座，以携程、高德、去哪儿、马蜂窝合计 16,391 条平台评论总量为体验侧补充，其中可展开文本评论约 1.55 万条。</w:t>
      </w:r>
    </w:p>
    <w:p/>
    <w:p>
      <w:pPr>
        <w:spacing w:line="400" w:lineRule="exact" w:before="0" w:after="0"/>
        <w:ind w:firstLine="480"/>
      </w:pPr>
      <w:r>
        <w:rPr>
          <w:rFonts w:ascii="Times New Roman" w:hAnsi="Times New Roman" w:eastAsia="宋体"/>
          <w:b w:val="0"/>
          <w:sz w:val="24"/>
        </w:rPr>
        <w:t>两侧在空间上通过"耦合桥梁"衔接。桥梁的主操作化层由 165 条官方认定的物质文化载体构成：不可移动文物 80 条、非遗空间锚点 36 条、文化景观 19 条、圩市街区 18 条、历史文化名村与传统村落 12 条。采用物质遗产为主桥梁的理由有三：其一，载体具备明确经纬度坐标；其二，具备官方保护等级与稳定品牌标识；其三，来源可归并为文旅系统与住建系统两条数据线，与区级条线分工一致。91 项非遗作为动态补充层参与分析。</w:t>
      </w:r>
    </w:p>
    <w:p/>
    <w:p>
      <w:pPr>
        <w:spacing w:line="400" w:lineRule="exact" w:before="0" w:after="0"/>
        <w:ind w:firstLine="480"/>
      </w:pPr>
      <w:r>
        <w:rPr>
          <w:rFonts w:ascii="Times New Roman" w:hAnsi="Times New Roman" w:eastAsia="宋体"/>
          <w:b w:val="0"/>
          <w:sz w:val="24"/>
        </w:rPr>
        <w:t>在统一的桥梁框架下，本文为 165 条载体构造了文化记忆指数（CMI）、官方认证指数（OAI）、旅游热度指数（THI）与文化—旅游错位指数（MI），将载体划分为核心耦合区、一般耦合区、沉睡潜力区、空心景点区四类；同时将分析单元下沉至 4,662 个 500 m 网格，以知识图谱 0 跳 / 1 跳口径复核文化厚度，并以镇街为单元将多项变量纳入相关矩阵，用以区分政策可干预条件与不可直接干预条件。</w:t>
      </w:r>
    </w:p>
    <w:p/>
    <w:p>
      <w:pPr>
        <w:spacing w:line="400" w:lineRule="exact" w:before="0" w:after="0"/>
        <w:ind w:firstLine="480"/>
      </w:pPr>
      <w:r>
        <w:rPr>
          <w:rFonts w:ascii="Times New Roman" w:hAnsi="Times New Roman" w:eastAsia="宋体"/>
          <w:b w:val="0"/>
          <w:sz w:val="24"/>
        </w:rPr>
        <w:t>研究主要发现：第一，165 条载体中"沉睡潜力区"47 条、"空心景点区"53 条、"一般耦合区"55 条、"核心耦合区"仅 10 条，错位是全区普遍现象；第二，500 m 网格的 1 跳知识图谱口径识别出 170 个沉睡潜力网格和 8 个核心耦合网格，西樵—九江—丹灶是潜力释放主廊道；第三，载体级皮尔森相关显示 CMI 与 MI 显著负相关（r = −0.495），OAI 与 MI 亦显著负相关（r = −0.440），量化支撑了"文化—旅游错位"的本质；第四，镇街级 Material_Count 与 POI_Total 呈中等负相关（r = −0.475），这一反直觉结果恰恰体现了"东旅西文"的空间错位格局；第五，景区等级样本显示评级分数与评论量呈中等正相关（r = 0.546）、与评分的斯皮尔曼相关系数 r = 0.522，支持将景区评级申报纳入规划建议的可干预抓手。基于上述发现，本文提出分层级、分片区、基于可干预条件的潜力释放建议。</w:t>
      </w:r>
    </w:p>
    <w:p/>
    <w:p>
      <w:pPr>
        <w:spacing w:line="400" w:lineRule="exact" w:before="0" w:after="0"/>
        <w:ind w:firstLine="480"/>
      </w:pPr>
      <w:r>
        <w:rPr>
          <w:rFonts w:ascii="Times New Roman" w:hAnsi="Times New Roman" w:eastAsia="宋体"/>
          <w:b w:val="0"/>
          <w:sz w:val="24"/>
        </w:rPr>
        <w:t>关键词：文旅融合；错位指数；物质文化遗产；知识图谱；南海区</w:t>
      </w:r>
    </w:p>
    <w:p/>
    <w:p>
      <w:r>
        <w:br w:type="page"/>
      </w:r>
    </w:p>
    <w:p/>
    <w:p>
      <w:pPr>
        <w:pStyle w:val="Heading2"/>
        <w:spacing w:line="400" w:lineRule="exact" w:before="240" w:after="80"/>
        <w:jc w:val="left"/>
      </w:pPr>
      <w:r>
        <w:rPr>
          <w:rFonts w:ascii="Times New Roman" w:hAnsi="Times New Roman" w:eastAsia="宋体"/>
          <w:b/>
          <w:sz w:val="28"/>
        </w:rPr>
        <w:t>Abstract</w:t>
      </w:r>
    </w:p>
    <w:p/>
    <w:p>
      <w:pPr>
        <w:spacing w:line="400" w:lineRule="exact" w:before="0" w:after="0"/>
        <w:ind w:firstLine="480"/>
      </w:pPr>
      <w:r>
        <w:rPr>
          <w:rFonts w:ascii="Times New Roman" w:hAnsi="Times New Roman" w:eastAsia="宋体"/>
          <w:b w:val="0"/>
          <w:sz w:val="24"/>
        </w:rPr>
        <w:t>Nanhai District in Foshan, a well-known part of the Pearl River Delta, has a relatively rich cultural resource base at the county-district level: 91 items of intangible cultural heritage at the national, provincial, municipal and district levels; 80 immovable cultural relics (including 2 key national units, 19 provincial and 59 municipal); 12 historical and cultural villages / traditional villages; as well as landmark scenic areas such as Xiqiao Mountain and Qiandeng Lake. In the actual development of tourism attractions, however, a visible mismatch persists between cultural memory preserved in texts and the tourism products available in the market, making it difficult to precisely identify and evaluate, at the county-district scale, the policy goal of "shaping tourism through culture and highlighting culture through tourism".</w:t>
      </w:r>
    </w:p>
    <w:p/>
    <w:p>
      <w:pPr>
        <w:spacing w:line="400" w:lineRule="exact" w:before="0" w:after="0"/>
        <w:ind w:firstLine="480"/>
      </w:pPr>
      <w:r>
        <w:rPr>
          <w:rFonts w:ascii="Times New Roman" w:hAnsi="Times New Roman" w:eastAsia="宋体"/>
          <w:b w:val="0"/>
          <w:sz w:val="24"/>
        </w:rPr>
        <w:t>Adopting a dual-genealogy "culture–tourism" comparison as its analytical framework, this thesis identifies mismatch and examines the conditions for releasing tourism-integration potential at three levels: individual carriers, protection grades, and sub-districts. On the cultural side, 8,991,098 characters of standardized text are extracted from 53 local classical texts (e.g., Nanhai County Annals, Nanhai Historical Materials) via RapidOCR and manual proofreading; entities and relations are then extracted with a large language model, resulting in a merged knowledge graph of 8,048 entities and 19,382 relations. On the tourism side, 13,512 cleaned Points of Interest (POIs), integrated from Amap, Baidu and publicly released Shapefiles, serve as the supply base, complemented by 16,391 platform-level user reviews aggregated from Ctrip, Amap, Qunar and Mafengwo, of which about 15,500 contain expandable text.</w:t>
      </w:r>
    </w:p>
    <w:p/>
    <w:p>
      <w:pPr>
        <w:spacing w:line="400" w:lineRule="exact" w:before="0" w:after="0"/>
        <w:ind w:firstLine="480"/>
      </w:pPr>
      <w:r>
        <w:rPr>
          <w:rFonts w:ascii="Times New Roman" w:hAnsi="Times New Roman" w:eastAsia="宋体"/>
          <w:b w:val="0"/>
          <w:sz w:val="24"/>
        </w:rPr>
        <w:t>The two sides are bridged spatially through a "coupling bridge". The main operational layer of this bridge consists of 165 officially-registered material cultural carriers: 80 immovable cultural relics, 36 spatially-anchored intangible heritage items, 19 cultural landscapes, 18 market streets, and 12 historical villages / traditional villages. Material heritage is chosen as the primary bridge for three reasons: carriers have clear geographic coordinates, official protection grades and stable brand identity, and they can be aligned with the two administrative lines (Culture-Tourism and Housing-Construction). All 91 intangible heritage items participate as a dynamic supplementary layer.</w:t>
      </w:r>
    </w:p>
    <w:p/>
    <w:p>
      <w:pPr>
        <w:spacing w:line="400" w:lineRule="exact" w:before="0" w:after="0"/>
        <w:ind w:firstLine="480"/>
      </w:pPr>
      <w:r>
        <w:rPr>
          <w:rFonts w:ascii="Times New Roman" w:hAnsi="Times New Roman" w:eastAsia="宋体"/>
          <w:b w:val="0"/>
          <w:sz w:val="24"/>
        </w:rPr>
        <w:t>Within this unified framework, four indices are constructed for each carrier: Cultural Memory Index (CMI), Official Accreditation Index (OAI), Tourism Heat Index (THI) and Culture–Tourism Mismatch Index (MI); carriers are then classified into four quadrants—core coupling, regular coupling, sleeping potential, and hollow-scenic. The analysis is further downscaled to 4,662 500 m grids, where 0-hop and 1-hop knowledge-graph paths are used to re-check cultural thickness. At the sub-district level, multiple variables are arranged into correlation matrices to separate policy-intervenable conditions from non-intervenable ones.</w:t>
      </w:r>
    </w:p>
    <w:p/>
    <w:p>
      <w:pPr>
        <w:spacing w:line="400" w:lineRule="exact" w:before="0" w:after="0"/>
        <w:ind w:firstLine="480"/>
      </w:pPr>
      <w:r>
        <w:rPr>
          <w:rFonts w:ascii="Times New Roman" w:hAnsi="Times New Roman" w:eastAsia="宋体"/>
          <w:b w:val="0"/>
          <w:sz w:val="24"/>
        </w:rPr>
        <w:t>Key findings: (1) Of the 165 carriers, 47 fall in the "sleeping potential" quadrant, 53 in "hollow scenic", 55 in "regular coupling" and only 10 in "core coupling", indicating that mismatch is pervasive. (2) At the 500 m grid scale, the 1-hop knowledge-graph layer identifies 170 sleeping-potential grids and 8 core-coupling grids, with Xiqiao-Jiujiang-Danzao forming the main potential corridor. (3) At carrier level, CMI correlates negatively with MI (r = −0.495) and OAI correlates negatively with MI (r = −0.440), providing quantitative support for the mismatch phenomenon. (4) At sub-district level, material-heritage count correlates negatively with POI total (r = −0.475), reflecting the "east-tourism, west-culture" spatial divide rather than undermining the bridge design. (5) In the A-level scenic sample (n = 16), rating-level score correlates with review volume (r = 0.546) and with platform rating (Spearman r = 0.522), supporting the use of grade application as an actionable policy lever. Based on these findings, the thesis proposes level- and district-specific recommendations grounded in policy-intervenable conditions.</w:t>
      </w:r>
    </w:p>
    <w:p/>
    <w:p>
      <w:pPr>
        <w:spacing w:line="400" w:lineRule="exact" w:before="0" w:after="0"/>
        <w:ind w:firstLine="480"/>
      </w:pPr>
      <w:r>
        <w:rPr>
          <w:rFonts w:ascii="Times New Roman" w:hAnsi="Times New Roman" w:eastAsia="宋体"/>
          <w:b w:val="0"/>
          <w:sz w:val="24"/>
        </w:rPr>
        <w:t>Keywords: culture-tourism integration; mismatch index; material cultural heritage; knowledge graph; Nanhai District</w:t>
      </w:r>
    </w:p>
    <w:p/>
    <w:p>
      <w:r>
        <w:br w:type="page"/>
      </w:r>
    </w:p>
    <w:p/>
    <w:p>
      <w:pPr>
        <w:pStyle w:val="Heading2"/>
        <w:spacing w:line="400" w:lineRule="exact" w:before="240" w:after="80"/>
        <w:jc w:val="left"/>
      </w:pPr>
      <w:r>
        <w:rPr>
          <w:rFonts w:ascii="Times New Roman" w:hAnsi="Times New Roman" w:eastAsia="宋体"/>
          <w:b/>
          <w:sz w:val="28"/>
        </w:rPr>
        <w:t>目　　录</w:t>
      </w:r>
    </w:p>
    <w:p/>
    <w:p>
      <w:pPr>
        <w:pStyle w:val="ListBullet"/>
        <w:spacing w:line="400" w:lineRule="exact" w:before="0" w:after="0"/>
      </w:pPr>
      <w:r>
        <w:rPr>
          <w:rFonts w:ascii="Times New Roman" w:hAnsi="Times New Roman" w:eastAsia="宋体"/>
          <w:sz w:val="24"/>
        </w:rPr>
        <w:t>第 1 章　引言</w:t>
      </w:r>
    </w:p>
    <w:p>
      <w:pPr>
        <w:pStyle w:val="ListBullet"/>
        <w:spacing w:line="400" w:lineRule="exact" w:before="0" w:after="0"/>
      </w:pPr>
      <w:r>
        <w:rPr>
          <w:rFonts w:ascii="Times New Roman" w:hAnsi="Times New Roman" w:eastAsia="宋体"/>
          <w:sz w:val="24"/>
        </w:rPr>
        <w:t>1.1 研究背景与意义</w:t>
      </w:r>
    </w:p>
    <w:p>
      <w:pPr>
        <w:pStyle w:val="ListBullet"/>
        <w:spacing w:line="400" w:lineRule="exact" w:before="0" w:after="0"/>
      </w:pPr>
      <w:r>
        <w:rPr>
          <w:rFonts w:ascii="Times New Roman" w:hAnsi="Times New Roman" w:eastAsia="宋体"/>
          <w:sz w:val="24"/>
        </w:rPr>
        <w:t>1.2 研究目标与内容</w:t>
      </w:r>
    </w:p>
    <w:p>
      <w:pPr>
        <w:pStyle w:val="ListBullet"/>
        <w:spacing w:line="400" w:lineRule="exact" w:before="0" w:after="0"/>
      </w:pPr>
      <w:r>
        <w:rPr>
          <w:rFonts w:ascii="Times New Roman" w:hAnsi="Times New Roman" w:eastAsia="宋体"/>
          <w:sz w:val="24"/>
        </w:rPr>
        <w:t>1.3 技术路线与论文结构</w:t>
      </w:r>
    </w:p>
    <w:p>
      <w:pPr>
        <w:pStyle w:val="ListBullet"/>
        <w:spacing w:line="400" w:lineRule="exact" w:before="0" w:after="0"/>
      </w:pPr>
      <w:r>
        <w:rPr>
          <w:rFonts w:ascii="Times New Roman" w:hAnsi="Times New Roman" w:eastAsia="宋体"/>
          <w:sz w:val="24"/>
        </w:rPr>
        <w:t>第 2 章　文献综述与相关研究述评</w:t>
      </w:r>
    </w:p>
    <w:p>
      <w:pPr>
        <w:pStyle w:val="ListBullet"/>
        <w:spacing w:line="400" w:lineRule="exact" w:before="0" w:after="0"/>
      </w:pPr>
      <w:r>
        <w:rPr>
          <w:rFonts w:ascii="Times New Roman" w:hAnsi="Times New Roman" w:eastAsia="宋体"/>
          <w:sz w:val="24"/>
        </w:rPr>
        <w:t>2.1 区域尺度文旅融合与"文化—旅游"衔接研究</w:t>
      </w:r>
    </w:p>
    <w:p>
      <w:pPr>
        <w:pStyle w:val="ListBullet"/>
        <w:spacing w:line="400" w:lineRule="exact" w:before="0" w:after="0"/>
      </w:pPr>
      <w:r>
        <w:rPr>
          <w:rFonts w:ascii="Times New Roman" w:hAnsi="Times New Roman" w:eastAsia="宋体"/>
          <w:sz w:val="24"/>
        </w:rPr>
        <w:t>2.2 大数据、文本挖掘与知识图谱在文旅研究中的应用</w:t>
      </w:r>
    </w:p>
    <w:p>
      <w:pPr>
        <w:pStyle w:val="ListBullet"/>
        <w:spacing w:line="400" w:lineRule="exact" w:before="0" w:after="0"/>
      </w:pPr>
      <w:r>
        <w:rPr>
          <w:rFonts w:ascii="Times New Roman" w:hAnsi="Times New Roman" w:eastAsia="宋体"/>
          <w:sz w:val="24"/>
        </w:rPr>
        <w:t>2.3 物质遗产、非遗与旅游产品耦合的研究进展</w:t>
      </w:r>
    </w:p>
    <w:p>
      <w:pPr>
        <w:pStyle w:val="ListBullet"/>
        <w:spacing w:line="400" w:lineRule="exact" w:before="0" w:after="0"/>
      </w:pPr>
      <w:r>
        <w:rPr>
          <w:rFonts w:ascii="Times New Roman" w:hAnsi="Times New Roman" w:eastAsia="宋体"/>
          <w:sz w:val="24"/>
        </w:rPr>
        <w:t>2.4 佛山市、珠三角及同尺度区域的相关研究</w:t>
      </w:r>
    </w:p>
    <w:p>
      <w:pPr>
        <w:pStyle w:val="ListBullet"/>
        <w:spacing w:line="400" w:lineRule="exact" w:before="0" w:after="0"/>
      </w:pPr>
      <w:r>
        <w:rPr>
          <w:rFonts w:ascii="Times New Roman" w:hAnsi="Times New Roman" w:eastAsia="宋体"/>
          <w:sz w:val="24"/>
        </w:rPr>
        <w:t>2.5 研究述评与本研究定位</w:t>
      </w:r>
    </w:p>
    <w:p>
      <w:pPr>
        <w:pStyle w:val="ListBullet"/>
        <w:spacing w:line="400" w:lineRule="exact" w:before="0" w:after="0"/>
      </w:pPr>
      <w:r>
        <w:rPr>
          <w:rFonts w:ascii="Times New Roman" w:hAnsi="Times New Roman" w:eastAsia="宋体"/>
          <w:sz w:val="24"/>
        </w:rPr>
        <w:t>第 3 章　研究区域与数据基础</w:t>
      </w:r>
    </w:p>
    <w:p>
      <w:pPr>
        <w:pStyle w:val="ListBullet"/>
        <w:spacing w:line="400" w:lineRule="exact" w:before="0" w:after="0"/>
      </w:pPr>
      <w:r>
        <w:rPr>
          <w:rFonts w:ascii="Times New Roman" w:hAnsi="Times New Roman" w:eastAsia="宋体"/>
          <w:sz w:val="24"/>
        </w:rPr>
        <w:t>3.1 研究区域概况</w:t>
      </w:r>
    </w:p>
    <w:p>
      <w:pPr>
        <w:pStyle w:val="ListBullet"/>
        <w:spacing w:line="400" w:lineRule="exact" w:before="0" w:after="0"/>
      </w:pPr>
      <w:r>
        <w:rPr>
          <w:rFonts w:ascii="Times New Roman" w:hAnsi="Times New Roman" w:eastAsia="宋体"/>
          <w:sz w:val="24"/>
        </w:rPr>
        <w:t>3.2 数据来源与处理</w:t>
      </w:r>
    </w:p>
    <w:p>
      <w:pPr>
        <w:pStyle w:val="ListBullet"/>
        <w:spacing w:line="400" w:lineRule="exact" w:before="0" w:after="0"/>
      </w:pPr>
      <w:r>
        <w:rPr>
          <w:rFonts w:ascii="Times New Roman" w:hAnsi="Times New Roman" w:eastAsia="宋体"/>
          <w:sz w:val="24"/>
        </w:rPr>
        <w:t>3.3 数据覆盖与局限性</w:t>
      </w:r>
    </w:p>
    <w:p>
      <w:pPr>
        <w:pStyle w:val="ListBullet"/>
        <w:spacing w:line="400" w:lineRule="exact" w:before="0" w:after="0"/>
      </w:pPr>
      <w:r>
        <w:rPr>
          <w:rFonts w:ascii="Times New Roman" w:hAnsi="Times New Roman" w:eastAsia="宋体"/>
          <w:sz w:val="24"/>
        </w:rPr>
        <w:t>第 4 章　文化知识体系构建：知识图谱的实现</w:t>
      </w:r>
    </w:p>
    <w:p>
      <w:pPr>
        <w:pStyle w:val="ListBullet"/>
        <w:spacing w:line="400" w:lineRule="exact" w:before="0" w:after="0"/>
      </w:pPr>
      <w:r>
        <w:rPr>
          <w:rFonts w:ascii="Times New Roman" w:hAnsi="Times New Roman" w:eastAsia="宋体"/>
          <w:sz w:val="24"/>
        </w:rPr>
        <w:t>4.1 实体与关系的定义</w:t>
      </w:r>
    </w:p>
    <w:p>
      <w:pPr>
        <w:pStyle w:val="ListBullet"/>
        <w:spacing w:line="400" w:lineRule="exact" w:before="0" w:after="0"/>
      </w:pPr>
      <w:r>
        <w:rPr>
          <w:rFonts w:ascii="Times New Roman" w:hAnsi="Times New Roman" w:eastAsia="宋体"/>
          <w:sz w:val="24"/>
        </w:rPr>
        <w:t>4.2 基于大语言模型的抽取过程</w:t>
      </w:r>
    </w:p>
    <w:p>
      <w:pPr>
        <w:pStyle w:val="ListBullet"/>
        <w:spacing w:line="400" w:lineRule="exact" w:before="0" w:after="0"/>
      </w:pPr>
      <w:r>
        <w:rPr>
          <w:rFonts w:ascii="Times New Roman" w:hAnsi="Times New Roman" w:eastAsia="宋体"/>
          <w:sz w:val="24"/>
        </w:rPr>
        <w:t>4.3 图数据库的构建与可视化</w:t>
      </w:r>
    </w:p>
    <w:p>
      <w:pPr>
        <w:pStyle w:val="ListBullet"/>
        <w:spacing w:line="400" w:lineRule="exact" w:before="0" w:after="0"/>
      </w:pPr>
      <w:r>
        <w:rPr>
          <w:rFonts w:ascii="Times New Roman" w:hAnsi="Times New Roman" w:eastAsia="宋体"/>
          <w:sz w:val="24"/>
        </w:rPr>
        <w:t>第 5 章　旅游产品体系刻画与耦合分析</w:t>
      </w:r>
    </w:p>
    <w:p>
      <w:pPr>
        <w:pStyle w:val="ListBullet"/>
        <w:spacing w:line="400" w:lineRule="exact" w:before="0" w:after="0"/>
      </w:pPr>
      <w:r>
        <w:rPr>
          <w:rFonts w:ascii="Times New Roman" w:hAnsi="Times New Roman" w:eastAsia="宋体"/>
          <w:sz w:val="24"/>
        </w:rPr>
        <w:t>5.1 旅游产品体系的结构</w:t>
      </w:r>
    </w:p>
    <w:p>
      <w:pPr>
        <w:pStyle w:val="ListBullet"/>
        <w:spacing w:line="400" w:lineRule="exact" w:before="0" w:after="0"/>
      </w:pPr>
      <w:r>
        <w:rPr>
          <w:rFonts w:ascii="Times New Roman" w:hAnsi="Times New Roman" w:eastAsia="宋体"/>
          <w:sz w:val="24"/>
        </w:rPr>
        <w:t>5.2 文化—旅游耦合桥梁：物质遗产为主、非遗为补充</w:t>
      </w:r>
    </w:p>
    <w:p>
      <w:pPr>
        <w:pStyle w:val="ListBullet"/>
        <w:spacing w:line="400" w:lineRule="exact" w:before="0" w:after="0"/>
      </w:pPr>
      <w:r>
        <w:rPr>
          <w:rFonts w:ascii="Times New Roman" w:hAnsi="Times New Roman" w:eastAsia="宋体"/>
          <w:sz w:val="24"/>
        </w:rPr>
        <w:t>5.3 文化—旅游量化指数与错位指数</w:t>
      </w:r>
    </w:p>
    <w:p>
      <w:pPr>
        <w:pStyle w:val="ListBullet"/>
        <w:spacing w:line="400" w:lineRule="exact" w:before="0" w:after="0"/>
      </w:pPr>
      <w:r>
        <w:rPr>
          <w:rFonts w:ascii="Times New Roman" w:hAnsi="Times New Roman" w:eastAsia="宋体"/>
          <w:sz w:val="24"/>
        </w:rPr>
        <w:t>5.4 景区等级与游客体验的关联分析（副产品）</w:t>
      </w:r>
    </w:p>
    <w:p>
      <w:pPr>
        <w:pStyle w:val="ListBullet"/>
        <w:spacing w:line="400" w:lineRule="exact" w:before="0" w:after="0"/>
      </w:pPr>
      <w:r>
        <w:rPr>
          <w:rFonts w:ascii="Times New Roman" w:hAnsi="Times New Roman" w:eastAsia="宋体"/>
          <w:sz w:val="24"/>
        </w:rPr>
        <w:t>第 6 章　空间格局与潜力释放条件分析</w:t>
      </w:r>
    </w:p>
    <w:p>
      <w:pPr>
        <w:pStyle w:val="ListBullet"/>
        <w:spacing w:line="400" w:lineRule="exact" w:before="0" w:after="0"/>
      </w:pPr>
      <w:r>
        <w:rPr>
          <w:rFonts w:ascii="Times New Roman" w:hAnsi="Times New Roman" w:eastAsia="宋体"/>
          <w:sz w:val="24"/>
        </w:rPr>
        <w:t>6.1 空间分析方法</w:t>
      </w:r>
    </w:p>
    <w:p>
      <w:pPr>
        <w:pStyle w:val="ListBullet"/>
        <w:spacing w:line="400" w:lineRule="exact" w:before="0" w:after="0"/>
      </w:pPr>
      <w:r>
        <w:rPr>
          <w:rFonts w:ascii="Times New Roman" w:hAnsi="Times New Roman" w:eastAsia="宋体"/>
          <w:sz w:val="24"/>
        </w:rPr>
        <w:t>6.2 空间格局结果</w:t>
      </w:r>
    </w:p>
    <w:p>
      <w:pPr>
        <w:pStyle w:val="ListBullet"/>
        <w:spacing w:line="400" w:lineRule="exact" w:before="0" w:after="0"/>
      </w:pPr>
      <w:r>
        <w:rPr>
          <w:rFonts w:ascii="Times New Roman" w:hAnsi="Times New Roman" w:eastAsia="宋体"/>
          <w:sz w:val="24"/>
        </w:rPr>
        <w:t>6.3 潜力释放条件的相关性分析</w:t>
      </w:r>
    </w:p>
    <w:p>
      <w:pPr>
        <w:pStyle w:val="ListBullet"/>
        <w:spacing w:line="400" w:lineRule="exact" w:before="0" w:after="0"/>
      </w:pPr>
      <w:r>
        <w:rPr>
          <w:rFonts w:ascii="Times New Roman" w:hAnsi="Times New Roman" w:eastAsia="宋体"/>
          <w:sz w:val="24"/>
        </w:rPr>
        <w:t>6.4 九江片区的专题讨论</w:t>
      </w:r>
    </w:p>
    <w:p>
      <w:pPr>
        <w:pStyle w:val="ListBullet"/>
        <w:spacing w:line="400" w:lineRule="exact" w:before="0" w:after="0"/>
      </w:pPr>
      <w:r>
        <w:rPr>
          <w:rFonts w:ascii="Times New Roman" w:hAnsi="Times New Roman" w:eastAsia="宋体"/>
          <w:sz w:val="24"/>
        </w:rPr>
        <w:t>第 7 章　结论与建议</w:t>
      </w:r>
    </w:p>
    <w:p>
      <w:pPr>
        <w:pStyle w:val="ListBullet"/>
        <w:spacing w:line="400" w:lineRule="exact" w:before="0" w:after="0"/>
      </w:pPr>
      <w:r>
        <w:rPr>
          <w:rFonts w:ascii="Times New Roman" w:hAnsi="Times New Roman" w:eastAsia="宋体"/>
          <w:sz w:val="24"/>
        </w:rPr>
        <w:t>7.1 主要研究结论</w:t>
      </w:r>
    </w:p>
    <w:p>
      <w:pPr>
        <w:pStyle w:val="ListBullet"/>
        <w:spacing w:line="400" w:lineRule="exact" w:before="0" w:after="0"/>
      </w:pPr>
      <w:r>
        <w:rPr>
          <w:rFonts w:ascii="Times New Roman" w:hAnsi="Times New Roman" w:eastAsia="宋体"/>
          <w:sz w:val="24"/>
        </w:rPr>
        <w:t>7.2 文旅融合潜力释放与提升建议</w:t>
      </w:r>
    </w:p>
    <w:p>
      <w:pPr>
        <w:pStyle w:val="ListBullet"/>
        <w:spacing w:line="400" w:lineRule="exact" w:before="0" w:after="0"/>
      </w:pPr>
      <w:r>
        <w:rPr>
          <w:rFonts w:ascii="Times New Roman" w:hAnsi="Times New Roman" w:eastAsia="宋体"/>
          <w:sz w:val="24"/>
        </w:rPr>
        <w:t>7.3 研究不足与展望</w:t>
      </w:r>
    </w:p>
    <w:p>
      <w:pPr>
        <w:pStyle w:val="ListBullet"/>
        <w:spacing w:line="400" w:lineRule="exact" w:before="0" w:after="0"/>
      </w:pPr>
      <w:r>
        <w:rPr>
          <w:rFonts w:ascii="Times New Roman" w:hAnsi="Times New Roman" w:eastAsia="宋体"/>
          <w:sz w:val="24"/>
        </w:rPr>
        <w:t>参考文献</w:t>
      </w:r>
    </w:p>
    <w:p>
      <w:pPr>
        <w:pStyle w:val="ListBullet"/>
        <w:spacing w:line="400" w:lineRule="exact" w:before="0" w:after="0"/>
      </w:pPr>
      <w:r>
        <w:rPr>
          <w:rFonts w:ascii="Times New Roman" w:hAnsi="Times New Roman" w:eastAsia="宋体"/>
          <w:sz w:val="24"/>
        </w:rPr>
        <w:t>附录 A　实体分类体系简表</w:t>
      </w:r>
    </w:p>
    <w:p>
      <w:pPr>
        <w:pStyle w:val="ListBullet"/>
        <w:spacing w:line="400" w:lineRule="exact" w:before="0" w:after="0"/>
      </w:pPr>
      <w:r>
        <w:rPr>
          <w:rFonts w:ascii="Times New Roman" w:hAnsi="Times New Roman" w:eastAsia="宋体"/>
          <w:sz w:val="24"/>
        </w:rPr>
        <w:t>附录 B　165 条物质文化载体分类与镇街分布统计</w:t>
      </w:r>
    </w:p>
    <w:p>
      <w:pPr>
        <w:pStyle w:val="ListBullet"/>
        <w:spacing w:line="400" w:lineRule="exact" w:before="0" w:after="0"/>
      </w:pPr>
      <w:r>
        <w:rPr>
          <w:rFonts w:ascii="Times New Roman" w:hAnsi="Times New Roman" w:eastAsia="宋体"/>
          <w:sz w:val="24"/>
        </w:rPr>
        <w:t>附录 C　载体级指数与错位分类样例</w:t>
      </w:r>
    </w:p>
    <w:p>
      <w:pPr>
        <w:pStyle w:val="ListBullet"/>
        <w:spacing w:line="400" w:lineRule="exact" w:before="0" w:after="0"/>
      </w:pPr>
      <w:r>
        <w:rPr>
          <w:rFonts w:ascii="Times New Roman" w:hAnsi="Times New Roman" w:eastAsia="宋体"/>
          <w:sz w:val="24"/>
        </w:rPr>
        <w:t>附录 D　潜力释放条件相关矩阵</w:t>
      </w:r>
    </w:p>
    <w:p>
      <w:pPr>
        <w:pStyle w:val="ListBullet"/>
        <w:spacing w:line="400" w:lineRule="exact" w:before="0" w:after="0"/>
      </w:pPr>
      <w:r>
        <w:rPr>
          <w:rFonts w:ascii="Times New Roman" w:hAnsi="Times New Roman" w:eastAsia="宋体"/>
          <w:sz w:val="24"/>
        </w:rPr>
        <w:t>致　　谢</w:t>
      </w:r>
    </w:p>
    <w:p>
      <w:pPr>
        <w:pStyle w:val="ListBullet"/>
        <w:spacing w:line="400" w:lineRule="exact" w:before="0" w:after="0"/>
      </w:pPr>
      <w:r>
        <w:rPr>
          <w:rFonts w:ascii="Times New Roman" w:hAnsi="Times New Roman" w:eastAsia="宋体"/>
          <w:sz w:val="24"/>
        </w:rPr>
        <w:t>声　　明</w:t>
      </w:r>
    </w:p>
    <w:p>
      <w:pPr>
        <w:pStyle w:val="ListBullet"/>
        <w:spacing w:line="400" w:lineRule="exact" w:before="0" w:after="0"/>
      </w:pPr>
      <w:r>
        <w:rPr>
          <w:rFonts w:ascii="Times New Roman" w:hAnsi="Times New Roman" w:eastAsia="宋体"/>
          <w:sz w:val="24"/>
        </w:rPr>
        <w:t>在学期间参加课题的研究成果</w:t>
      </w:r>
    </w:p>
    <w:p/>
    <w:p>
      <w:r>
        <w:br w:type="page"/>
      </w:r>
    </w:p>
    <w:p/>
    <w:p>
      <w:pPr>
        <w:pStyle w:val="Heading2"/>
        <w:spacing w:line="400" w:lineRule="exact" w:before="240" w:after="80"/>
        <w:jc w:val="left"/>
      </w:pPr>
      <w:r>
        <w:rPr>
          <w:rFonts w:ascii="Times New Roman" w:hAnsi="Times New Roman" w:eastAsia="宋体"/>
          <w:b/>
          <w:sz w:val="28"/>
        </w:rPr>
        <w:t>插图清单</w:t>
      </w:r>
    </w:p>
    <w:p/>
    <w:p>
      <w:pPr>
        <w:pStyle w:val="ListBullet"/>
        <w:spacing w:line="400" w:lineRule="exact" w:before="0" w:after="0"/>
      </w:pPr>
      <w:r>
        <w:rPr>
          <w:rFonts w:ascii="Times New Roman" w:hAnsi="Times New Roman" w:eastAsia="宋体"/>
          <w:sz w:val="24"/>
        </w:rPr>
        <w:t>图 3.1　南海区文旅资源的多源数据采集与清洗流程</w:t>
      </w:r>
    </w:p>
    <w:p>
      <w:pPr>
        <w:pStyle w:val="ListBullet"/>
        <w:spacing w:line="400" w:lineRule="exact" w:before="0" w:after="0"/>
      </w:pPr>
      <w:r>
        <w:rPr>
          <w:rFonts w:ascii="Times New Roman" w:hAnsi="Times New Roman" w:eastAsia="宋体"/>
          <w:sz w:val="24"/>
        </w:rPr>
        <w:t>图 4.1　实体—关系抽取的分块与并发处理流程</w:t>
      </w:r>
    </w:p>
    <w:p>
      <w:pPr>
        <w:pStyle w:val="ListBullet"/>
        <w:spacing w:line="400" w:lineRule="exact" w:before="0" w:after="0"/>
      </w:pPr>
      <w:r>
        <w:rPr>
          <w:rFonts w:ascii="Times New Roman" w:hAnsi="Times New Roman" w:eastAsia="宋体"/>
          <w:sz w:val="24"/>
        </w:rPr>
        <w:t>图 4.2　知识图谱全局网络与典型人物子图</w:t>
      </w:r>
    </w:p>
    <w:p>
      <w:pPr>
        <w:pStyle w:val="ListBullet"/>
        <w:spacing w:line="400" w:lineRule="exact" w:before="0" w:after="0"/>
      </w:pPr>
      <w:r>
        <w:rPr>
          <w:rFonts w:ascii="Times New Roman" w:hAnsi="Times New Roman" w:eastAsia="宋体"/>
          <w:sz w:val="24"/>
        </w:rPr>
        <w:t>图 5.1　13,512 条 POI 的类型构成与镇街分布</w:t>
      </w:r>
    </w:p>
    <w:p>
      <w:pPr>
        <w:pStyle w:val="ListBullet"/>
        <w:spacing w:line="400" w:lineRule="exact" w:before="0" w:after="0"/>
      </w:pPr>
      <w:r>
        <w:rPr>
          <w:rFonts w:ascii="Times New Roman" w:hAnsi="Times New Roman" w:eastAsia="宋体"/>
          <w:sz w:val="24"/>
        </w:rPr>
        <w:t>图 5.2　500 m 网格文化—旅游分布与错位分层</w:t>
      </w:r>
    </w:p>
    <w:p>
      <w:pPr>
        <w:pStyle w:val="ListBullet"/>
        <w:spacing w:line="400" w:lineRule="exact" w:before="0" w:after="0"/>
      </w:pPr>
      <w:r>
        <w:rPr>
          <w:rFonts w:ascii="Times New Roman" w:hAnsi="Times New Roman" w:eastAsia="宋体"/>
          <w:sz w:val="24"/>
        </w:rPr>
        <w:t>图 5.3　景区评级与评论热度、评分的关系</w:t>
      </w:r>
    </w:p>
    <w:p>
      <w:pPr>
        <w:pStyle w:val="ListBullet"/>
        <w:spacing w:line="400" w:lineRule="exact" w:before="0" w:after="0"/>
      </w:pPr>
      <w:r>
        <w:rPr>
          <w:rFonts w:ascii="Times New Roman" w:hAnsi="Times New Roman" w:eastAsia="宋体"/>
          <w:sz w:val="24"/>
        </w:rPr>
        <w:t>图 6.1　500 m 网格错位识别：基础口径与知识图谱口径对比</w:t>
      </w:r>
    </w:p>
    <w:p>
      <w:pPr>
        <w:pStyle w:val="ListBullet"/>
        <w:spacing w:line="400" w:lineRule="exact" w:before="0" w:after="0"/>
      </w:pPr>
      <w:r>
        <w:rPr>
          <w:rFonts w:ascii="Times New Roman" w:hAnsi="Times New Roman" w:eastAsia="宋体"/>
          <w:sz w:val="24"/>
        </w:rPr>
        <w:t>图 6.2　文化载体核密度图与 POI 核密度图叠加</w:t>
      </w:r>
    </w:p>
    <w:p>
      <w:pPr>
        <w:pStyle w:val="ListBullet"/>
        <w:spacing w:line="400" w:lineRule="exact" w:before="0" w:after="0"/>
      </w:pPr>
      <w:r>
        <w:rPr>
          <w:rFonts w:ascii="Times New Roman" w:hAnsi="Times New Roman" w:eastAsia="宋体"/>
          <w:sz w:val="24"/>
        </w:rPr>
        <w:t>图 6.3　镇街尺度文化厚度、旅游热度与错位类型对比</w:t>
      </w:r>
    </w:p>
    <w:p>
      <w:pPr>
        <w:pStyle w:val="ListBullet"/>
        <w:spacing w:line="400" w:lineRule="exact" w:before="0" w:after="0"/>
      </w:pPr>
      <w:r>
        <w:rPr>
          <w:rFonts w:ascii="Times New Roman" w:hAnsi="Times New Roman" w:eastAsia="宋体"/>
          <w:sz w:val="24"/>
        </w:rPr>
        <w:t>图 6.4　载体级相关矩阵热图（7 变量 × 7 变量）</w:t>
      </w:r>
    </w:p>
    <w:p>
      <w:pPr>
        <w:pStyle w:val="ListBullet"/>
        <w:spacing w:line="400" w:lineRule="exact" w:before="0" w:after="0"/>
      </w:pPr>
      <w:r>
        <w:rPr>
          <w:rFonts w:ascii="Times New Roman" w:hAnsi="Times New Roman" w:eastAsia="宋体"/>
          <w:sz w:val="24"/>
        </w:rPr>
        <w:t>图 6.5　九江片区错位专题图</w:t>
      </w:r>
    </w:p>
    <w:p/>
    <w:p>
      <w:pPr>
        <w:pStyle w:val="Heading2"/>
        <w:spacing w:line="400" w:lineRule="exact" w:before="240" w:after="80"/>
        <w:jc w:val="left"/>
      </w:pPr>
      <w:r>
        <w:rPr>
          <w:rFonts w:ascii="Times New Roman" w:hAnsi="Times New Roman" w:eastAsia="宋体"/>
          <w:b/>
          <w:sz w:val="28"/>
        </w:rPr>
        <w:t>附表清单</w:t>
      </w:r>
    </w:p>
    <w:p/>
    <w:p>
      <w:pPr>
        <w:pStyle w:val="ListBullet"/>
        <w:spacing w:line="400" w:lineRule="exact" w:before="0" w:after="0"/>
      </w:pPr>
      <w:r>
        <w:rPr>
          <w:rFonts w:ascii="Times New Roman" w:hAnsi="Times New Roman" w:eastAsia="宋体"/>
          <w:sz w:val="24"/>
        </w:rPr>
        <w:t>表 3.1　南海区主要文旅资源家底（按类别与级别）</w:t>
      </w:r>
    </w:p>
    <w:p>
      <w:pPr>
        <w:pStyle w:val="ListBullet"/>
        <w:spacing w:line="400" w:lineRule="exact" w:before="0" w:after="0"/>
      </w:pPr>
      <w:r>
        <w:rPr>
          <w:rFonts w:ascii="Times New Roman" w:hAnsi="Times New Roman" w:eastAsia="宋体"/>
          <w:sz w:val="24"/>
        </w:rPr>
        <w:t>表 3.2　165 条物质文化载体按类型分布</w:t>
      </w:r>
    </w:p>
    <w:p>
      <w:pPr>
        <w:pStyle w:val="ListBullet"/>
        <w:spacing w:line="400" w:lineRule="exact" w:before="0" w:after="0"/>
      </w:pPr>
      <w:r>
        <w:rPr>
          <w:rFonts w:ascii="Times New Roman" w:hAnsi="Times New Roman" w:eastAsia="宋体"/>
          <w:sz w:val="24"/>
        </w:rPr>
        <w:t>表 3.3　评论平台来源与覆盖构成</w:t>
      </w:r>
    </w:p>
    <w:p>
      <w:pPr>
        <w:pStyle w:val="ListBullet"/>
        <w:spacing w:line="400" w:lineRule="exact" w:before="0" w:after="0"/>
      </w:pPr>
      <w:r>
        <w:rPr>
          <w:rFonts w:ascii="Times New Roman" w:hAnsi="Times New Roman" w:eastAsia="宋体"/>
          <w:sz w:val="24"/>
        </w:rPr>
        <w:t>表 5.1　13,512 条 POI 按 11 大类的构成</w:t>
      </w:r>
    </w:p>
    <w:p>
      <w:pPr>
        <w:pStyle w:val="ListBullet"/>
        <w:spacing w:line="400" w:lineRule="exact" w:before="0" w:after="0"/>
      </w:pPr>
      <w:r>
        <w:rPr>
          <w:rFonts w:ascii="Times New Roman" w:hAnsi="Times New Roman" w:eastAsia="宋体"/>
          <w:sz w:val="24"/>
        </w:rPr>
        <w:t>表 5.2　错位分层四象限的载体计数</w:t>
      </w:r>
    </w:p>
    <w:p>
      <w:pPr>
        <w:pStyle w:val="ListBullet"/>
        <w:spacing w:line="400" w:lineRule="exact" w:before="0" w:after="0"/>
      </w:pPr>
      <w:r>
        <w:rPr>
          <w:rFonts w:ascii="Times New Roman" w:hAnsi="Times New Roman" w:eastAsia="宋体"/>
          <w:sz w:val="24"/>
        </w:rPr>
        <w:t>表 5.3　A 级景区副产品相关系数（n = 16）</w:t>
      </w:r>
    </w:p>
    <w:p>
      <w:pPr>
        <w:pStyle w:val="ListBullet"/>
        <w:spacing w:line="400" w:lineRule="exact" w:before="0" w:after="0"/>
      </w:pPr>
      <w:r>
        <w:rPr>
          <w:rFonts w:ascii="Times New Roman" w:hAnsi="Times New Roman" w:eastAsia="宋体"/>
          <w:sz w:val="24"/>
        </w:rPr>
        <w:t>表 6.1　镇街尺度的 POI、文化载体、CMI、THI、MI 均值对比</w:t>
      </w:r>
    </w:p>
    <w:p>
      <w:pPr>
        <w:pStyle w:val="ListBullet"/>
        <w:spacing w:line="400" w:lineRule="exact" w:before="0" w:after="0"/>
      </w:pPr>
      <w:r>
        <w:rPr>
          <w:rFonts w:ascii="Times New Roman" w:hAnsi="Times New Roman" w:eastAsia="宋体"/>
          <w:sz w:val="24"/>
        </w:rPr>
        <w:t>表 6.2　500 m 网格 0 跳 / 1 跳错位分类对比</w:t>
      </w:r>
    </w:p>
    <w:p>
      <w:pPr>
        <w:pStyle w:val="ListBullet"/>
        <w:spacing w:line="400" w:lineRule="exact" w:before="0" w:after="0"/>
      </w:pPr>
      <w:r>
        <w:rPr>
          <w:rFonts w:ascii="Times New Roman" w:hAnsi="Times New Roman" w:eastAsia="宋体"/>
          <w:sz w:val="24"/>
        </w:rPr>
        <w:t>表 6.3　镇街尺度 1 跳知识图谱口径摘要</w:t>
      </w:r>
    </w:p>
    <w:p>
      <w:pPr>
        <w:pStyle w:val="ListBullet"/>
        <w:spacing w:line="400" w:lineRule="exact" w:before="0" w:after="0"/>
      </w:pPr>
      <w:r>
        <w:rPr>
          <w:rFonts w:ascii="Times New Roman" w:hAnsi="Times New Roman" w:eastAsia="宋体"/>
          <w:sz w:val="24"/>
        </w:rPr>
        <w:t>表 6.4　载体级指标相关矩阵（n = 165）</w:t>
      </w:r>
    </w:p>
    <w:p>
      <w:pPr>
        <w:pStyle w:val="ListBullet"/>
        <w:spacing w:line="400" w:lineRule="exact" w:before="0" w:after="0"/>
      </w:pPr>
      <w:r>
        <w:rPr>
          <w:rFonts w:ascii="Times New Roman" w:hAnsi="Times New Roman" w:eastAsia="宋体"/>
          <w:sz w:val="24"/>
        </w:rPr>
        <w:t>表 6.5　镇街级指标相关矩阵（n = 7）</w:t>
      </w:r>
    </w:p>
    <w:p>
      <w:pPr>
        <w:pStyle w:val="ListBullet"/>
        <w:spacing w:line="400" w:lineRule="exact" w:before="0" w:after="0"/>
      </w:pPr>
      <w:r>
        <w:rPr>
          <w:rFonts w:ascii="Times New Roman" w:hAnsi="Times New Roman" w:eastAsia="宋体"/>
          <w:sz w:val="24"/>
        </w:rPr>
        <w:t>表 6.6　政策可干预条件与不可直接干预条件的划分</w:t>
      </w:r>
    </w:p>
    <w:p/>
    <w:p>
      <w:r>
        <w:br w:type="page"/>
      </w:r>
    </w:p>
    <w:p/>
    <w:p>
      <w:pPr>
        <w:pStyle w:val="Heading2"/>
        <w:spacing w:line="400" w:lineRule="exact" w:before="240" w:after="80"/>
        <w:jc w:val="left"/>
      </w:pPr>
      <w:r>
        <w:rPr>
          <w:rFonts w:ascii="Times New Roman" w:hAnsi="Times New Roman" w:eastAsia="宋体"/>
          <w:b/>
          <w:sz w:val="28"/>
        </w:rPr>
        <w:t>符号和缩略语说明</w:t>
      </w:r>
    </w:p>
    <w:p/>
    <w:tbl>
      <w:tblPr>
        <w:tblStyle w:val="TableGrid"/>
        <w:tblW w:type="auto" w:w="0"/>
        <w:tblLayout w:type="autofit"/>
        <w:tblLook w:firstColumn="1" w:firstRow="1" w:lastColumn="0" w:lastRow="0" w:noHBand="0" w:noVBand="1" w:val="04A0"/>
      </w:tblPr>
      <w:tblGrid>
        <w:gridCol w:w="4532"/>
        <w:gridCol w:w="4532"/>
      </w:tblGrid>
      <w:tr>
        <w:tc>
          <w:tcPr>
            <w:tcW w:type="dxa" w:w="4532"/>
          </w:tcPr>
          <w:p>
            <w:pPr>
              <w:jc w:val="center"/>
            </w:pPr>
            <w:r/>
            <w:r>
              <w:rPr>
                <w:rFonts w:ascii="Times New Roman" w:hAnsi="Times New Roman" w:eastAsia="宋体"/>
                <w:b/>
                <w:sz w:val="21"/>
              </w:rPr>
              <w:t>符号 / 缩略语</w:t>
            </w:r>
          </w:p>
        </w:tc>
        <w:tc>
          <w:tcPr>
            <w:tcW w:type="dxa" w:w="4532"/>
          </w:tcPr>
          <w:p>
            <w:pPr>
              <w:jc w:val="center"/>
            </w:pPr>
            <w:r/>
            <w:r>
              <w:rPr>
                <w:rFonts w:ascii="Times New Roman" w:hAnsi="Times New Roman" w:eastAsia="宋体"/>
                <w:b/>
                <w:sz w:val="21"/>
              </w:rPr>
              <w:t>含义</w:t>
            </w:r>
          </w:p>
        </w:tc>
      </w:tr>
      <w:tr>
        <w:tc>
          <w:tcPr>
            <w:tcW w:type="dxa" w:w="4532"/>
          </w:tcPr>
          <w:p>
            <w:pPr>
              <w:jc w:val="center"/>
            </w:pPr>
            <w:r/>
            <w:r>
              <w:rPr>
                <w:rFonts w:ascii="Times New Roman" w:hAnsi="Times New Roman" w:eastAsia="宋体"/>
                <w:b w:val="0"/>
                <w:sz w:val="21"/>
              </w:rPr>
              <w:t>POI</w:t>
            </w:r>
          </w:p>
        </w:tc>
        <w:tc>
          <w:tcPr>
            <w:tcW w:type="dxa" w:w="4532"/>
          </w:tcPr>
          <w:p>
            <w:pPr>
              <w:jc w:val="center"/>
            </w:pPr>
            <w:r/>
            <w:r>
              <w:rPr>
                <w:rFonts w:ascii="Times New Roman" w:hAnsi="Times New Roman" w:eastAsia="宋体"/>
                <w:b w:val="0"/>
                <w:sz w:val="21"/>
              </w:rPr>
              <w:t>兴趣点（Point of Interest）</w:t>
            </w:r>
          </w:p>
        </w:tc>
      </w:tr>
      <w:tr>
        <w:tc>
          <w:tcPr>
            <w:tcW w:type="dxa" w:w="4532"/>
          </w:tcPr>
          <w:p>
            <w:pPr>
              <w:jc w:val="center"/>
            </w:pPr>
            <w:r/>
            <w:r>
              <w:rPr>
                <w:rFonts w:ascii="Times New Roman" w:hAnsi="Times New Roman" w:eastAsia="宋体"/>
                <w:b w:val="0"/>
                <w:sz w:val="21"/>
              </w:rPr>
              <w:t>LLM</w:t>
            </w:r>
          </w:p>
        </w:tc>
        <w:tc>
          <w:tcPr>
            <w:tcW w:type="dxa" w:w="4532"/>
          </w:tcPr>
          <w:p>
            <w:pPr>
              <w:jc w:val="center"/>
            </w:pPr>
            <w:r/>
            <w:r>
              <w:rPr>
                <w:rFonts w:ascii="Times New Roman" w:hAnsi="Times New Roman" w:eastAsia="宋体"/>
                <w:b w:val="0"/>
                <w:sz w:val="21"/>
              </w:rPr>
              <w:t>大语言模型（Large Language Model）</w:t>
            </w:r>
          </w:p>
        </w:tc>
      </w:tr>
      <w:tr>
        <w:tc>
          <w:tcPr>
            <w:tcW w:type="dxa" w:w="4532"/>
          </w:tcPr>
          <w:p>
            <w:pPr>
              <w:jc w:val="center"/>
            </w:pPr>
            <w:r/>
            <w:r>
              <w:rPr>
                <w:rFonts w:ascii="Times New Roman" w:hAnsi="Times New Roman" w:eastAsia="宋体"/>
                <w:b w:val="0"/>
                <w:sz w:val="21"/>
              </w:rPr>
              <w:t>NER</w:t>
            </w:r>
          </w:p>
        </w:tc>
        <w:tc>
          <w:tcPr>
            <w:tcW w:type="dxa" w:w="4532"/>
          </w:tcPr>
          <w:p>
            <w:pPr>
              <w:jc w:val="center"/>
            </w:pPr>
            <w:r/>
            <w:r>
              <w:rPr>
                <w:rFonts w:ascii="Times New Roman" w:hAnsi="Times New Roman" w:eastAsia="宋体"/>
                <w:b w:val="0"/>
                <w:sz w:val="21"/>
              </w:rPr>
              <w:t>命名实体识别（Named Entity Recognition）</w:t>
            </w:r>
          </w:p>
        </w:tc>
      </w:tr>
      <w:tr>
        <w:tc>
          <w:tcPr>
            <w:tcW w:type="dxa" w:w="4532"/>
          </w:tcPr>
          <w:p>
            <w:pPr>
              <w:jc w:val="center"/>
            </w:pPr>
            <w:r/>
            <w:r>
              <w:rPr>
                <w:rFonts w:ascii="Times New Roman" w:hAnsi="Times New Roman" w:eastAsia="宋体"/>
                <w:b w:val="0"/>
                <w:sz w:val="21"/>
              </w:rPr>
              <w:t>KDE</w:t>
            </w:r>
          </w:p>
        </w:tc>
        <w:tc>
          <w:tcPr>
            <w:tcW w:type="dxa" w:w="4532"/>
          </w:tcPr>
          <w:p>
            <w:pPr>
              <w:jc w:val="center"/>
            </w:pPr>
            <w:r/>
            <w:r>
              <w:rPr>
                <w:rFonts w:ascii="Times New Roman" w:hAnsi="Times New Roman" w:eastAsia="宋体"/>
                <w:b w:val="0"/>
                <w:sz w:val="21"/>
              </w:rPr>
              <w:t>核密度估计（Kernel Density Estimation）</w:t>
            </w:r>
          </w:p>
        </w:tc>
      </w:tr>
      <w:tr>
        <w:tc>
          <w:tcPr>
            <w:tcW w:type="dxa" w:w="4532"/>
          </w:tcPr>
          <w:p>
            <w:pPr>
              <w:jc w:val="center"/>
            </w:pPr>
            <w:r/>
            <w:r>
              <w:rPr>
                <w:rFonts w:ascii="Times New Roman" w:hAnsi="Times New Roman" w:eastAsia="宋体"/>
                <w:b w:val="0"/>
                <w:sz w:val="21"/>
              </w:rPr>
              <w:t>DBSCAN</w:t>
            </w:r>
          </w:p>
        </w:tc>
        <w:tc>
          <w:tcPr>
            <w:tcW w:type="dxa" w:w="4532"/>
          </w:tcPr>
          <w:p>
            <w:pPr>
              <w:jc w:val="center"/>
            </w:pPr>
            <w:r/>
            <w:r>
              <w:rPr>
                <w:rFonts w:ascii="Times New Roman" w:hAnsi="Times New Roman" w:eastAsia="宋体"/>
                <w:b w:val="0"/>
                <w:sz w:val="21"/>
              </w:rPr>
              <w:t>基于密度的带噪声空间聚类（Density-Based Spatial Clustering of Applications with Noise）</w:t>
            </w:r>
          </w:p>
        </w:tc>
      </w:tr>
      <w:tr>
        <w:tc>
          <w:tcPr>
            <w:tcW w:type="dxa" w:w="4532"/>
          </w:tcPr>
          <w:p>
            <w:pPr>
              <w:jc w:val="center"/>
            </w:pPr>
            <w:r/>
            <w:r>
              <w:rPr>
                <w:rFonts w:ascii="Times New Roman" w:hAnsi="Times New Roman" w:eastAsia="宋体"/>
                <w:b w:val="0"/>
                <w:sz w:val="21"/>
              </w:rPr>
              <w:t>CMI</w:t>
            </w:r>
          </w:p>
        </w:tc>
        <w:tc>
          <w:tcPr>
            <w:tcW w:type="dxa" w:w="4532"/>
          </w:tcPr>
          <w:p>
            <w:pPr>
              <w:jc w:val="center"/>
            </w:pPr>
            <w:r/>
            <w:r>
              <w:rPr>
                <w:rFonts w:ascii="Times New Roman" w:hAnsi="Times New Roman" w:eastAsia="宋体"/>
                <w:b w:val="0"/>
                <w:sz w:val="21"/>
              </w:rPr>
              <w:t>文化记忆指数（Cultural Memory Index）</w:t>
            </w:r>
          </w:p>
        </w:tc>
      </w:tr>
      <w:tr>
        <w:tc>
          <w:tcPr>
            <w:tcW w:type="dxa" w:w="4532"/>
          </w:tcPr>
          <w:p>
            <w:pPr>
              <w:jc w:val="center"/>
            </w:pPr>
            <w:r/>
            <w:r>
              <w:rPr>
                <w:rFonts w:ascii="Times New Roman" w:hAnsi="Times New Roman" w:eastAsia="宋体"/>
                <w:b w:val="0"/>
                <w:sz w:val="21"/>
              </w:rPr>
              <w:t>OAI</w:t>
            </w:r>
          </w:p>
        </w:tc>
        <w:tc>
          <w:tcPr>
            <w:tcW w:type="dxa" w:w="4532"/>
          </w:tcPr>
          <w:p>
            <w:pPr>
              <w:jc w:val="center"/>
            </w:pPr>
            <w:r/>
            <w:r>
              <w:rPr>
                <w:rFonts w:ascii="Times New Roman" w:hAnsi="Times New Roman" w:eastAsia="宋体"/>
                <w:b w:val="0"/>
                <w:sz w:val="21"/>
              </w:rPr>
              <w:t>官方认证指数（Official Accreditation Index）</w:t>
            </w:r>
          </w:p>
        </w:tc>
      </w:tr>
      <w:tr>
        <w:tc>
          <w:tcPr>
            <w:tcW w:type="dxa" w:w="4532"/>
          </w:tcPr>
          <w:p>
            <w:pPr>
              <w:jc w:val="center"/>
            </w:pPr>
            <w:r/>
            <w:r>
              <w:rPr>
                <w:rFonts w:ascii="Times New Roman" w:hAnsi="Times New Roman" w:eastAsia="宋体"/>
                <w:b w:val="0"/>
                <w:sz w:val="21"/>
              </w:rPr>
              <w:t>THI</w:t>
            </w:r>
          </w:p>
        </w:tc>
        <w:tc>
          <w:tcPr>
            <w:tcW w:type="dxa" w:w="4532"/>
          </w:tcPr>
          <w:p>
            <w:pPr>
              <w:jc w:val="center"/>
            </w:pPr>
            <w:r/>
            <w:r>
              <w:rPr>
                <w:rFonts w:ascii="Times New Roman" w:hAnsi="Times New Roman" w:eastAsia="宋体"/>
                <w:b w:val="0"/>
                <w:sz w:val="21"/>
              </w:rPr>
              <w:t>旅游热度指数（Tourism Heat Index）</w:t>
            </w:r>
          </w:p>
        </w:tc>
      </w:tr>
      <w:tr>
        <w:tc>
          <w:tcPr>
            <w:tcW w:type="dxa" w:w="4532"/>
          </w:tcPr>
          <w:p>
            <w:pPr>
              <w:jc w:val="center"/>
            </w:pPr>
            <w:r/>
            <w:r>
              <w:rPr>
                <w:rFonts w:ascii="Times New Roman" w:hAnsi="Times New Roman" w:eastAsia="宋体"/>
                <w:b w:val="0"/>
                <w:sz w:val="21"/>
              </w:rPr>
              <w:t>MI</w:t>
            </w:r>
          </w:p>
        </w:tc>
        <w:tc>
          <w:tcPr>
            <w:tcW w:type="dxa" w:w="4532"/>
          </w:tcPr>
          <w:p>
            <w:pPr>
              <w:jc w:val="center"/>
            </w:pPr>
            <w:r/>
            <w:r>
              <w:rPr>
                <w:rFonts w:ascii="Times New Roman" w:hAnsi="Times New Roman" w:eastAsia="宋体"/>
                <w:b w:val="0"/>
                <w:sz w:val="21"/>
              </w:rPr>
              <w:t>文化—旅游错位指数（Culture–Tourism Mismatch Index）</w:t>
            </w:r>
          </w:p>
        </w:tc>
      </w:tr>
      <w:tr>
        <w:tc>
          <w:tcPr>
            <w:tcW w:type="dxa" w:w="4532"/>
          </w:tcPr>
          <w:p>
            <w:pPr>
              <w:jc w:val="center"/>
            </w:pPr>
            <w:r/>
            <w:r>
              <w:rPr>
                <w:rFonts w:ascii="Times New Roman" w:hAnsi="Times New Roman" w:eastAsia="宋体"/>
                <w:b w:val="0"/>
                <w:sz w:val="21"/>
              </w:rPr>
              <w:t>C / T / M</w:t>
            </w:r>
          </w:p>
        </w:tc>
        <w:tc>
          <w:tcPr>
            <w:tcW w:type="dxa" w:w="4532"/>
          </w:tcPr>
          <w:p>
            <w:pPr>
              <w:jc w:val="center"/>
            </w:pPr>
            <w:r/>
            <w:r>
              <w:rPr>
                <w:rFonts w:ascii="Times New Roman" w:hAnsi="Times New Roman" w:eastAsia="宋体"/>
                <w:b w:val="0"/>
                <w:sz w:val="21"/>
              </w:rPr>
              <w:t>网格尺度文化厚度、旅游热度与错位值</w:t>
            </w:r>
          </w:p>
        </w:tc>
      </w:tr>
      <w:tr>
        <w:tc>
          <w:tcPr>
            <w:tcW w:type="dxa" w:w="4532"/>
          </w:tcPr>
          <w:p>
            <w:pPr>
              <w:jc w:val="center"/>
            </w:pPr>
            <w:r/>
            <w:r>
              <w:rPr>
                <w:rFonts w:ascii="Times New Roman" w:hAnsi="Times New Roman" w:eastAsia="宋体"/>
                <w:b w:val="0"/>
                <w:sz w:val="21"/>
              </w:rPr>
              <w:t>0 跳 / 1 跳</w:t>
            </w:r>
          </w:p>
        </w:tc>
        <w:tc>
          <w:tcPr>
            <w:tcW w:type="dxa" w:w="4532"/>
          </w:tcPr>
          <w:p>
            <w:pPr>
              <w:jc w:val="center"/>
            </w:pPr>
            <w:r/>
            <w:r>
              <w:rPr>
                <w:rFonts w:ascii="Times New Roman" w:hAnsi="Times New Roman" w:eastAsia="宋体"/>
                <w:b w:val="0"/>
                <w:sz w:val="21"/>
              </w:rPr>
              <w:t>知识图谱中从种子实体出发的直接触达层与一步邻居扩展层</w:t>
            </w:r>
          </w:p>
        </w:tc>
      </w:tr>
      <w:tr>
        <w:tc>
          <w:tcPr>
            <w:tcW w:type="dxa" w:w="4532"/>
          </w:tcPr>
          <w:p>
            <w:pPr>
              <w:jc w:val="center"/>
            </w:pPr>
            <w:r/>
            <w:r>
              <w:rPr>
                <w:rFonts w:ascii="Times New Roman" w:hAnsi="Times New Roman" w:eastAsia="宋体"/>
                <w:b w:val="0"/>
                <w:sz w:val="21"/>
              </w:rPr>
              <w:t>GB/T 7714</w:t>
            </w:r>
          </w:p>
        </w:tc>
        <w:tc>
          <w:tcPr>
            <w:tcW w:type="dxa" w:w="4532"/>
          </w:tcPr>
          <w:p>
            <w:pPr>
              <w:jc w:val="center"/>
            </w:pPr>
            <w:r/>
            <w:r>
              <w:rPr>
                <w:rFonts w:ascii="Times New Roman" w:hAnsi="Times New Roman" w:eastAsia="宋体"/>
                <w:b w:val="0"/>
                <w:sz w:val="21"/>
              </w:rPr>
              <w:t>国家标准《信息与文献 参考文献著录规则》</w:t>
            </w:r>
          </w:p>
        </w:tc>
      </w:tr>
      <w:tr>
        <w:tc>
          <w:tcPr>
            <w:tcW w:type="dxa" w:w="4532"/>
          </w:tcPr>
          <w:p>
            <w:pPr>
              <w:jc w:val="center"/>
            </w:pPr>
            <w:r/>
            <w:r>
              <w:rPr>
                <w:rFonts w:ascii="Times New Roman" w:hAnsi="Times New Roman" w:eastAsia="宋体"/>
                <w:b w:val="0"/>
                <w:sz w:val="21"/>
              </w:rPr>
              <w:t>Neo4j</w:t>
            </w:r>
          </w:p>
        </w:tc>
        <w:tc>
          <w:tcPr>
            <w:tcW w:type="dxa" w:w="4532"/>
          </w:tcPr>
          <w:p>
            <w:pPr>
              <w:jc w:val="center"/>
            </w:pPr>
            <w:r/>
            <w:r>
              <w:rPr>
                <w:rFonts w:ascii="Times New Roman" w:hAnsi="Times New Roman" w:eastAsia="宋体"/>
                <w:b w:val="0"/>
                <w:sz w:val="21"/>
              </w:rPr>
              <w:t>开源图数据库（Native Graph Database）</w:t>
            </w:r>
          </w:p>
        </w:tc>
      </w:tr>
    </w:tbl>
    <w:p/>
    <w:p/>
    <w:p>
      <w:r>
        <w:br w:type="page"/>
      </w:r>
    </w:p>
    <w:p/>
    <w:p>
      <w:pPr>
        <w:pStyle w:val="Heading1"/>
        <w:spacing w:line="400" w:lineRule="exact" w:before="360" w:after="160"/>
        <w:jc w:val="center"/>
      </w:pPr>
      <w:r>
        <w:rPr>
          <w:rFonts w:ascii="Times New Roman" w:hAnsi="Times New Roman" w:eastAsia="宋体"/>
          <w:b/>
          <w:sz w:val="32"/>
        </w:rPr>
        <w:t>第 1 章　引言</w:t>
      </w:r>
    </w:p>
    <w:p/>
    <w:p>
      <w:pPr>
        <w:pStyle w:val="Heading2"/>
        <w:spacing w:line="400" w:lineRule="exact" w:before="240" w:after="80"/>
        <w:jc w:val="left"/>
      </w:pPr>
      <w:r>
        <w:rPr>
          <w:rFonts w:ascii="Times New Roman" w:hAnsi="Times New Roman" w:eastAsia="宋体"/>
          <w:b/>
          <w:sz w:val="28"/>
        </w:rPr>
        <w:t>1.1 研究背景与意义</w:t>
      </w:r>
    </w:p>
    <w:p/>
    <w:p>
      <w:pPr>
        <w:pStyle w:val="Heading3"/>
        <w:spacing w:line="400" w:lineRule="exact" w:before="240" w:after="80"/>
        <w:jc w:val="left"/>
      </w:pPr>
      <w:r>
        <w:rPr>
          <w:rFonts w:ascii="Times New Roman" w:hAnsi="Times New Roman" w:eastAsia="宋体"/>
          <w:b/>
          <w:sz w:val="26"/>
        </w:rPr>
        <w:t>1.1.1 研究背景</w:t>
      </w:r>
    </w:p>
    <w:p/>
    <w:p>
      <w:pPr>
        <w:spacing w:line="400" w:lineRule="exact" w:before="0" w:after="0"/>
        <w:ind w:firstLine="480"/>
      </w:pPr>
      <w:r>
        <w:rPr>
          <w:rFonts w:ascii="Times New Roman" w:hAnsi="Times New Roman" w:eastAsia="宋体"/>
          <w:b w:val="0"/>
          <w:sz w:val="24"/>
        </w:rPr>
        <w:t>近年来，国家层面持续出台政策推动文化与旅游的深度融合。2018 年文化和旅游部组建后，"以文塑旅、以旅彰文"成为指导性表述；《"十四五"文化发展规划》《"十四五"旅游业发展规划》对非物质文化遗产、历史文化名城名镇名村、风景名胜区与旅游景区体系的协同提出了明确要求。在这一政策取向下，区县层面如何将深厚的文化资源家底转化为游客可感知、可参与、可体验的旅游产品，成为规划实务中的现实问题。</w:t>
      </w:r>
    </w:p>
    <w:p/>
    <w:p>
      <w:pPr>
        <w:spacing w:line="400" w:lineRule="exact" w:before="0" w:after="0"/>
        <w:ind w:firstLine="480"/>
      </w:pPr>
      <w:r>
        <w:rPr>
          <w:rFonts w:ascii="Times New Roman" w:hAnsi="Times New Roman" w:eastAsia="宋体"/>
          <w:b w:val="0"/>
          <w:sz w:val="24"/>
        </w:rPr>
        <w:t>佛山市南海区位于广东省中部，是广佛同城发展的核心区域之一。区内文化资源禀赋在珠三角区县层面处于前列：拥有醒狮、粤剧、龙舟说唱、南海灰塑、九江双蒸酒酿制技艺、香云纱染整技艺、洪拳等国家、省、市、区四级共 91 项非物质文化遗产；80 处不可移动文物，其中全国重点文物保护单位 2 处（云泉仙馆古建筑群、曹氏大宗祠）、省级 19 处、市级 59 处；12 处历史文化名村与传统村落，含中国历史文化名镇 1 项、国家级传统村落 3 项、广东省历史文化名村 4 项、省级传统村落 4 项；以及西樵山、千灯湖、听音湖等代表性景区。</w:t>
      </w:r>
    </w:p>
    <w:p/>
    <w:p>
      <w:pPr>
        <w:spacing w:line="400" w:lineRule="exact" w:before="0" w:after="0"/>
        <w:ind w:firstLine="480"/>
      </w:pPr>
      <w:r>
        <w:rPr>
          <w:rFonts w:ascii="Times New Roman" w:hAnsi="Times New Roman" w:eastAsia="宋体"/>
          <w:b w:val="0"/>
          <w:sz w:val="24"/>
        </w:rPr>
        <w:t>尽管资源家底丰厚，但在实际的旅游景区（点）开发与游客体验供给中，大量文化资源仍停留在典籍记载与保护名录层面，未能被系统地、可复核地转化为旅游产品。文化与旅游"两张皮"的现象在区县尺度缺乏量化识别手段，给规划与政策决策带来困难。本研究尝试借助多源数据与大语言模型、知识图谱等技术，为这一问题提供一个可操作、可复现的分析框架。</w:t>
      </w:r>
    </w:p>
    <w:p/>
    <w:p>
      <w:pPr>
        <w:pStyle w:val="Heading3"/>
        <w:spacing w:line="400" w:lineRule="exact" w:before="240" w:after="80"/>
        <w:jc w:val="left"/>
      </w:pPr>
      <w:r>
        <w:rPr>
          <w:rFonts w:ascii="Times New Roman" w:hAnsi="Times New Roman" w:eastAsia="宋体"/>
          <w:b/>
          <w:sz w:val="26"/>
        </w:rPr>
        <w:t>1.1.2 研究意义</w:t>
      </w:r>
    </w:p>
    <w:p/>
    <w:p>
      <w:pPr>
        <w:spacing w:line="400" w:lineRule="exact" w:before="0" w:after="0"/>
        <w:ind w:firstLine="480"/>
      </w:pPr>
      <w:r>
        <w:rPr>
          <w:rFonts w:ascii="Times New Roman" w:hAnsi="Times New Roman" w:eastAsia="宋体"/>
          <w:b w:val="0"/>
          <w:sz w:val="24"/>
        </w:rPr>
        <w:t>实践意义。研究面向南海区政府及相关规划部门，在 165 条官方认定的物质文化载体层面给出可复核的错位诊断清单，支撑文旅资源梳理、产品策划与空间布局；按镇街与等级给出分层级、分片区的潜力释放建议。</w:t>
      </w:r>
    </w:p>
    <w:p/>
    <w:p>
      <w:pPr>
        <w:spacing w:line="400" w:lineRule="exact" w:before="0" w:after="0"/>
        <w:ind w:firstLine="480"/>
      </w:pPr>
      <w:r>
        <w:rPr>
          <w:rFonts w:ascii="Times New Roman" w:hAnsi="Times New Roman" w:eastAsia="宋体"/>
          <w:b w:val="0"/>
          <w:sz w:val="24"/>
        </w:rPr>
        <w:t>方法意义。本研究探索将大语言模型、知识图谱、多源 POI 与评论数据结合，形成一套区县级文旅融合分析的技术流程，其核心环节（文化记忆指数、官方认证指数、旅游热度指数与错位指数）具备较好的可迁移性，可为同类尺度的区县个案提供参考。</w:t>
      </w:r>
    </w:p>
    <w:p/>
    <w:p>
      <w:pPr>
        <w:pStyle w:val="Heading2"/>
        <w:spacing w:line="400" w:lineRule="exact" w:before="240" w:after="80"/>
        <w:jc w:val="left"/>
      </w:pPr>
      <w:r>
        <w:rPr>
          <w:rFonts w:ascii="Times New Roman" w:hAnsi="Times New Roman" w:eastAsia="宋体"/>
          <w:b/>
          <w:sz w:val="28"/>
        </w:rPr>
        <w:t>1.2 研究目标与内容</w:t>
      </w:r>
    </w:p>
    <w:p/>
    <w:p>
      <w:pPr>
        <w:pStyle w:val="Heading3"/>
        <w:spacing w:line="400" w:lineRule="exact" w:before="240" w:after="80"/>
        <w:jc w:val="left"/>
      </w:pPr>
      <w:r>
        <w:rPr>
          <w:rFonts w:ascii="Times New Roman" w:hAnsi="Times New Roman" w:eastAsia="宋体"/>
          <w:b/>
          <w:sz w:val="26"/>
        </w:rPr>
        <w:t>1.2.1 研究目标</w:t>
      </w:r>
    </w:p>
    <w:p/>
    <w:p>
      <w:pPr>
        <w:spacing w:line="400" w:lineRule="exact" w:before="0" w:after="0"/>
        <w:ind w:firstLine="480"/>
      </w:pPr>
      <w:r>
        <w:rPr>
          <w:rFonts w:ascii="Times New Roman" w:hAnsi="Times New Roman" w:eastAsia="宋体"/>
          <w:b w:val="0"/>
          <w:sz w:val="24"/>
        </w:rPr>
        <w:t>建立以"物质遗产为主桥梁、非遗为动态补充"的双谱系对照框架，对南海区的文旅融合现状进行量化识别，并对错位的结构性来源与可干预条件做初步解释，最终服务于规划层面的决策建议。</w:t>
      </w:r>
    </w:p>
    <w:p/>
    <w:p>
      <w:pPr>
        <w:pStyle w:val="Heading3"/>
        <w:spacing w:line="400" w:lineRule="exact" w:before="240" w:after="80"/>
        <w:jc w:val="left"/>
      </w:pPr>
      <w:r>
        <w:rPr>
          <w:rFonts w:ascii="Times New Roman" w:hAnsi="Times New Roman" w:eastAsia="宋体"/>
          <w:b/>
          <w:sz w:val="26"/>
        </w:rPr>
        <w:t>1.2.2 研究内容</w:t>
      </w:r>
    </w:p>
    <w:p/>
    <w:p>
      <w:pPr>
        <w:spacing w:line="400" w:lineRule="exact" w:before="0" w:after="0"/>
        <w:ind w:firstLine="480"/>
      </w:pPr>
      <w:r>
        <w:rPr>
          <w:rFonts w:ascii="Times New Roman" w:hAnsi="Times New Roman" w:eastAsia="宋体"/>
          <w:b w:val="0"/>
          <w:sz w:val="24"/>
        </w:rPr>
        <w:t>本研究包含六项主要工作：（1）整理典籍、POI、评论、非遗名录与政府普查文化载体等多源数据；（2）基于典籍构建文化知识图谱；（3）基于 POI 与评论刻画旅游供给与体验；（4）以 165 条物质文化载体为主桥梁，构造文化记忆指数（CMI）、官方认证指数（OAI）、旅游热度指数（THI）与错位指数（MI）；（5）在 500 m 网格尺度引入知识图谱 0/1 跳路径复核，结合相关矩阵识别潜力释放条件；（6）给出分片区、分层级的规划建议。</w:t>
      </w:r>
    </w:p>
    <w:p/>
    <w:p>
      <w:pPr>
        <w:pStyle w:val="Heading2"/>
        <w:spacing w:line="400" w:lineRule="exact" w:before="240" w:after="80"/>
        <w:jc w:val="left"/>
      </w:pPr>
      <w:r>
        <w:rPr>
          <w:rFonts w:ascii="Times New Roman" w:hAnsi="Times New Roman" w:eastAsia="宋体"/>
          <w:b/>
          <w:sz w:val="28"/>
        </w:rPr>
        <w:t>1.3 技术路线与论文结构</w:t>
      </w:r>
    </w:p>
    <w:p/>
    <w:p>
      <w:pPr>
        <w:pStyle w:val="Heading3"/>
        <w:spacing w:line="400" w:lineRule="exact" w:before="240" w:after="80"/>
        <w:jc w:val="left"/>
      </w:pPr>
      <w:r>
        <w:rPr>
          <w:rFonts w:ascii="Times New Roman" w:hAnsi="Times New Roman" w:eastAsia="宋体"/>
          <w:b/>
          <w:sz w:val="26"/>
        </w:rPr>
        <w:t>1.3.1 技术路线</w:t>
      </w:r>
    </w:p>
    <w:p/>
    <w:p>
      <w:pPr>
        <w:spacing w:line="400" w:lineRule="exact" w:before="0" w:after="0"/>
        <w:ind w:firstLine="480"/>
      </w:pPr>
      <w:r>
        <w:rPr>
          <w:rFonts w:ascii="Times New Roman" w:hAnsi="Times New Roman" w:eastAsia="宋体"/>
          <w:b w:val="0"/>
          <w:sz w:val="24"/>
        </w:rPr>
        <w:t>研究按"数据采集 → 清洗与结构化 → 知识图谱构建 → 桥梁匹配 → 量化指数与错位指数 → 空间分析与潜力条件识别 → 建议输出"的链条推进。采集层包括 OCR（典籍）、API 抓取（POI 与评论）、官方 Shapefile 与名录下载；清洗层包括三源 POI 去重、坐标统一与类目纠正；建图层使用大语言模型抽取后导入 Neo4j；匹配层以 165 条物质文化载体为主桥梁，非遗作为动态补充；量化层产出四个指数与错位分类；空间层做核密度估计、DBSCAN 聚类与相关矩阵分析；输出层给出建议与附录表单。</w:t>
      </w:r>
    </w:p>
    <w:p/>
    <w:p>
      <w:pPr>
        <w:pStyle w:val="Heading3"/>
        <w:spacing w:line="400" w:lineRule="exact" w:before="240" w:after="80"/>
        <w:jc w:val="left"/>
      </w:pPr>
      <w:r>
        <w:rPr>
          <w:rFonts w:ascii="Times New Roman" w:hAnsi="Times New Roman" w:eastAsia="宋体"/>
          <w:b/>
          <w:sz w:val="26"/>
        </w:rPr>
        <w:t>1.3.2 论文结构</w:t>
      </w:r>
    </w:p>
    <w:p/>
    <w:p>
      <w:pPr>
        <w:spacing w:line="400" w:lineRule="exact" w:before="0" w:after="0"/>
        <w:ind w:firstLine="480"/>
      </w:pPr>
      <w:r>
        <w:rPr>
          <w:rFonts w:ascii="Times New Roman" w:hAnsi="Times New Roman" w:eastAsia="宋体"/>
          <w:b w:val="0"/>
          <w:sz w:val="24"/>
        </w:rPr>
        <w:t>第 2 章为文献综述与相关研究述评；第 3 章介绍研究区域与数据基础；第 4 章说明知识图谱的构建方法与成果；第 5 章阐述耦合桥梁的主—补结构、量化指数与错位指数；第 6 章讨论空间格局与潜力释放条件；第 7 章给出结论与建议。</w:t>
      </w:r>
    </w:p>
    <w:p/>
    <w:p>
      <w:r>
        <w:br w:type="page"/>
      </w:r>
    </w:p>
    <w:p/>
    <w:p>
      <w:pPr>
        <w:pStyle w:val="Heading1"/>
        <w:spacing w:line="400" w:lineRule="exact" w:before="360" w:after="160"/>
        <w:jc w:val="center"/>
      </w:pPr>
      <w:r>
        <w:rPr>
          <w:rFonts w:ascii="Times New Roman" w:hAnsi="Times New Roman" w:eastAsia="宋体"/>
          <w:b/>
          <w:sz w:val="32"/>
        </w:rPr>
        <w:t>第 2 章　文献综述与相关研究述评</w:t>
      </w:r>
    </w:p>
    <w:p/>
    <w:p>
      <w:pPr>
        <w:pStyle w:val="Heading2"/>
        <w:spacing w:line="400" w:lineRule="exact" w:before="240" w:after="80"/>
        <w:jc w:val="left"/>
      </w:pPr>
      <w:r>
        <w:rPr>
          <w:rFonts w:ascii="Times New Roman" w:hAnsi="Times New Roman" w:eastAsia="宋体"/>
          <w:b/>
          <w:sz w:val="28"/>
        </w:rPr>
        <w:t>2.1 区域尺度文旅融合与"文化—旅游"衔接研究</w:t>
      </w:r>
    </w:p>
    <w:p/>
    <w:p>
      <w:pPr>
        <w:spacing w:line="400" w:lineRule="exact" w:before="0" w:after="0"/>
        <w:ind w:firstLine="480"/>
      </w:pPr>
      <w:r>
        <w:rPr>
          <w:rFonts w:ascii="Times New Roman" w:hAnsi="Times New Roman" w:eastAsia="宋体"/>
          <w:b w:val="0"/>
          <w:sz w:val="24"/>
        </w:rPr>
        <w:t>区域尺度的文旅融合研究已形成较成熟的量化路径。吴丽、梁皓、虞华君等基于耦合协调度模型与地理探测器，揭示了全国文旅融合的空间分异及其驱动因素，指出文化产业与旅游产业的耦合在省域间呈现明显的梯度差异，经济基础、政策强度与交通条件构成主要驱动变量[1]。章坤、朱海、谢朝武则从"要素—结构—功能—环境"构建高质量融合适配框架，强调文旅协同的系统性与层次性，认为融合不应仅停留在数量统计，还需评估系统内部的适配关系[2]。翁钢民、李凌雁较早使用耦合协调度与空间相关方法分析中国旅游与文化产业融合[11]；王兆峰、谢佳亮从效率演化角度补充了文旅融合的动态机制解释[12]；何静、冯学钢以及朱媛媛等则从空间关联网络和城市群空间效应角度推进了区域协同研究[13-14]。</w:t>
      </w:r>
    </w:p>
    <w:p/>
    <w:p>
      <w:pPr>
        <w:spacing w:line="400" w:lineRule="exact" w:before="0" w:after="0"/>
        <w:ind w:firstLine="480"/>
      </w:pPr>
      <w:r>
        <w:rPr>
          <w:rFonts w:ascii="Times New Roman" w:hAnsi="Times New Roman" w:eastAsia="宋体"/>
          <w:b w:val="0"/>
          <w:sz w:val="24"/>
        </w:rPr>
        <w:t>上述研究为本文提供了省域与区域尺度的方法参照，但其研究单元多为省级或城市群，较少下沉到区县与镇街层面的"文化记忆—景区供给"错位识别。近年来关于文化系统与旅游系统适配、数智化赋能、旅游资源创新开发的讨论进一步提示，文旅融合不仅要评价融合水平，也要解释资源如何转化为可体验产品[15-18]。因此本研究将研究尺度聚焦在南海区，并把分析对象从"融合程度评价"转向"错位结构与潜力条件"。</w:t>
      </w:r>
    </w:p>
    <w:p/>
    <w:p>
      <w:pPr>
        <w:pStyle w:val="Heading2"/>
        <w:spacing w:line="400" w:lineRule="exact" w:before="240" w:after="80"/>
        <w:jc w:val="left"/>
      </w:pPr>
      <w:r>
        <w:rPr>
          <w:rFonts w:ascii="Times New Roman" w:hAnsi="Times New Roman" w:eastAsia="宋体"/>
          <w:b/>
          <w:sz w:val="28"/>
        </w:rPr>
        <w:t>2.2 大数据、文本挖掘与知识图谱在文旅研究中的应用</w:t>
      </w:r>
    </w:p>
    <w:p/>
    <w:p>
      <w:pPr>
        <w:spacing w:line="400" w:lineRule="exact" w:before="0" w:after="0"/>
        <w:ind w:firstLine="480"/>
      </w:pPr>
      <w:r>
        <w:rPr>
          <w:rFonts w:ascii="Times New Roman" w:hAnsi="Times New Roman" w:eastAsia="宋体"/>
          <w:b w:val="0"/>
          <w:sz w:val="24"/>
        </w:rPr>
        <w:t>在旅游空间研究方面，郭艳萍、刘敏基于 POI 数据对山西省旅游景区进行了分类与空间分布分析，展示了核密度估计、最邻近指数与集聚特征识别的可操作性[3]。田志馥、于亚娟、黄辰宇则把 POI 数据挖掘应用到内蒙古县域，进一步证明了 POI 在县级尺度旅游要素空间分布分析中的有效性[4]。这两项工作为本文"旅游供给刻画 + 空间格局验证"提供了方法参考。</w:t>
      </w:r>
    </w:p>
    <w:p/>
    <w:p>
      <w:pPr>
        <w:spacing w:line="400" w:lineRule="exact" w:before="0" w:after="0"/>
        <w:ind w:firstLine="480"/>
      </w:pPr>
      <w:r>
        <w:rPr>
          <w:rFonts w:ascii="Times New Roman" w:hAnsi="Times New Roman" w:eastAsia="宋体"/>
          <w:b w:val="0"/>
          <w:sz w:val="24"/>
        </w:rPr>
        <w:t>在知识图谱与智能方法方面，Fensel 等人探讨了知识图谱在旅游营销与销售组织中的语义整合作用[7]；Song 等人提出的 TravelRAG 框架把多层旅游知识图谱与大语言模型结合，用于景区检索与推荐[8]；Cadeddu 等人从住宿产品优化角度讨论了语言模型与知识图谱的结合[9]；Xiao 等人从异构数据建图的工程流程角度给出了旅游知识图谱构建的实践经验[10]。总体上，现有研究更偏向推荐、检索与营销场景，针对"地方典籍文化记忆与现实景区供给错位"的量化分析仍相对不足，这构成了本文的方法切入点。</w:t>
      </w:r>
    </w:p>
    <w:p/>
    <w:p>
      <w:pPr>
        <w:pStyle w:val="Heading2"/>
        <w:spacing w:line="400" w:lineRule="exact" w:before="240" w:after="80"/>
        <w:jc w:val="left"/>
      </w:pPr>
      <w:r>
        <w:rPr>
          <w:rFonts w:ascii="Times New Roman" w:hAnsi="Times New Roman" w:eastAsia="宋体"/>
          <w:b/>
          <w:sz w:val="28"/>
        </w:rPr>
        <w:t>2.3 物质遗产、非遗与旅游产品耦合的研究进展</w:t>
      </w:r>
    </w:p>
    <w:p/>
    <w:p>
      <w:pPr>
        <w:spacing w:line="400" w:lineRule="exact" w:before="0" w:after="0"/>
        <w:ind w:firstLine="480"/>
      </w:pPr>
      <w:r>
        <w:rPr>
          <w:rFonts w:ascii="Times New Roman" w:hAnsi="Times New Roman" w:eastAsia="宋体"/>
          <w:b w:val="0"/>
          <w:sz w:val="24"/>
        </w:rPr>
        <w:t>在遗产—旅游耦合研究中，王邵军、李晓冰以山东沿黄九市为样本，通过耦合协调度模型证实了非遗与旅游存在显著协同关系，并识别出区域差异与影响因素[5]。王公为对内蒙古非遗与旅游耦合发展进行了类似的分析[6]。这两项研究均为本文提供了"耦合桥梁"思路，但也存在两点不足：其一，研究对象多在地级市或跨市域尺度，难以直接指导镇街层面的空间优化；其二，多从统计评价层面判断耦合高低，较少回到具体载体并做量化对位。</w:t>
      </w:r>
    </w:p>
    <w:p/>
    <w:p>
      <w:pPr>
        <w:spacing w:line="400" w:lineRule="exact" w:before="0" w:after="0"/>
        <w:ind w:firstLine="480"/>
      </w:pPr>
      <w:r>
        <w:rPr>
          <w:rFonts w:ascii="Times New Roman" w:hAnsi="Times New Roman" w:eastAsia="宋体"/>
          <w:b w:val="0"/>
          <w:sz w:val="24"/>
        </w:rPr>
        <w:t>结合导师面谈意见，本文将耦合桥梁的主操作化对象设定为官方认定的物质遗产——包括不可移动文物（文旅系统）、风景名胜区、历史文化名镇名村与传统村落（住建系统）——其优势在于空间坐标明确、官方认证等级可查、品牌标识稳定，能更稳定地向上承接文献记忆、向下衔接旅游产品。非遗作为动态补充：依托物质空间的非遗项目并入主桥梁讨论；以传承人散布为主的项目作为软性加权项。</w:t>
      </w:r>
    </w:p>
    <w:p/>
    <w:p>
      <w:pPr>
        <w:pStyle w:val="Heading2"/>
        <w:spacing w:line="400" w:lineRule="exact" w:before="240" w:after="80"/>
        <w:jc w:val="left"/>
      </w:pPr>
      <w:r>
        <w:rPr>
          <w:rFonts w:ascii="Times New Roman" w:hAnsi="Times New Roman" w:eastAsia="宋体"/>
          <w:b/>
          <w:sz w:val="28"/>
        </w:rPr>
        <w:t>2.4 佛山市、珠三角及同尺度区域的相关研究</w:t>
      </w:r>
    </w:p>
    <w:p/>
    <w:p>
      <w:pPr>
        <w:spacing w:line="400" w:lineRule="exact" w:before="0" w:after="0"/>
        <w:ind w:firstLine="480"/>
      </w:pPr>
      <w:r>
        <w:rPr>
          <w:rFonts w:ascii="Times New Roman" w:hAnsi="Times New Roman" w:eastAsia="宋体"/>
          <w:b w:val="0"/>
          <w:sz w:val="24"/>
        </w:rPr>
        <w:t>针对"南海区文旅融合潜力"的高匹配实证成果仍较少，已检索文献主要集中在省域文旅融合测度、城市群空间效应或方法型研究。本文采用"对象下沉到区县与镇街、方法上接区域文旅融合与 POI 空间分析"的策略：对象层面回到南海区与七个镇街，方法层面借鉴吴丽、章坤的指标体系与郭艳萍、田志馥的 POI 空间分析方法，并结合王邵军、王公为的遗产耦合思路，以兼顾地方针对性与学术可比性。</w:t>
      </w:r>
    </w:p>
    <w:p/>
    <w:p>
      <w:pPr>
        <w:pStyle w:val="Heading2"/>
        <w:spacing w:line="400" w:lineRule="exact" w:before="240" w:after="80"/>
        <w:jc w:val="left"/>
      </w:pPr>
      <w:r>
        <w:rPr>
          <w:rFonts w:ascii="Times New Roman" w:hAnsi="Times New Roman" w:eastAsia="宋体"/>
          <w:b/>
          <w:sz w:val="28"/>
        </w:rPr>
        <w:t>2.5 研究述评与本研究定位</w:t>
      </w:r>
    </w:p>
    <w:p/>
    <w:p>
      <w:pPr>
        <w:spacing w:line="400" w:lineRule="exact" w:before="0" w:after="0"/>
        <w:ind w:firstLine="480"/>
      </w:pPr>
      <w:r>
        <w:rPr>
          <w:rFonts w:ascii="Times New Roman" w:hAnsi="Times New Roman" w:eastAsia="宋体"/>
          <w:b w:val="0"/>
          <w:sz w:val="24"/>
        </w:rPr>
        <w:t>对照上述代表性文献，本文在三个方面做补充：</w:t>
      </w:r>
    </w:p>
    <w:p/>
    <w:p>
      <w:pPr>
        <w:spacing w:line="400" w:lineRule="exact" w:before="0" w:after="0"/>
        <w:ind w:firstLine="480"/>
      </w:pPr>
      <w:r>
        <w:rPr>
          <w:rFonts w:ascii="Times New Roman" w:hAnsi="Times New Roman" w:eastAsia="宋体"/>
          <w:b w:val="0"/>
          <w:sz w:val="24"/>
        </w:rPr>
        <w:t>（1）研究尺度下沉：由省域与城市群转向区县与镇街单元，服务地方规划与项目策划需求；</w:t>
      </w:r>
    </w:p>
    <w:p/>
    <w:p>
      <w:pPr>
        <w:spacing w:line="400" w:lineRule="exact" w:before="0" w:after="0"/>
        <w:ind w:firstLine="480"/>
      </w:pPr>
      <w:r>
        <w:rPr>
          <w:rFonts w:ascii="Times New Roman" w:hAnsi="Times New Roman" w:eastAsia="宋体"/>
          <w:b w:val="0"/>
          <w:sz w:val="24"/>
        </w:rPr>
        <w:t>（2）框架双向耦合：以典籍知识图谱表征"文化记忆"，以 POI 与评论表征"旅游供给"，以 165 条官方物质文化载体为主桥梁、91 项非遗为动态补充实现两谱系对照；</w:t>
      </w:r>
    </w:p>
    <w:p/>
    <w:p>
      <w:pPr>
        <w:spacing w:line="400" w:lineRule="exact" w:before="0" w:after="0"/>
        <w:ind w:firstLine="480"/>
      </w:pPr>
      <w:r>
        <w:rPr>
          <w:rFonts w:ascii="Times New Roman" w:hAnsi="Times New Roman" w:eastAsia="宋体"/>
          <w:b w:val="0"/>
          <w:sz w:val="24"/>
        </w:rPr>
        <w:t>（3）结果潜力导向：在识别"耦合、错位、缺失"的基础上，进一步通过量化指数与错位指数替代定性判断，并以相关矩阵识别政策可干预条件，形成"问题—潜力—对策"闭环。</w:t>
      </w:r>
    </w:p>
    <w:p/>
    <w:p>
      <w:r>
        <w:br w:type="page"/>
      </w:r>
    </w:p>
    <w:p/>
    <w:p>
      <w:pPr>
        <w:pStyle w:val="Heading1"/>
        <w:spacing w:line="400" w:lineRule="exact" w:before="360" w:after="160"/>
        <w:jc w:val="center"/>
      </w:pPr>
      <w:r>
        <w:rPr>
          <w:rFonts w:ascii="Times New Roman" w:hAnsi="Times New Roman" w:eastAsia="宋体"/>
          <w:b/>
          <w:sz w:val="32"/>
        </w:rPr>
        <w:t>第 3 章　研究区域与数据基础</w:t>
      </w:r>
    </w:p>
    <w:p/>
    <w:p>
      <w:pPr>
        <w:pStyle w:val="Heading2"/>
        <w:spacing w:line="400" w:lineRule="exact" w:before="240" w:after="80"/>
        <w:jc w:val="left"/>
      </w:pPr>
      <w:r>
        <w:rPr>
          <w:rFonts w:ascii="Times New Roman" w:hAnsi="Times New Roman" w:eastAsia="宋体"/>
          <w:b/>
          <w:sz w:val="28"/>
        </w:rPr>
        <w:t>3.1 研究区域概况</w:t>
      </w:r>
    </w:p>
    <w:p/>
    <w:p>
      <w:pPr>
        <w:pStyle w:val="Heading3"/>
        <w:spacing w:line="400" w:lineRule="exact" w:before="240" w:after="80"/>
        <w:jc w:val="left"/>
      </w:pPr>
      <w:r>
        <w:rPr>
          <w:rFonts w:ascii="Times New Roman" w:hAnsi="Times New Roman" w:eastAsia="宋体"/>
          <w:b/>
          <w:sz w:val="26"/>
        </w:rPr>
        <w:t>3.1.1 地理位置与行政区划</w:t>
      </w:r>
    </w:p>
    <w:p/>
    <w:p>
      <w:pPr>
        <w:spacing w:line="400" w:lineRule="exact" w:before="0" w:after="0"/>
        <w:ind w:firstLine="480"/>
      </w:pPr>
      <w:r>
        <w:rPr>
          <w:rFonts w:ascii="Times New Roman" w:hAnsi="Times New Roman" w:eastAsia="宋体"/>
          <w:b w:val="0"/>
          <w:sz w:val="24"/>
        </w:rPr>
        <w:t>佛山市南海区位于广东省中部、珠江三角洲腹地，东接广州，北靠三水，西邻肇庆，南连顺德。全区现辖桂城街道、大沥镇、里水镇、狮山镇、丹灶镇、西樵镇、九江镇共 1 街 6 镇，行政管辖面积约 1,072.67 平方公里。在广佛同城框架下，桂城街道与大沥镇已深度融入广州都市圈，狮山镇依托佛山国家高新区形成较为密集的产业社区；西樵、九江、丹灶三镇则在文化资源密度上显著高于其他镇街。</w:t>
      </w:r>
    </w:p>
    <w:p/>
    <w:p>
      <w:pPr>
        <w:pStyle w:val="Heading3"/>
        <w:spacing w:line="400" w:lineRule="exact" w:before="240" w:after="80"/>
        <w:jc w:val="left"/>
      </w:pPr>
      <w:r>
        <w:rPr>
          <w:rFonts w:ascii="Times New Roman" w:hAnsi="Times New Roman" w:eastAsia="宋体"/>
          <w:b/>
          <w:sz w:val="26"/>
        </w:rPr>
        <w:t>3.1.2 文旅资源家底</w:t>
      </w:r>
    </w:p>
    <w:p/>
    <w:p>
      <w:pPr>
        <w:spacing w:line="400" w:lineRule="exact" w:before="0" w:after="0"/>
        <w:ind w:firstLine="480"/>
      </w:pPr>
      <w:r>
        <w:rPr>
          <w:rFonts w:ascii="Times New Roman" w:hAnsi="Times New Roman" w:eastAsia="宋体"/>
          <w:b w:val="0"/>
          <w:sz w:val="24"/>
        </w:rPr>
        <w:t>表 3.1 汇总了本研究涉及的南海区主要文旅资源家底。</w:t>
      </w:r>
    </w:p>
    <w:p/>
    <w:p>
      <w:pPr>
        <w:spacing w:line="400" w:lineRule="exact" w:before="0" w:after="0"/>
        <w:jc w:val="center"/>
      </w:pPr>
      <w:r>
        <w:rPr>
          <w:rFonts w:ascii="Times New Roman" w:hAnsi="Times New Roman" w:eastAsia="宋体"/>
          <w:b/>
          <w:sz w:val="24"/>
        </w:rPr>
        <w:t>表 3.1　南海区主要文旅资源家底（按类别与级别）</w:t>
      </w:r>
    </w:p>
    <w:p/>
    <w:tbl>
      <w:tblPr>
        <w:tblStyle w:val="TableGrid"/>
        <w:tblW w:type="auto" w:w="0"/>
        <w:tblLayout w:type="autofit"/>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1"/>
              </w:rPr>
              <w:t>类别</w:t>
            </w:r>
          </w:p>
        </w:tc>
        <w:tc>
          <w:tcPr>
            <w:tcW w:type="dxa" w:w="1511"/>
          </w:tcPr>
          <w:p>
            <w:pPr>
              <w:jc w:val="center"/>
            </w:pPr>
            <w:r/>
            <w:r>
              <w:rPr>
                <w:rFonts w:ascii="Times New Roman" w:hAnsi="Times New Roman" w:eastAsia="宋体"/>
                <w:b/>
                <w:sz w:val="21"/>
              </w:rPr>
              <w:t>国家级</w:t>
            </w:r>
          </w:p>
        </w:tc>
        <w:tc>
          <w:tcPr>
            <w:tcW w:type="dxa" w:w="1511"/>
          </w:tcPr>
          <w:p>
            <w:pPr>
              <w:jc w:val="center"/>
            </w:pPr>
            <w:r/>
            <w:r>
              <w:rPr>
                <w:rFonts w:ascii="Times New Roman" w:hAnsi="Times New Roman" w:eastAsia="宋体"/>
                <w:b/>
                <w:sz w:val="21"/>
              </w:rPr>
              <w:t>省级</w:t>
            </w:r>
          </w:p>
        </w:tc>
        <w:tc>
          <w:tcPr>
            <w:tcW w:type="dxa" w:w="1511"/>
          </w:tcPr>
          <w:p>
            <w:pPr>
              <w:jc w:val="center"/>
            </w:pPr>
            <w:r/>
            <w:r>
              <w:rPr>
                <w:rFonts w:ascii="Times New Roman" w:hAnsi="Times New Roman" w:eastAsia="宋体"/>
                <w:b/>
                <w:sz w:val="21"/>
              </w:rPr>
              <w:t>市级</w:t>
            </w:r>
          </w:p>
        </w:tc>
        <w:tc>
          <w:tcPr>
            <w:tcW w:type="dxa" w:w="1511"/>
          </w:tcPr>
          <w:p>
            <w:pPr>
              <w:jc w:val="center"/>
            </w:pPr>
            <w:r/>
            <w:r>
              <w:rPr>
                <w:rFonts w:ascii="Times New Roman" w:hAnsi="Times New Roman" w:eastAsia="宋体"/>
                <w:b/>
                <w:sz w:val="21"/>
              </w:rPr>
              <w:t>区级</w:t>
            </w:r>
          </w:p>
        </w:tc>
        <w:tc>
          <w:tcPr>
            <w:tcW w:type="dxa" w:w="1511"/>
          </w:tcPr>
          <w:p>
            <w:pPr>
              <w:jc w:val="center"/>
            </w:pPr>
            <w:r/>
            <w:r>
              <w:rPr>
                <w:rFonts w:ascii="Times New Roman" w:hAnsi="Times New Roman" w:eastAsia="宋体"/>
                <w:b/>
                <w:sz w:val="21"/>
              </w:rPr>
              <w:t>合计</w:t>
            </w:r>
          </w:p>
        </w:tc>
      </w:tr>
      <w:tr>
        <w:tc>
          <w:tcPr>
            <w:tcW w:type="dxa" w:w="1511"/>
          </w:tcPr>
          <w:p>
            <w:pPr>
              <w:jc w:val="center"/>
            </w:pPr>
            <w:r/>
            <w:r>
              <w:rPr>
                <w:rFonts w:ascii="Times New Roman" w:hAnsi="Times New Roman" w:eastAsia="宋体"/>
                <w:b w:val="0"/>
                <w:sz w:val="21"/>
              </w:rPr>
              <w:t>非物质文化遗产</w:t>
            </w:r>
          </w:p>
        </w:tc>
        <w:tc>
          <w:tcPr>
            <w:tcW w:type="dxa" w:w="1511"/>
          </w:tcPr>
          <w:p>
            <w:pPr>
              <w:jc w:val="center"/>
            </w:pPr>
            <w:r/>
            <w:r>
              <w:rPr>
                <w:rFonts w:ascii="Times New Roman" w:hAnsi="Times New Roman" w:eastAsia="宋体"/>
                <w:b w:val="0"/>
                <w:sz w:val="21"/>
              </w:rPr>
              <w:t>6</w:t>
            </w:r>
          </w:p>
        </w:tc>
        <w:tc>
          <w:tcPr>
            <w:tcW w:type="dxa" w:w="1511"/>
          </w:tcPr>
          <w:p>
            <w:pPr>
              <w:jc w:val="center"/>
            </w:pPr>
            <w:r/>
            <w:r>
              <w:rPr>
                <w:rFonts w:ascii="Times New Roman" w:hAnsi="Times New Roman" w:eastAsia="宋体"/>
                <w:b w:val="0"/>
                <w:sz w:val="21"/>
              </w:rPr>
              <w:t>13</w:t>
            </w:r>
          </w:p>
        </w:tc>
        <w:tc>
          <w:tcPr>
            <w:tcW w:type="dxa" w:w="1511"/>
          </w:tcPr>
          <w:p>
            <w:pPr>
              <w:jc w:val="center"/>
            </w:pPr>
            <w:r/>
            <w:r>
              <w:rPr>
                <w:rFonts w:ascii="Times New Roman" w:hAnsi="Times New Roman" w:eastAsia="宋体"/>
                <w:b w:val="0"/>
                <w:sz w:val="21"/>
              </w:rPr>
              <w:t>26</w:t>
            </w:r>
          </w:p>
        </w:tc>
        <w:tc>
          <w:tcPr>
            <w:tcW w:type="dxa" w:w="1511"/>
          </w:tcPr>
          <w:p>
            <w:pPr>
              <w:jc w:val="center"/>
            </w:pPr>
            <w:r/>
            <w:r>
              <w:rPr>
                <w:rFonts w:ascii="Times New Roman" w:hAnsi="Times New Roman" w:eastAsia="宋体"/>
                <w:b w:val="0"/>
                <w:sz w:val="21"/>
              </w:rPr>
              <w:t>46</w:t>
            </w:r>
          </w:p>
        </w:tc>
        <w:tc>
          <w:tcPr>
            <w:tcW w:type="dxa" w:w="1511"/>
          </w:tcPr>
          <w:p>
            <w:pPr>
              <w:jc w:val="center"/>
            </w:pPr>
            <w:r/>
            <w:r>
              <w:rPr>
                <w:rFonts w:ascii="Times New Roman" w:hAnsi="Times New Roman" w:eastAsia="宋体"/>
                <w:b w:val="0"/>
                <w:sz w:val="21"/>
              </w:rPr>
              <w:t>91</w:t>
            </w:r>
          </w:p>
        </w:tc>
      </w:tr>
      <w:tr>
        <w:tc>
          <w:tcPr>
            <w:tcW w:type="dxa" w:w="1511"/>
          </w:tcPr>
          <w:p>
            <w:pPr>
              <w:jc w:val="center"/>
            </w:pPr>
            <w:r/>
            <w:r>
              <w:rPr>
                <w:rFonts w:ascii="Times New Roman" w:hAnsi="Times New Roman" w:eastAsia="宋体"/>
                <w:b w:val="0"/>
                <w:sz w:val="21"/>
              </w:rPr>
              <w:t>不可移动文物</w:t>
            </w:r>
          </w:p>
        </w:tc>
        <w:tc>
          <w:tcPr>
            <w:tcW w:type="dxa" w:w="1511"/>
          </w:tcPr>
          <w:p>
            <w:pPr>
              <w:jc w:val="center"/>
            </w:pPr>
            <w:r/>
            <w:r>
              <w:rPr>
                <w:rFonts w:ascii="Times New Roman" w:hAnsi="Times New Roman" w:eastAsia="宋体"/>
                <w:b w:val="0"/>
                <w:sz w:val="21"/>
              </w:rPr>
              <w:t>2</w:t>
            </w:r>
          </w:p>
        </w:tc>
        <w:tc>
          <w:tcPr>
            <w:tcW w:type="dxa" w:w="1511"/>
          </w:tcPr>
          <w:p>
            <w:pPr>
              <w:jc w:val="center"/>
            </w:pPr>
            <w:r/>
            <w:r>
              <w:rPr>
                <w:rFonts w:ascii="Times New Roman" w:hAnsi="Times New Roman" w:eastAsia="宋体"/>
                <w:b w:val="0"/>
                <w:sz w:val="21"/>
              </w:rPr>
              <w:t>19</w:t>
            </w:r>
          </w:p>
        </w:tc>
        <w:tc>
          <w:tcPr>
            <w:tcW w:type="dxa" w:w="1511"/>
          </w:tcPr>
          <w:p>
            <w:pPr>
              <w:jc w:val="center"/>
            </w:pPr>
            <w:r/>
            <w:r>
              <w:rPr>
                <w:rFonts w:ascii="Times New Roman" w:hAnsi="Times New Roman" w:eastAsia="宋体"/>
                <w:b w:val="0"/>
                <w:sz w:val="21"/>
              </w:rPr>
              <w:t>59</w:t>
            </w:r>
          </w:p>
        </w:tc>
        <w:tc>
          <w:tcPr>
            <w:tcW w:type="dxa" w:w="1511"/>
          </w:tcPr>
          <w:p>
            <w:pPr>
              <w:jc w:val="center"/>
            </w:pPr>
            <w:r/>
            <w:r>
              <w:rPr>
                <w:rFonts w:ascii="Times New Roman" w:hAnsi="Times New Roman" w:eastAsia="宋体"/>
                <w:b w:val="0"/>
                <w:sz w:val="21"/>
              </w:rPr>
              <w:t>—</w:t>
            </w:r>
          </w:p>
        </w:tc>
        <w:tc>
          <w:tcPr>
            <w:tcW w:type="dxa" w:w="1511"/>
          </w:tcPr>
          <w:p>
            <w:pPr>
              <w:jc w:val="center"/>
            </w:pPr>
            <w:r/>
            <w:r>
              <w:rPr>
                <w:rFonts w:ascii="Times New Roman" w:hAnsi="Times New Roman" w:eastAsia="宋体"/>
                <w:b w:val="0"/>
                <w:sz w:val="21"/>
              </w:rPr>
              <w:t>80</w:t>
            </w:r>
          </w:p>
        </w:tc>
      </w:tr>
      <w:tr>
        <w:tc>
          <w:tcPr>
            <w:tcW w:type="dxa" w:w="1511"/>
          </w:tcPr>
          <w:p>
            <w:pPr>
              <w:jc w:val="center"/>
            </w:pPr>
            <w:r/>
            <w:r>
              <w:rPr>
                <w:rFonts w:ascii="Times New Roman" w:hAnsi="Times New Roman" w:eastAsia="宋体"/>
                <w:b w:val="0"/>
                <w:sz w:val="21"/>
              </w:rPr>
              <w:t>历史文化名村 / 传统村落</w:t>
            </w:r>
          </w:p>
        </w:tc>
        <w:tc>
          <w:tcPr>
            <w:tcW w:type="dxa" w:w="1511"/>
          </w:tcPr>
          <w:p>
            <w:pPr>
              <w:jc w:val="center"/>
            </w:pPr>
            <w:r/>
            <w:r>
              <w:rPr>
                <w:rFonts w:ascii="Times New Roman" w:hAnsi="Times New Roman" w:eastAsia="宋体"/>
                <w:b w:val="0"/>
                <w:sz w:val="21"/>
              </w:rPr>
              <w:t>4</w:t>
            </w:r>
          </w:p>
        </w:tc>
        <w:tc>
          <w:tcPr>
            <w:tcW w:type="dxa" w:w="1511"/>
          </w:tcPr>
          <w:p>
            <w:pPr>
              <w:jc w:val="center"/>
            </w:pPr>
            <w:r/>
            <w:r>
              <w:rPr>
                <w:rFonts w:ascii="Times New Roman" w:hAnsi="Times New Roman" w:eastAsia="宋体"/>
                <w:b w:val="0"/>
                <w:sz w:val="21"/>
              </w:rPr>
              <w:t>8</w:t>
            </w:r>
          </w:p>
        </w:tc>
        <w:tc>
          <w:tcPr>
            <w:tcW w:type="dxa" w:w="1511"/>
          </w:tcPr>
          <w:p>
            <w:pPr>
              <w:jc w:val="center"/>
            </w:pPr>
            <w:r/>
            <w:r>
              <w:rPr>
                <w:rFonts w:ascii="Times New Roman" w:hAnsi="Times New Roman" w:eastAsia="宋体"/>
                <w:b w:val="0"/>
                <w:sz w:val="21"/>
              </w:rPr>
              <w:t>—</w:t>
            </w:r>
          </w:p>
        </w:tc>
        <w:tc>
          <w:tcPr>
            <w:tcW w:type="dxa" w:w="1511"/>
          </w:tcPr>
          <w:p>
            <w:pPr>
              <w:jc w:val="center"/>
            </w:pPr>
            <w:r/>
            <w:r>
              <w:rPr>
                <w:rFonts w:ascii="Times New Roman" w:hAnsi="Times New Roman" w:eastAsia="宋体"/>
                <w:b w:val="0"/>
                <w:sz w:val="21"/>
              </w:rPr>
              <w:t>—</w:t>
            </w:r>
          </w:p>
        </w:tc>
        <w:tc>
          <w:tcPr>
            <w:tcW w:type="dxa" w:w="1511"/>
          </w:tcPr>
          <w:p>
            <w:pPr>
              <w:jc w:val="center"/>
            </w:pPr>
            <w:r/>
            <w:r>
              <w:rPr>
                <w:rFonts w:ascii="Times New Roman" w:hAnsi="Times New Roman" w:eastAsia="宋体"/>
                <w:b w:val="0"/>
                <w:sz w:val="21"/>
              </w:rPr>
              <w:t>12</w:t>
            </w:r>
          </w:p>
        </w:tc>
      </w:tr>
      <w:tr>
        <w:tc>
          <w:tcPr>
            <w:tcW w:type="dxa" w:w="1511"/>
          </w:tcPr>
          <w:p>
            <w:pPr>
              <w:jc w:val="center"/>
            </w:pPr>
            <w:r/>
            <w:r>
              <w:rPr>
                <w:rFonts w:ascii="Times New Roman" w:hAnsi="Times New Roman" w:eastAsia="宋体"/>
                <w:b w:val="0"/>
                <w:sz w:val="21"/>
              </w:rPr>
              <w:t>文化景观</w:t>
            </w:r>
          </w:p>
        </w:tc>
        <w:tc>
          <w:tcPr>
            <w:tcW w:type="dxa" w:w="1511"/>
          </w:tcPr>
          <w:p>
            <w:pPr>
              <w:jc w:val="center"/>
            </w:pPr>
            <w:r/>
            <w:r>
              <w:rPr>
                <w:rFonts w:ascii="Times New Roman" w:hAnsi="Times New Roman" w:eastAsia="宋体"/>
                <w:b w:val="0"/>
                <w:sz w:val="21"/>
              </w:rPr>
              <w:t>—</w:t>
            </w:r>
          </w:p>
        </w:tc>
        <w:tc>
          <w:tcPr>
            <w:tcW w:type="dxa" w:w="1511"/>
          </w:tcPr>
          <w:p>
            <w:pPr>
              <w:jc w:val="center"/>
            </w:pPr>
            <w:r/>
            <w:r>
              <w:rPr>
                <w:rFonts w:ascii="Times New Roman" w:hAnsi="Times New Roman" w:eastAsia="宋体"/>
                <w:b w:val="0"/>
                <w:sz w:val="21"/>
              </w:rPr>
              <w:t>—</w:t>
            </w:r>
          </w:p>
        </w:tc>
        <w:tc>
          <w:tcPr>
            <w:tcW w:type="dxa" w:w="1511"/>
          </w:tcPr>
          <w:p>
            <w:pPr>
              <w:jc w:val="center"/>
            </w:pPr>
            <w:r/>
            <w:r>
              <w:rPr>
                <w:rFonts w:ascii="Times New Roman" w:hAnsi="Times New Roman" w:eastAsia="宋体"/>
                <w:b w:val="0"/>
                <w:sz w:val="21"/>
              </w:rPr>
              <w:t>—</w:t>
            </w:r>
          </w:p>
        </w:tc>
        <w:tc>
          <w:tcPr>
            <w:tcW w:type="dxa" w:w="1511"/>
          </w:tcPr>
          <w:p>
            <w:pPr>
              <w:jc w:val="center"/>
            </w:pPr>
            <w:r/>
            <w:r>
              <w:rPr>
                <w:rFonts w:ascii="Times New Roman" w:hAnsi="Times New Roman" w:eastAsia="宋体"/>
                <w:b w:val="0"/>
                <w:sz w:val="21"/>
              </w:rPr>
              <w:t>19</w:t>
            </w:r>
          </w:p>
        </w:tc>
        <w:tc>
          <w:tcPr>
            <w:tcW w:type="dxa" w:w="1511"/>
          </w:tcPr>
          <w:p>
            <w:pPr>
              <w:jc w:val="center"/>
            </w:pPr>
            <w:r/>
            <w:r>
              <w:rPr>
                <w:rFonts w:ascii="Times New Roman" w:hAnsi="Times New Roman" w:eastAsia="宋体"/>
                <w:b w:val="0"/>
                <w:sz w:val="21"/>
              </w:rPr>
              <w:t>19</w:t>
            </w:r>
          </w:p>
        </w:tc>
      </w:tr>
      <w:tr>
        <w:tc>
          <w:tcPr>
            <w:tcW w:type="dxa" w:w="1511"/>
          </w:tcPr>
          <w:p>
            <w:pPr>
              <w:jc w:val="center"/>
            </w:pPr>
            <w:r/>
            <w:r>
              <w:rPr>
                <w:rFonts w:ascii="Times New Roman" w:hAnsi="Times New Roman" w:eastAsia="宋体"/>
                <w:b w:val="0"/>
                <w:sz w:val="21"/>
              </w:rPr>
              <w:t>圩市街区</w:t>
            </w:r>
          </w:p>
        </w:tc>
        <w:tc>
          <w:tcPr>
            <w:tcW w:type="dxa" w:w="1511"/>
          </w:tcPr>
          <w:p>
            <w:pPr>
              <w:jc w:val="center"/>
            </w:pPr>
            <w:r/>
            <w:r>
              <w:rPr>
                <w:rFonts w:ascii="Times New Roman" w:hAnsi="Times New Roman" w:eastAsia="宋体"/>
                <w:b w:val="0"/>
                <w:sz w:val="21"/>
              </w:rPr>
              <w:t>—</w:t>
            </w:r>
          </w:p>
        </w:tc>
        <w:tc>
          <w:tcPr>
            <w:tcW w:type="dxa" w:w="1511"/>
          </w:tcPr>
          <w:p>
            <w:pPr>
              <w:jc w:val="center"/>
            </w:pPr>
            <w:r/>
            <w:r>
              <w:rPr>
                <w:rFonts w:ascii="Times New Roman" w:hAnsi="Times New Roman" w:eastAsia="宋体"/>
                <w:b w:val="0"/>
                <w:sz w:val="21"/>
              </w:rPr>
              <w:t>—</w:t>
            </w:r>
          </w:p>
        </w:tc>
        <w:tc>
          <w:tcPr>
            <w:tcW w:type="dxa" w:w="1511"/>
          </w:tcPr>
          <w:p>
            <w:pPr>
              <w:jc w:val="center"/>
            </w:pPr>
            <w:r/>
            <w:r>
              <w:rPr>
                <w:rFonts w:ascii="Times New Roman" w:hAnsi="Times New Roman" w:eastAsia="宋体"/>
                <w:b w:val="0"/>
                <w:sz w:val="21"/>
              </w:rPr>
              <w:t>—</w:t>
            </w:r>
          </w:p>
        </w:tc>
        <w:tc>
          <w:tcPr>
            <w:tcW w:type="dxa" w:w="1511"/>
          </w:tcPr>
          <w:p>
            <w:pPr>
              <w:jc w:val="center"/>
            </w:pPr>
            <w:r/>
            <w:r>
              <w:rPr>
                <w:rFonts w:ascii="Times New Roman" w:hAnsi="Times New Roman" w:eastAsia="宋体"/>
                <w:b w:val="0"/>
                <w:sz w:val="21"/>
              </w:rPr>
              <w:t>18</w:t>
            </w:r>
          </w:p>
        </w:tc>
        <w:tc>
          <w:tcPr>
            <w:tcW w:type="dxa" w:w="1511"/>
          </w:tcPr>
          <w:p>
            <w:pPr>
              <w:jc w:val="center"/>
            </w:pPr>
            <w:r/>
            <w:r>
              <w:rPr>
                <w:rFonts w:ascii="Times New Roman" w:hAnsi="Times New Roman" w:eastAsia="宋体"/>
                <w:b w:val="0"/>
                <w:sz w:val="21"/>
              </w:rPr>
              <w:t>18</w:t>
            </w:r>
          </w:p>
        </w:tc>
      </w:tr>
      <w:tr>
        <w:tc>
          <w:tcPr>
            <w:tcW w:type="dxa" w:w="1511"/>
          </w:tcPr>
          <w:p>
            <w:pPr>
              <w:jc w:val="center"/>
            </w:pPr>
            <w:r/>
            <w:r>
              <w:rPr>
                <w:rFonts w:ascii="Times New Roman" w:hAnsi="Times New Roman" w:eastAsia="宋体"/>
                <w:b w:val="0"/>
                <w:sz w:val="21"/>
              </w:rPr>
              <w:t>指数分析样本（含空间锚点非遗）</w:t>
            </w:r>
          </w:p>
        </w:tc>
        <w:tc>
          <w:tcPr>
            <w:tcW w:type="dxa" w:w="1511"/>
          </w:tcPr>
          <w:p>
            <w:pPr>
              <w:jc w:val="center"/>
            </w:pPr>
            <w:r/>
            <w:r>
              <w:rPr>
                <w:rFonts w:ascii="Times New Roman" w:hAnsi="Times New Roman" w:eastAsia="宋体"/>
                <w:b w:val="0"/>
                <w:sz w:val="21"/>
              </w:rPr>
              <w:t>12</w:t>
            </w:r>
          </w:p>
        </w:tc>
        <w:tc>
          <w:tcPr>
            <w:tcW w:type="dxa" w:w="1511"/>
          </w:tcPr>
          <w:p>
            <w:pPr>
              <w:jc w:val="center"/>
            </w:pPr>
            <w:r/>
            <w:r>
              <w:rPr>
                <w:rFonts w:ascii="Times New Roman" w:hAnsi="Times New Roman" w:eastAsia="宋体"/>
                <w:b w:val="0"/>
                <w:sz w:val="21"/>
              </w:rPr>
              <w:t>40</w:t>
            </w:r>
          </w:p>
        </w:tc>
        <w:tc>
          <w:tcPr>
            <w:tcW w:type="dxa" w:w="1511"/>
          </w:tcPr>
          <w:p>
            <w:pPr>
              <w:jc w:val="center"/>
            </w:pPr>
            <w:r/>
            <w:r>
              <w:rPr>
                <w:rFonts w:ascii="Times New Roman" w:hAnsi="Times New Roman" w:eastAsia="宋体"/>
                <w:b w:val="0"/>
                <w:sz w:val="21"/>
              </w:rPr>
              <w:t>85</w:t>
            </w:r>
          </w:p>
        </w:tc>
        <w:tc>
          <w:tcPr>
            <w:tcW w:type="dxa" w:w="1511"/>
          </w:tcPr>
          <w:p>
            <w:pPr>
              <w:jc w:val="center"/>
            </w:pPr>
            <w:r/>
            <w:r>
              <w:rPr>
                <w:rFonts w:ascii="Times New Roman" w:hAnsi="Times New Roman" w:eastAsia="宋体"/>
                <w:b w:val="0"/>
                <w:sz w:val="21"/>
              </w:rPr>
              <w:t>28</w:t>
            </w:r>
          </w:p>
        </w:tc>
        <w:tc>
          <w:tcPr>
            <w:tcW w:type="dxa" w:w="1511"/>
          </w:tcPr>
          <w:p>
            <w:pPr>
              <w:jc w:val="center"/>
            </w:pPr>
            <w:r/>
            <w:r>
              <w:rPr>
                <w:rFonts w:ascii="Times New Roman" w:hAnsi="Times New Roman" w:eastAsia="宋体"/>
                <w:b w:val="0"/>
                <w:sz w:val="21"/>
              </w:rPr>
              <w:t>165</w:t>
            </w:r>
          </w:p>
        </w:tc>
      </w:tr>
    </w:tbl>
    <w:p/>
    <w:p/>
    <w:p>
      <w:pPr>
        <w:spacing w:line="400" w:lineRule="exact" w:before="0" w:after="0"/>
        <w:ind w:firstLine="480"/>
      </w:pPr>
      <w:r>
        <w:rPr>
          <w:rFonts w:ascii="Times New Roman" w:hAnsi="Times New Roman" w:eastAsia="宋体"/>
          <w:b w:val="0"/>
          <w:sz w:val="24"/>
        </w:rPr>
        <w:t>数据来源：南海区文化广电旅游体育局公开名录、广东省人民政府公布的文物保护单位名单、住建系统历史文化名镇名村名录，以及本研究梳理的载体锚点数据库（data/anchors/cultural_anchors.json）。注：锚点总库为 220 条，含 91 项非遗；指数分析样本为 165 条，系 129 条物质/空间类载体与 36 条具备明确空间锚点的非遗项目合并后形成，最终以附录 B 为准。</w:t>
      </w:r>
    </w:p>
    <w:p/>
    <w:p>
      <w:pPr>
        <w:pStyle w:val="Heading2"/>
        <w:spacing w:line="400" w:lineRule="exact" w:before="240" w:after="80"/>
        <w:jc w:val="left"/>
      </w:pPr>
      <w:r>
        <w:rPr>
          <w:rFonts w:ascii="Times New Roman" w:hAnsi="Times New Roman" w:eastAsia="宋体"/>
          <w:b/>
          <w:sz w:val="28"/>
        </w:rPr>
        <w:t>3.2 数据来源与处理</w:t>
      </w:r>
    </w:p>
    <w:p/>
    <w:p>
      <w:pPr>
        <w:spacing w:line="400" w:lineRule="exact" w:before="0" w:after="0"/>
        <w:ind w:firstLine="480"/>
      </w:pPr>
      <w:r>
        <w:rPr>
          <w:rFonts w:ascii="Times New Roman" w:hAnsi="Times New Roman" w:eastAsia="宋体"/>
          <w:b w:val="0"/>
          <w:sz w:val="24"/>
        </w:rPr>
        <w:t>本研究的数据体系由五部分构成，数据采集与清洗流程如图 3.1 所示。</w:t>
      </w:r>
    </w:p>
    <w:p/>
    <w:p>
      <w:pPr>
        <w:spacing w:line="400" w:lineRule="exact" w:before="0" w:after="0"/>
        <w:jc w:val="center"/>
      </w:pPr>
      <w:r>
        <w:rPr>
          <w:rFonts w:ascii="Times New Roman" w:hAnsi="Times New Roman" w:eastAsia="宋体"/>
          <w:b/>
          <w:sz w:val="24"/>
        </w:rPr>
        <w:t>图 3.1　南海区文旅资源的多源数据采集与清洗流程</w:t>
      </w:r>
    </w:p>
    <w:p/>
    <w:p>
      <w:pPr>
        <w:jc w:val="center"/>
      </w:pPr>
      <w:r>
        <w:drawing>
          <wp:inline xmlns:a="http://schemas.openxmlformats.org/drawingml/2006/main" xmlns:pic="http://schemas.openxmlformats.org/drawingml/2006/picture">
            <wp:extent cx="5669280" cy="3086608"/>
            <wp:docPr id="1" name="Picture 1"/>
            <wp:cNvGraphicFramePr>
              <a:graphicFrameLocks noChangeAspect="1"/>
            </wp:cNvGraphicFramePr>
            <a:graphic>
              <a:graphicData uri="http://schemas.openxmlformats.org/drawingml/2006/picture">
                <pic:pic>
                  <pic:nvPicPr>
                    <pic:cNvPr id="0" name="thesis_data_pipeline.png"/>
                    <pic:cNvPicPr/>
                  </pic:nvPicPr>
                  <pic:blipFill>
                    <a:blip r:embed="rId9"/>
                    <a:stretch>
                      <a:fillRect/>
                    </a:stretch>
                  </pic:blipFill>
                  <pic:spPr>
                    <a:xfrm>
                      <a:off x="0" y="0"/>
                      <a:ext cx="5669280" cy="3086608"/>
                    </a:xfrm>
                    <a:prstGeom prst="rect"/>
                  </pic:spPr>
                </pic:pic>
              </a:graphicData>
            </a:graphic>
          </wp:inline>
        </w:drawing>
      </w:r>
    </w:p>
    <w:p/>
    <w:p>
      <w:pPr>
        <w:pStyle w:val="Heading3"/>
        <w:spacing w:line="400" w:lineRule="exact" w:before="240" w:after="80"/>
        <w:jc w:val="left"/>
      </w:pPr>
      <w:r>
        <w:rPr>
          <w:rFonts w:ascii="Times New Roman" w:hAnsi="Times New Roman" w:eastAsia="宋体"/>
          <w:b/>
          <w:sz w:val="26"/>
        </w:rPr>
        <w:t>3.2.1 典籍文献数据</w:t>
      </w:r>
    </w:p>
    <w:p/>
    <w:p>
      <w:pPr>
        <w:spacing w:line="400" w:lineRule="exact" w:before="0" w:after="0"/>
        <w:ind w:firstLine="480"/>
      </w:pPr>
      <w:r>
        <w:rPr>
          <w:rFonts w:ascii="Times New Roman" w:hAnsi="Times New Roman" w:eastAsia="宋体"/>
          <w:b w:val="0"/>
          <w:sz w:val="24"/>
        </w:rPr>
        <w:t>典籍数据以《南海县志》、《佛山历史人物录》、《南海文史资料》等地方文献为底，涵盖县志类、文史资料类、人物录类与专题志类。原始材料多为扫描 PDF，经 RapidOCR 识别后再做人工校对（见 code/collection/ocr_books_pdf.py 与 code/processing/prepare_corpus.py），整理为 53 份标准化语料文件，合计 8,991,098 字符（接近千万字级）。字数口径来自仓库内 data/corpus/corpus_index.json 的逐篇 char_count 汇总，较中期答辩时的 541 万字口径显著上调，原因是补录了若干大部头县志与文史资料。</w:t>
      </w:r>
    </w:p>
    <w:p/>
    <w:p>
      <w:pPr>
        <w:pStyle w:val="Heading3"/>
        <w:spacing w:line="400" w:lineRule="exact" w:before="240" w:after="80"/>
        <w:jc w:val="left"/>
      </w:pPr>
      <w:r>
        <w:rPr>
          <w:rFonts w:ascii="Times New Roman" w:hAnsi="Times New Roman" w:eastAsia="宋体"/>
          <w:b/>
          <w:sz w:val="26"/>
        </w:rPr>
        <w:t>3.2.2 旅游 POI 数据</w:t>
      </w:r>
    </w:p>
    <w:p/>
    <w:p>
      <w:pPr>
        <w:spacing w:line="400" w:lineRule="exact" w:before="0" w:after="0"/>
        <w:ind w:firstLine="480"/>
      </w:pPr>
      <w:r>
        <w:rPr>
          <w:rFonts w:ascii="Times New Roman" w:hAnsi="Times New Roman" w:eastAsia="宋体"/>
          <w:b w:val="0"/>
          <w:sz w:val="24"/>
        </w:rPr>
        <w:t>POI 数据通过高德地图 API、百度地图 Place API 与佛山市公开 Shapefile 三源采集（见 code/collection/amap_poi_crawler.py、baidu_poi_crawler.py），三源融合后经去重、坐标统一与本地大模型辅助类目纠正（code/processing/poi_cleaner.py、llm_poi_clean.py），保留 13,512 条 POI，覆盖公园绿地、自然景观、文化场馆、人文古迹、宗教场所、非遗体验、休闲娱乐、体育设施、教育研学、特色街区及其他共 11 大类。其中 166 条 POI 由关键词匹配带有非遗标签，1,074 条在 500 米范围内挂接了物质文化载体锚点。</w:t>
      </w:r>
    </w:p>
    <w:p/>
    <w:p>
      <w:pPr>
        <w:pStyle w:val="Heading3"/>
        <w:spacing w:line="400" w:lineRule="exact" w:before="240" w:after="80"/>
        <w:jc w:val="left"/>
      </w:pPr>
      <w:r>
        <w:rPr>
          <w:rFonts w:ascii="Times New Roman" w:hAnsi="Times New Roman" w:eastAsia="宋体"/>
          <w:b/>
          <w:sz w:val="26"/>
        </w:rPr>
        <w:t>3.2.3 用户评论数据</w:t>
      </w:r>
    </w:p>
    <w:p/>
    <w:p>
      <w:pPr>
        <w:spacing w:line="400" w:lineRule="exact" w:before="0" w:after="0"/>
        <w:ind w:firstLine="480"/>
      </w:pPr>
      <w:r>
        <w:rPr>
          <w:rFonts w:ascii="Times New Roman" w:hAnsi="Times New Roman" w:eastAsia="宋体"/>
          <w:b w:val="0"/>
          <w:sz w:val="24"/>
        </w:rPr>
        <w:t>评论数据来自携程、高德、去哪儿、马蜂窝四个平台（code/collection/review_crawler_real.py），平台评论总量为 16,391 条，其中可展开文本评论约 1.55 万条，聚合至 3,879 个景点名称。通过"五段式匹配算法"（code/data_processing/match_review_to_poi.py，依赖 rapidfuzz）建立景点名与南海区 POI 的对应关系，具体过程包括精确匹配、关键词匹配、同义词匹配、地理邻近匹配与模糊匹配五步。</w:t>
      </w:r>
    </w:p>
    <w:p/>
    <w:p>
      <w:pPr>
        <w:spacing w:line="400" w:lineRule="exact" w:before="0" w:after="0"/>
        <w:jc w:val="center"/>
      </w:pPr>
      <w:r>
        <w:rPr>
          <w:rFonts w:ascii="Times New Roman" w:hAnsi="Times New Roman" w:eastAsia="宋体"/>
          <w:b/>
          <w:sz w:val="24"/>
        </w:rPr>
        <w:t>表 3.3　评论平台来源与覆盖构成</w:t>
      </w:r>
    </w:p>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jc w:val="center"/>
            </w:pPr>
            <w:r/>
            <w:r>
              <w:rPr>
                <w:rFonts w:ascii="Times New Roman" w:hAnsi="Times New Roman" w:eastAsia="宋体"/>
                <w:b/>
                <w:sz w:val="21"/>
              </w:rPr>
              <w:t>平台</w:t>
            </w:r>
          </w:p>
        </w:tc>
        <w:tc>
          <w:tcPr>
            <w:tcW w:type="dxa" w:w="3022"/>
          </w:tcPr>
          <w:p>
            <w:pPr>
              <w:jc w:val="center"/>
            </w:pPr>
            <w:r/>
            <w:r>
              <w:rPr>
                <w:rFonts w:ascii="Times New Roman" w:hAnsi="Times New Roman" w:eastAsia="宋体"/>
                <w:b/>
                <w:sz w:val="21"/>
              </w:rPr>
              <w:t>覆盖景点名数</w:t>
            </w:r>
          </w:p>
        </w:tc>
        <w:tc>
          <w:tcPr>
            <w:tcW w:type="dxa" w:w="3022"/>
          </w:tcPr>
          <w:p>
            <w:pPr>
              <w:jc w:val="center"/>
            </w:pPr>
            <w:r/>
            <w:r>
              <w:rPr>
                <w:rFonts w:ascii="Times New Roman" w:hAnsi="Times New Roman" w:eastAsia="宋体"/>
                <w:b/>
                <w:sz w:val="21"/>
              </w:rPr>
              <w:t>占比</w:t>
            </w:r>
          </w:p>
        </w:tc>
      </w:tr>
      <w:tr>
        <w:tc>
          <w:tcPr>
            <w:tcW w:type="dxa" w:w="3022"/>
          </w:tcPr>
          <w:p>
            <w:pPr>
              <w:jc w:val="center"/>
            </w:pPr>
            <w:r/>
            <w:r>
              <w:rPr>
                <w:rFonts w:ascii="Times New Roman" w:hAnsi="Times New Roman" w:eastAsia="宋体"/>
                <w:b w:val="0"/>
                <w:sz w:val="21"/>
              </w:rPr>
              <w:t>携程</w:t>
            </w:r>
          </w:p>
        </w:tc>
        <w:tc>
          <w:tcPr>
            <w:tcW w:type="dxa" w:w="3022"/>
          </w:tcPr>
          <w:p>
            <w:pPr>
              <w:jc w:val="center"/>
            </w:pPr>
            <w:r/>
            <w:r>
              <w:rPr>
                <w:rFonts w:ascii="Times New Roman" w:hAnsi="Times New Roman" w:eastAsia="宋体"/>
                <w:b w:val="0"/>
                <w:sz w:val="21"/>
              </w:rPr>
              <w:t>2,967</w:t>
            </w:r>
          </w:p>
        </w:tc>
        <w:tc>
          <w:tcPr>
            <w:tcW w:type="dxa" w:w="3022"/>
          </w:tcPr>
          <w:p>
            <w:pPr>
              <w:jc w:val="center"/>
            </w:pPr>
            <w:r/>
            <w:r>
              <w:rPr>
                <w:rFonts w:ascii="Times New Roman" w:hAnsi="Times New Roman" w:eastAsia="宋体"/>
                <w:b w:val="0"/>
                <w:sz w:val="21"/>
              </w:rPr>
              <w:t>76.5 %</w:t>
            </w:r>
          </w:p>
        </w:tc>
      </w:tr>
      <w:tr>
        <w:tc>
          <w:tcPr>
            <w:tcW w:type="dxa" w:w="3022"/>
          </w:tcPr>
          <w:p>
            <w:pPr>
              <w:jc w:val="center"/>
            </w:pPr>
            <w:r/>
            <w:r>
              <w:rPr>
                <w:rFonts w:ascii="Times New Roman" w:hAnsi="Times New Roman" w:eastAsia="宋体"/>
                <w:b w:val="0"/>
                <w:sz w:val="21"/>
              </w:rPr>
              <w:t>高德</w:t>
            </w:r>
          </w:p>
        </w:tc>
        <w:tc>
          <w:tcPr>
            <w:tcW w:type="dxa" w:w="3022"/>
          </w:tcPr>
          <w:p>
            <w:pPr>
              <w:jc w:val="center"/>
            </w:pPr>
            <w:r/>
            <w:r>
              <w:rPr>
                <w:rFonts w:ascii="Times New Roman" w:hAnsi="Times New Roman" w:eastAsia="宋体"/>
                <w:b w:val="0"/>
                <w:sz w:val="21"/>
              </w:rPr>
              <w:t>865</w:t>
            </w:r>
          </w:p>
        </w:tc>
        <w:tc>
          <w:tcPr>
            <w:tcW w:type="dxa" w:w="3022"/>
          </w:tcPr>
          <w:p>
            <w:pPr>
              <w:jc w:val="center"/>
            </w:pPr>
            <w:r/>
            <w:r>
              <w:rPr>
                <w:rFonts w:ascii="Times New Roman" w:hAnsi="Times New Roman" w:eastAsia="宋体"/>
                <w:b w:val="0"/>
                <w:sz w:val="21"/>
              </w:rPr>
              <w:t>22.3 %</w:t>
            </w:r>
          </w:p>
        </w:tc>
      </w:tr>
      <w:tr>
        <w:tc>
          <w:tcPr>
            <w:tcW w:type="dxa" w:w="3022"/>
          </w:tcPr>
          <w:p>
            <w:pPr>
              <w:jc w:val="center"/>
            </w:pPr>
            <w:r/>
            <w:r>
              <w:rPr>
                <w:rFonts w:ascii="Times New Roman" w:hAnsi="Times New Roman" w:eastAsia="宋体"/>
                <w:b w:val="0"/>
                <w:sz w:val="21"/>
              </w:rPr>
              <w:t>去哪儿</w:t>
            </w:r>
          </w:p>
        </w:tc>
        <w:tc>
          <w:tcPr>
            <w:tcW w:type="dxa" w:w="3022"/>
          </w:tcPr>
          <w:p>
            <w:pPr>
              <w:jc w:val="center"/>
            </w:pPr>
            <w:r/>
            <w:r>
              <w:rPr>
                <w:rFonts w:ascii="Times New Roman" w:hAnsi="Times New Roman" w:eastAsia="宋体"/>
                <w:b w:val="0"/>
                <w:sz w:val="21"/>
              </w:rPr>
              <w:t>171</w:t>
            </w:r>
          </w:p>
        </w:tc>
        <w:tc>
          <w:tcPr>
            <w:tcW w:type="dxa" w:w="3022"/>
          </w:tcPr>
          <w:p>
            <w:pPr>
              <w:jc w:val="center"/>
            </w:pPr>
            <w:r/>
            <w:r>
              <w:rPr>
                <w:rFonts w:ascii="Times New Roman" w:hAnsi="Times New Roman" w:eastAsia="宋体"/>
                <w:b w:val="0"/>
                <w:sz w:val="21"/>
              </w:rPr>
              <w:t>4.4 %</w:t>
            </w:r>
          </w:p>
        </w:tc>
      </w:tr>
      <w:tr>
        <w:tc>
          <w:tcPr>
            <w:tcW w:type="dxa" w:w="3022"/>
          </w:tcPr>
          <w:p>
            <w:pPr>
              <w:jc w:val="center"/>
            </w:pPr>
            <w:r/>
            <w:r>
              <w:rPr>
                <w:rFonts w:ascii="Times New Roman" w:hAnsi="Times New Roman" w:eastAsia="宋体"/>
                <w:b w:val="0"/>
                <w:sz w:val="21"/>
              </w:rPr>
              <w:t>马蜂窝</w:t>
            </w:r>
          </w:p>
        </w:tc>
        <w:tc>
          <w:tcPr>
            <w:tcW w:type="dxa" w:w="3022"/>
          </w:tcPr>
          <w:p>
            <w:pPr>
              <w:jc w:val="center"/>
            </w:pPr>
            <w:r/>
            <w:r>
              <w:rPr>
                <w:rFonts w:ascii="Times New Roman" w:hAnsi="Times New Roman" w:eastAsia="宋体"/>
                <w:b w:val="0"/>
                <w:sz w:val="21"/>
              </w:rPr>
              <w:t>13</w:t>
            </w:r>
          </w:p>
        </w:tc>
        <w:tc>
          <w:tcPr>
            <w:tcW w:type="dxa" w:w="3022"/>
          </w:tcPr>
          <w:p>
            <w:pPr>
              <w:jc w:val="center"/>
            </w:pPr>
            <w:r/>
            <w:r>
              <w:rPr>
                <w:rFonts w:ascii="Times New Roman" w:hAnsi="Times New Roman" w:eastAsia="宋体"/>
                <w:b w:val="0"/>
                <w:sz w:val="21"/>
              </w:rPr>
              <w:t>0.3 %</w:t>
            </w:r>
          </w:p>
        </w:tc>
      </w:tr>
      <w:tr>
        <w:tc>
          <w:tcPr>
            <w:tcW w:type="dxa" w:w="3022"/>
          </w:tcPr>
          <w:p>
            <w:pPr>
              <w:jc w:val="center"/>
            </w:pPr>
            <w:r/>
            <w:r>
              <w:rPr>
                <w:rFonts w:ascii="Times New Roman" w:hAnsi="Times New Roman" w:eastAsia="宋体"/>
                <w:b w:val="0"/>
                <w:sz w:val="21"/>
              </w:rPr>
              <w:t>合计（去重后聚合）</w:t>
            </w:r>
          </w:p>
        </w:tc>
        <w:tc>
          <w:tcPr>
            <w:tcW w:type="dxa" w:w="3022"/>
          </w:tcPr>
          <w:p>
            <w:pPr>
              <w:jc w:val="center"/>
            </w:pPr>
            <w:r/>
            <w:r>
              <w:rPr>
                <w:rFonts w:ascii="Times New Roman" w:hAnsi="Times New Roman" w:eastAsia="宋体"/>
                <w:b w:val="0"/>
                <w:sz w:val="21"/>
              </w:rPr>
              <w:t>3,879</w:t>
            </w:r>
          </w:p>
        </w:tc>
        <w:tc>
          <w:tcPr>
            <w:tcW w:type="dxa" w:w="3022"/>
          </w:tcPr>
          <w:p>
            <w:pPr>
              <w:jc w:val="center"/>
            </w:pPr>
            <w:r/>
            <w:r>
              <w:rPr>
                <w:rFonts w:ascii="Times New Roman" w:hAnsi="Times New Roman" w:eastAsia="宋体"/>
                <w:b w:val="0"/>
                <w:sz w:val="21"/>
              </w:rPr>
              <w:t>—</w:t>
            </w:r>
          </w:p>
        </w:tc>
      </w:tr>
    </w:tbl>
    <w:p/>
    <w:p/>
    <w:p>
      <w:pPr>
        <w:spacing w:line="400" w:lineRule="exact" w:before="0" w:after="0"/>
        <w:ind w:firstLine="480"/>
      </w:pPr>
      <w:r>
        <w:rPr>
          <w:rFonts w:ascii="Times New Roman" w:hAnsi="Times New Roman" w:eastAsia="宋体"/>
          <w:b w:val="0"/>
          <w:sz w:val="24"/>
        </w:rPr>
        <w:t>说明：单个景点可能被多个平台覆盖，故表中比例和不为 100%。</w:t>
      </w:r>
    </w:p>
    <w:p/>
    <w:p>
      <w:pPr>
        <w:pStyle w:val="Heading3"/>
        <w:spacing w:line="400" w:lineRule="exact" w:before="240" w:after="80"/>
        <w:jc w:val="left"/>
      </w:pPr>
      <w:r>
        <w:rPr>
          <w:rFonts w:ascii="Times New Roman" w:hAnsi="Times New Roman" w:eastAsia="宋体"/>
          <w:b/>
          <w:sz w:val="26"/>
        </w:rPr>
        <w:t>3.2.4 非遗名录数据</w:t>
      </w:r>
    </w:p>
    <w:p/>
    <w:p>
      <w:pPr>
        <w:spacing w:line="400" w:lineRule="exact" w:before="0" w:after="0"/>
        <w:ind w:firstLine="480"/>
      </w:pPr>
      <w:r>
        <w:rPr>
          <w:rFonts w:ascii="Times New Roman" w:hAnsi="Times New Roman" w:eastAsia="宋体"/>
          <w:b w:val="0"/>
          <w:sz w:val="24"/>
        </w:rPr>
        <w:t>以南海区政府公布的 91 项非物质文化遗产名录为动态补充层的匹配依据（data/gis/nanhai_nonheritage_full90.json）。根据空间锚点的可得性，将 91 项细分为两类：有明确空间锚点（传习所、博物馆、村落、训练基地等）的约 36 项，纳入主桥梁；仅依靠传承人登记地的约 55 项，作为文化记忆侧的软性加权项，不直接与 POI 做一一对应。</w:t>
      </w:r>
    </w:p>
    <w:p/>
    <w:p>
      <w:pPr>
        <w:pStyle w:val="Heading3"/>
        <w:spacing w:line="400" w:lineRule="exact" w:before="240" w:after="80"/>
        <w:jc w:val="left"/>
      </w:pPr>
      <w:r>
        <w:rPr>
          <w:rFonts w:ascii="Times New Roman" w:hAnsi="Times New Roman" w:eastAsia="宋体"/>
          <w:b/>
          <w:sz w:val="26"/>
        </w:rPr>
        <w:t>3.2.5 政府普查文化载体（主桥梁清单）</w:t>
      </w:r>
    </w:p>
    <w:p/>
    <w:p>
      <w:pPr>
        <w:spacing w:line="400" w:lineRule="exact" w:before="0" w:after="0"/>
        <w:ind w:firstLine="480"/>
      </w:pPr>
      <w:r>
        <w:rPr>
          <w:rFonts w:ascii="Times New Roman" w:hAnsi="Times New Roman" w:eastAsia="宋体"/>
          <w:b w:val="0"/>
          <w:sz w:val="24"/>
        </w:rPr>
        <w:t>data/anchors/cultural_anchors.json 是本研究的文化锚点总库，共 220 条记录，包含 129 条物质/空间类文化载体与 91 项非遗。进入指数计算的分析样本为 165 条：129 条物质/空间类载体加上 36 条具备明确空间锚点的非遗项目，其余 55 项非遗作为软性注入因素进入讨论，不直接参与 500 米 POI 匹配。</w:t>
      </w:r>
    </w:p>
    <w:p/>
    <w:p>
      <w:pPr>
        <w:spacing w:line="400" w:lineRule="exact" w:before="0" w:after="0"/>
        <w:jc w:val="center"/>
      </w:pPr>
      <w:r>
        <w:rPr>
          <w:rFonts w:ascii="Times New Roman" w:hAnsi="Times New Roman" w:eastAsia="宋体"/>
          <w:b/>
          <w:sz w:val="24"/>
        </w:rPr>
        <w:t>表 3.2　165 条物质文化载体按类型分布</w:t>
      </w:r>
    </w:p>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jc w:val="center"/>
            </w:pPr>
            <w:r/>
            <w:r>
              <w:rPr>
                <w:rFonts w:ascii="Times New Roman" w:hAnsi="Times New Roman" w:eastAsia="宋体"/>
                <w:b/>
                <w:sz w:val="21"/>
              </w:rPr>
              <w:t>类型</w:t>
            </w:r>
          </w:p>
        </w:tc>
        <w:tc>
          <w:tcPr>
            <w:tcW w:type="dxa" w:w="3022"/>
          </w:tcPr>
          <w:p>
            <w:pPr>
              <w:jc w:val="center"/>
            </w:pPr>
            <w:r/>
            <w:r>
              <w:rPr>
                <w:rFonts w:ascii="Times New Roman" w:hAnsi="Times New Roman" w:eastAsia="宋体"/>
                <w:b/>
                <w:sz w:val="21"/>
              </w:rPr>
              <w:t>数量</w:t>
            </w:r>
          </w:p>
        </w:tc>
        <w:tc>
          <w:tcPr>
            <w:tcW w:type="dxa" w:w="3022"/>
          </w:tcPr>
          <w:p>
            <w:pPr>
              <w:jc w:val="center"/>
            </w:pPr>
            <w:r/>
            <w:r>
              <w:rPr>
                <w:rFonts w:ascii="Times New Roman" w:hAnsi="Times New Roman" w:eastAsia="宋体"/>
                <w:b/>
                <w:sz w:val="21"/>
              </w:rPr>
              <w:t>占比</w:t>
            </w:r>
          </w:p>
        </w:tc>
      </w:tr>
      <w:tr>
        <w:tc>
          <w:tcPr>
            <w:tcW w:type="dxa" w:w="3022"/>
          </w:tcPr>
          <w:p>
            <w:pPr>
              <w:jc w:val="center"/>
            </w:pPr>
            <w:r/>
            <w:r>
              <w:rPr>
                <w:rFonts w:ascii="Times New Roman" w:hAnsi="Times New Roman" w:eastAsia="宋体"/>
                <w:b w:val="0"/>
                <w:sz w:val="21"/>
              </w:rPr>
              <w:t>不可移动文物</w:t>
            </w:r>
          </w:p>
        </w:tc>
        <w:tc>
          <w:tcPr>
            <w:tcW w:type="dxa" w:w="3022"/>
          </w:tcPr>
          <w:p>
            <w:pPr>
              <w:jc w:val="center"/>
            </w:pPr>
            <w:r/>
            <w:r>
              <w:rPr>
                <w:rFonts w:ascii="Times New Roman" w:hAnsi="Times New Roman" w:eastAsia="宋体"/>
                <w:b w:val="0"/>
                <w:sz w:val="21"/>
              </w:rPr>
              <w:t>80</w:t>
            </w:r>
          </w:p>
        </w:tc>
        <w:tc>
          <w:tcPr>
            <w:tcW w:type="dxa" w:w="3022"/>
          </w:tcPr>
          <w:p>
            <w:pPr>
              <w:jc w:val="center"/>
            </w:pPr>
            <w:r/>
            <w:r>
              <w:rPr>
                <w:rFonts w:ascii="Times New Roman" w:hAnsi="Times New Roman" w:eastAsia="宋体"/>
                <w:b w:val="0"/>
                <w:sz w:val="21"/>
              </w:rPr>
              <w:t>48.5 %</w:t>
            </w:r>
          </w:p>
        </w:tc>
      </w:tr>
      <w:tr>
        <w:tc>
          <w:tcPr>
            <w:tcW w:type="dxa" w:w="3022"/>
          </w:tcPr>
          <w:p>
            <w:pPr>
              <w:jc w:val="center"/>
            </w:pPr>
            <w:r/>
            <w:r>
              <w:rPr>
                <w:rFonts w:ascii="Times New Roman" w:hAnsi="Times New Roman" w:eastAsia="宋体"/>
                <w:b w:val="0"/>
                <w:sz w:val="21"/>
              </w:rPr>
              <w:t>非遗空间锚点</w:t>
            </w:r>
          </w:p>
        </w:tc>
        <w:tc>
          <w:tcPr>
            <w:tcW w:type="dxa" w:w="3022"/>
          </w:tcPr>
          <w:p>
            <w:pPr>
              <w:jc w:val="center"/>
            </w:pPr>
            <w:r/>
            <w:r>
              <w:rPr>
                <w:rFonts w:ascii="Times New Roman" w:hAnsi="Times New Roman" w:eastAsia="宋体"/>
                <w:b w:val="0"/>
                <w:sz w:val="21"/>
              </w:rPr>
              <w:t>36</w:t>
            </w:r>
          </w:p>
        </w:tc>
        <w:tc>
          <w:tcPr>
            <w:tcW w:type="dxa" w:w="3022"/>
          </w:tcPr>
          <w:p>
            <w:pPr>
              <w:jc w:val="center"/>
            </w:pPr>
            <w:r/>
            <w:r>
              <w:rPr>
                <w:rFonts w:ascii="Times New Roman" w:hAnsi="Times New Roman" w:eastAsia="宋体"/>
                <w:b w:val="0"/>
                <w:sz w:val="21"/>
              </w:rPr>
              <w:t>21.8 %</w:t>
            </w:r>
          </w:p>
        </w:tc>
      </w:tr>
      <w:tr>
        <w:tc>
          <w:tcPr>
            <w:tcW w:type="dxa" w:w="3022"/>
          </w:tcPr>
          <w:p>
            <w:pPr>
              <w:jc w:val="center"/>
            </w:pPr>
            <w:r/>
            <w:r>
              <w:rPr>
                <w:rFonts w:ascii="Times New Roman" w:hAnsi="Times New Roman" w:eastAsia="宋体"/>
                <w:b w:val="0"/>
                <w:sz w:val="21"/>
              </w:rPr>
              <w:t>文化景观</w:t>
            </w:r>
          </w:p>
        </w:tc>
        <w:tc>
          <w:tcPr>
            <w:tcW w:type="dxa" w:w="3022"/>
          </w:tcPr>
          <w:p>
            <w:pPr>
              <w:jc w:val="center"/>
            </w:pPr>
            <w:r/>
            <w:r>
              <w:rPr>
                <w:rFonts w:ascii="Times New Roman" w:hAnsi="Times New Roman" w:eastAsia="宋体"/>
                <w:b w:val="0"/>
                <w:sz w:val="21"/>
              </w:rPr>
              <w:t>19</w:t>
            </w:r>
          </w:p>
        </w:tc>
        <w:tc>
          <w:tcPr>
            <w:tcW w:type="dxa" w:w="3022"/>
          </w:tcPr>
          <w:p>
            <w:pPr>
              <w:jc w:val="center"/>
            </w:pPr>
            <w:r/>
            <w:r>
              <w:rPr>
                <w:rFonts w:ascii="Times New Roman" w:hAnsi="Times New Roman" w:eastAsia="宋体"/>
                <w:b w:val="0"/>
                <w:sz w:val="21"/>
              </w:rPr>
              <w:t>11.5 %</w:t>
            </w:r>
          </w:p>
        </w:tc>
      </w:tr>
      <w:tr>
        <w:tc>
          <w:tcPr>
            <w:tcW w:type="dxa" w:w="3022"/>
          </w:tcPr>
          <w:p>
            <w:pPr>
              <w:jc w:val="center"/>
            </w:pPr>
            <w:r/>
            <w:r>
              <w:rPr>
                <w:rFonts w:ascii="Times New Roman" w:hAnsi="Times New Roman" w:eastAsia="宋体"/>
                <w:b w:val="0"/>
                <w:sz w:val="21"/>
              </w:rPr>
              <w:t>圩市街区</w:t>
            </w:r>
          </w:p>
        </w:tc>
        <w:tc>
          <w:tcPr>
            <w:tcW w:type="dxa" w:w="3022"/>
          </w:tcPr>
          <w:p>
            <w:pPr>
              <w:jc w:val="center"/>
            </w:pPr>
            <w:r/>
            <w:r>
              <w:rPr>
                <w:rFonts w:ascii="Times New Roman" w:hAnsi="Times New Roman" w:eastAsia="宋体"/>
                <w:b w:val="0"/>
                <w:sz w:val="21"/>
              </w:rPr>
              <w:t>18</w:t>
            </w:r>
          </w:p>
        </w:tc>
        <w:tc>
          <w:tcPr>
            <w:tcW w:type="dxa" w:w="3022"/>
          </w:tcPr>
          <w:p>
            <w:pPr>
              <w:jc w:val="center"/>
            </w:pPr>
            <w:r/>
            <w:r>
              <w:rPr>
                <w:rFonts w:ascii="Times New Roman" w:hAnsi="Times New Roman" w:eastAsia="宋体"/>
                <w:b w:val="0"/>
                <w:sz w:val="21"/>
              </w:rPr>
              <w:t>10.9 %</w:t>
            </w:r>
          </w:p>
        </w:tc>
      </w:tr>
      <w:tr>
        <w:tc>
          <w:tcPr>
            <w:tcW w:type="dxa" w:w="3022"/>
          </w:tcPr>
          <w:p>
            <w:pPr>
              <w:jc w:val="center"/>
            </w:pPr>
            <w:r/>
            <w:r>
              <w:rPr>
                <w:rFonts w:ascii="Times New Roman" w:hAnsi="Times New Roman" w:eastAsia="宋体"/>
                <w:b w:val="0"/>
                <w:sz w:val="21"/>
              </w:rPr>
              <w:t>历史文化名村 / 传统村落</w:t>
            </w:r>
          </w:p>
        </w:tc>
        <w:tc>
          <w:tcPr>
            <w:tcW w:type="dxa" w:w="3022"/>
          </w:tcPr>
          <w:p>
            <w:pPr>
              <w:jc w:val="center"/>
            </w:pPr>
            <w:r/>
            <w:r>
              <w:rPr>
                <w:rFonts w:ascii="Times New Roman" w:hAnsi="Times New Roman" w:eastAsia="宋体"/>
                <w:b w:val="0"/>
                <w:sz w:val="21"/>
              </w:rPr>
              <w:t>12</w:t>
            </w:r>
          </w:p>
        </w:tc>
        <w:tc>
          <w:tcPr>
            <w:tcW w:type="dxa" w:w="3022"/>
          </w:tcPr>
          <w:p>
            <w:pPr>
              <w:jc w:val="center"/>
            </w:pPr>
            <w:r/>
            <w:r>
              <w:rPr>
                <w:rFonts w:ascii="Times New Roman" w:hAnsi="Times New Roman" w:eastAsia="宋体"/>
                <w:b w:val="0"/>
                <w:sz w:val="21"/>
              </w:rPr>
              <w:t>7.3 %</w:t>
            </w:r>
          </w:p>
        </w:tc>
      </w:tr>
      <w:tr>
        <w:tc>
          <w:tcPr>
            <w:tcW w:type="dxa" w:w="3022"/>
          </w:tcPr>
          <w:p>
            <w:pPr>
              <w:jc w:val="center"/>
            </w:pPr>
            <w:r/>
            <w:r>
              <w:rPr>
                <w:rFonts w:ascii="Times New Roman" w:hAnsi="Times New Roman" w:eastAsia="宋体"/>
                <w:b w:val="0"/>
                <w:sz w:val="21"/>
              </w:rPr>
              <w:t>合计</w:t>
            </w:r>
          </w:p>
        </w:tc>
        <w:tc>
          <w:tcPr>
            <w:tcW w:type="dxa" w:w="3022"/>
          </w:tcPr>
          <w:p>
            <w:pPr>
              <w:jc w:val="center"/>
            </w:pPr>
            <w:r/>
            <w:r>
              <w:rPr>
                <w:rFonts w:ascii="Times New Roman" w:hAnsi="Times New Roman" w:eastAsia="宋体"/>
                <w:b w:val="0"/>
                <w:sz w:val="21"/>
              </w:rPr>
              <w:t>165</w:t>
            </w:r>
          </w:p>
        </w:tc>
        <w:tc>
          <w:tcPr>
            <w:tcW w:type="dxa" w:w="3022"/>
          </w:tcPr>
          <w:p>
            <w:pPr>
              <w:jc w:val="center"/>
            </w:pPr>
            <w:r/>
            <w:r>
              <w:rPr>
                <w:rFonts w:ascii="Times New Roman" w:hAnsi="Times New Roman" w:eastAsia="宋体"/>
                <w:b w:val="0"/>
                <w:sz w:val="21"/>
              </w:rPr>
              <w:t>100 %</w:t>
            </w:r>
          </w:p>
        </w:tc>
      </w:tr>
    </w:tbl>
    <w:p/>
    <w:p/>
    <w:p>
      <w:pPr>
        <w:spacing w:line="400" w:lineRule="exact" w:before="0" w:after="0"/>
        <w:ind w:firstLine="480"/>
      </w:pPr>
      <w:r>
        <w:rPr>
          <w:rFonts w:ascii="Times New Roman" w:hAnsi="Times New Roman" w:eastAsia="宋体"/>
          <w:b w:val="0"/>
          <w:sz w:val="24"/>
        </w:rPr>
        <w:t>其中 160 条具备精确经纬度坐标。这一清单来自两条数据线——文旅系统下的文物保护单位与遗址公园、住建系统下的风景名胜区与历史文化名镇名村和传统村落——在载体层面汇流为统一清单。</w:t>
      </w:r>
    </w:p>
    <w:p/>
    <w:p>
      <w:pPr>
        <w:pStyle w:val="Heading2"/>
        <w:spacing w:line="400" w:lineRule="exact" w:before="240" w:after="80"/>
        <w:jc w:val="left"/>
      </w:pPr>
      <w:r>
        <w:rPr>
          <w:rFonts w:ascii="Times New Roman" w:hAnsi="Times New Roman" w:eastAsia="宋体"/>
          <w:b/>
          <w:sz w:val="28"/>
        </w:rPr>
        <w:t>3.3 数据覆盖与局限性</w:t>
      </w:r>
    </w:p>
    <w:p/>
    <w:p>
      <w:pPr>
        <w:spacing w:line="400" w:lineRule="exact" w:before="0" w:after="0"/>
        <w:ind w:firstLine="480"/>
      </w:pPr>
      <w:r>
        <w:rPr>
          <w:rFonts w:ascii="Times New Roman" w:hAnsi="Times New Roman" w:eastAsia="宋体"/>
          <w:b w:val="0"/>
          <w:sz w:val="24"/>
        </w:rPr>
        <w:t>需要提前说明的数据口径问题有二：</w:t>
      </w:r>
    </w:p>
    <w:p/>
    <w:p>
      <w:pPr>
        <w:spacing w:line="400" w:lineRule="exact" w:before="0" w:after="0"/>
        <w:ind w:firstLine="480"/>
      </w:pPr>
      <w:r>
        <w:rPr>
          <w:rFonts w:ascii="Times New Roman" w:hAnsi="Times New Roman" w:eastAsia="宋体"/>
          <w:b w:val="0"/>
          <w:sz w:val="24"/>
        </w:rPr>
        <w:t>其一，POI 体系覆盖范围。本研究 POI 以景区、公园、场馆、古迹等为主要采集目标，未纳入单独的餐饮门店。这会导致以美食为标志的文旅片区在供给侧呈现系统性低估，最典型的是九江镇。</w:t>
      </w:r>
    </w:p>
    <w:p/>
    <w:p>
      <w:pPr>
        <w:spacing w:line="400" w:lineRule="exact" w:before="0" w:after="0"/>
        <w:ind w:firstLine="480"/>
      </w:pPr>
      <w:r>
        <w:rPr>
          <w:rFonts w:ascii="Times New Roman" w:hAnsi="Times New Roman" w:eastAsia="宋体"/>
          <w:b w:val="0"/>
          <w:sz w:val="24"/>
        </w:rPr>
        <w:t>其二，评论平台覆盖范围。本轮评论数据不含大众点评、美团等餐饮评价平台，也不含百度地图的评论，同样会对九江等餐饮主导片区造成系统性低估。</w:t>
      </w:r>
    </w:p>
    <w:p/>
    <w:p>
      <w:pPr>
        <w:spacing w:line="400" w:lineRule="exact" w:before="0" w:after="0"/>
        <w:ind w:firstLine="480"/>
      </w:pPr>
      <w:r>
        <w:rPr>
          <w:rFonts w:ascii="Times New Roman" w:hAnsi="Times New Roman" w:eastAsia="宋体"/>
          <w:b w:val="0"/>
          <w:sz w:val="24"/>
        </w:rPr>
        <w:t>这两个限制将在第 6 章九江专题讨论与第 7 章研究不足中再次说明，并作为后续研究的补充方向。</w:t>
      </w:r>
    </w:p>
    <w:p/>
    <w:p>
      <w:r>
        <w:br w:type="page"/>
      </w:r>
    </w:p>
    <w:p/>
    <w:p>
      <w:pPr>
        <w:pStyle w:val="Heading1"/>
        <w:spacing w:line="400" w:lineRule="exact" w:before="360" w:after="160"/>
        <w:jc w:val="center"/>
      </w:pPr>
      <w:r>
        <w:rPr>
          <w:rFonts w:ascii="Times New Roman" w:hAnsi="Times New Roman" w:eastAsia="宋体"/>
          <w:b/>
          <w:sz w:val="32"/>
        </w:rPr>
        <w:t>第 4 章　文化知识体系构建：知识图谱的实现</w:t>
      </w:r>
    </w:p>
    <w:p/>
    <w:p>
      <w:pPr>
        <w:pStyle w:val="Heading2"/>
        <w:spacing w:line="400" w:lineRule="exact" w:before="240" w:after="80"/>
        <w:jc w:val="left"/>
      </w:pPr>
      <w:r>
        <w:rPr>
          <w:rFonts w:ascii="Times New Roman" w:hAnsi="Times New Roman" w:eastAsia="宋体"/>
          <w:b/>
          <w:sz w:val="28"/>
        </w:rPr>
        <w:t>4.1 实体与关系的定义</w:t>
      </w:r>
    </w:p>
    <w:p/>
    <w:p>
      <w:pPr>
        <w:pStyle w:val="Heading3"/>
        <w:spacing w:line="400" w:lineRule="exact" w:before="240" w:after="80"/>
        <w:jc w:val="left"/>
      </w:pPr>
      <w:r>
        <w:rPr>
          <w:rFonts w:ascii="Times New Roman" w:hAnsi="Times New Roman" w:eastAsia="宋体"/>
          <w:b/>
          <w:sz w:val="26"/>
        </w:rPr>
        <w:t>4.1.1 实体分类</w:t>
      </w:r>
    </w:p>
    <w:p/>
    <w:p>
      <w:pPr>
        <w:spacing w:line="400" w:lineRule="exact" w:before="0" w:after="0"/>
        <w:ind w:firstLine="480"/>
      </w:pPr>
      <w:r>
        <w:rPr>
          <w:rFonts w:ascii="Times New Roman" w:hAnsi="Times New Roman" w:eastAsia="宋体"/>
          <w:b w:val="0"/>
          <w:sz w:val="24"/>
        </w:rPr>
        <w:t>为兼顾学术深度与管理口径，本研究设计了一套双重分类体系。实体分六大类：非遗文化、物质遗产、传承主体、文化空间、文献记忆、历史时序，细分为 28 小类。同时对接国家官方的八大类遗产分类（民间文学、传统音乐、传统舞蹈、传统戏剧、曲艺、传统体育游艺与杂技、传统美术、传统技艺等），形成"研究分类 + 官方分类"的双重标签。附录 A 给出完整的分类体系表。</w:t>
      </w:r>
    </w:p>
    <w:p/>
    <w:p>
      <w:pPr>
        <w:pStyle w:val="Heading3"/>
        <w:spacing w:line="400" w:lineRule="exact" w:before="240" w:after="80"/>
        <w:jc w:val="left"/>
      </w:pPr>
      <w:r>
        <w:rPr>
          <w:rFonts w:ascii="Times New Roman" w:hAnsi="Times New Roman" w:eastAsia="宋体"/>
          <w:b/>
          <w:sz w:val="26"/>
        </w:rPr>
        <w:t>4.1.2 关系分类</w:t>
      </w:r>
    </w:p>
    <w:p/>
    <w:p>
      <w:pPr>
        <w:spacing w:line="400" w:lineRule="exact" w:before="0" w:after="0"/>
        <w:ind w:firstLine="480"/>
      </w:pPr>
      <w:r>
        <w:rPr>
          <w:rFonts w:ascii="Times New Roman" w:hAnsi="Times New Roman" w:eastAsia="宋体"/>
          <w:b w:val="0"/>
          <w:sz w:val="24"/>
        </w:rPr>
        <w:t>关系分九大语义组：</w:t>
      </w:r>
    </w:p>
    <w:p/>
    <w:p>
      <w:pPr>
        <w:pStyle w:val="ListNumber"/>
        <w:spacing w:line="400" w:lineRule="exact" w:before="0" w:after="0"/>
      </w:pPr>
      <w:r>
        <w:rPr>
          <w:rFonts w:ascii="Times New Roman" w:hAnsi="Times New Roman" w:eastAsia="宋体"/>
          <w:sz w:val="24"/>
        </w:rPr>
        <w:t>空间关联：位于、坐落于、分布于；</w:t>
      </w:r>
    </w:p>
    <w:p>
      <w:pPr>
        <w:pStyle w:val="ListNumber"/>
        <w:spacing w:line="400" w:lineRule="exact" w:before="0" w:after="0"/>
      </w:pPr>
      <w:r>
        <w:rPr>
          <w:rFonts w:ascii="Times New Roman" w:hAnsi="Times New Roman" w:eastAsia="宋体"/>
          <w:sz w:val="24"/>
        </w:rPr>
        <w:t>传承延续：师从、传承、弟子；</w:t>
      </w:r>
    </w:p>
    <w:p>
      <w:pPr>
        <w:pStyle w:val="ListNumber"/>
        <w:spacing w:line="400" w:lineRule="exact" w:before="0" w:after="0"/>
      </w:pPr>
      <w:r>
        <w:rPr>
          <w:rFonts w:ascii="Times New Roman" w:hAnsi="Times New Roman" w:eastAsia="宋体"/>
          <w:sz w:val="24"/>
        </w:rPr>
        <w:t>营建创造：始建于、重建、扩建；</w:t>
      </w:r>
    </w:p>
    <w:p>
      <w:pPr>
        <w:pStyle w:val="ListNumber"/>
        <w:spacing w:line="400" w:lineRule="exact" w:before="0" w:after="0"/>
      </w:pPr>
      <w:r>
        <w:rPr>
          <w:rFonts w:ascii="Times New Roman" w:hAnsi="Times New Roman" w:eastAsia="宋体"/>
          <w:sz w:val="24"/>
        </w:rPr>
        <w:t>人物交往：交游、同僚、同乡；</w:t>
      </w:r>
    </w:p>
    <w:p>
      <w:pPr>
        <w:pStyle w:val="ListNumber"/>
        <w:spacing w:line="400" w:lineRule="exact" w:before="0" w:after="0"/>
      </w:pPr>
      <w:r>
        <w:rPr>
          <w:rFonts w:ascii="Times New Roman" w:hAnsi="Times New Roman" w:eastAsia="宋体"/>
          <w:sz w:val="24"/>
        </w:rPr>
        <w:t>历史时序：活动于、生卒于、任职于；</w:t>
      </w:r>
    </w:p>
    <w:p>
      <w:pPr>
        <w:pStyle w:val="ListNumber"/>
        <w:spacing w:line="400" w:lineRule="exact" w:before="0" w:after="0"/>
      </w:pPr>
      <w:r>
        <w:rPr>
          <w:rFonts w:ascii="Times New Roman" w:hAnsi="Times New Roman" w:eastAsia="宋体"/>
          <w:sz w:val="24"/>
        </w:rPr>
        <w:t>文化从属：承载文化、代表技艺、隶属流派；</w:t>
      </w:r>
    </w:p>
    <w:p>
      <w:pPr>
        <w:pStyle w:val="ListNumber"/>
        <w:spacing w:line="400" w:lineRule="exact" w:before="0" w:after="0"/>
      </w:pPr>
      <w:r>
        <w:rPr>
          <w:rFonts w:ascii="Times New Roman" w:hAnsi="Times New Roman" w:eastAsia="宋体"/>
          <w:sz w:val="24"/>
        </w:rPr>
        <w:t>事件参与：参加、发起、主持；</w:t>
      </w:r>
    </w:p>
    <w:p>
      <w:pPr>
        <w:pStyle w:val="ListNumber"/>
        <w:spacing w:line="400" w:lineRule="exact" w:before="0" w:after="0"/>
      </w:pPr>
      <w:r>
        <w:rPr>
          <w:rFonts w:ascii="Times New Roman" w:hAnsi="Times New Roman" w:eastAsia="宋体"/>
          <w:sz w:val="24"/>
        </w:rPr>
        <w:t>著述评论：著作、作者、评注；</w:t>
      </w:r>
    </w:p>
    <w:p>
      <w:pPr>
        <w:pStyle w:val="ListNumber"/>
        <w:spacing w:line="400" w:lineRule="exact" w:before="0" w:after="0"/>
      </w:pPr>
      <w:r>
        <w:rPr>
          <w:rFonts w:ascii="Times New Roman" w:hAnsi="Times New Roman" w:eastAsia="宋体"/>
          <w:sz w:val="24"/>
        </w:rPr>
        <w:t>其他：其他开放式短语。</w:t>
      </w:r>
    </w:p>
    <w:p/>
    <w:p>
      <w:pPr>
        <w:spacing w:line="400" w:lineRule="exact" w:before="0" w:after="0"/>
        <w:ind w:firstLine="480"/>
      </w:pPr>
      <w:r>
        <w:rPr>
          <w:rFonts w:ascii="Times New Roman" w:hAnsi="Times New Roman" w:eastAsia="宋体"/>
          <w:b w:val="0"/>
          <w:sz w:val="24"/>
        </w:rPr>
        <w:t>关系抽取坚持开放原则，保留原始关系短语与证据句，以便后续复核。</w:t>
      </w:r>
    </w:p>
    <w:p/>
    <w:p>
      <w:pPr>
        <w:pStyle w:val="Heading2"/>
        <w:spacing w:line="400" w:lineRule="exact" w:before="240" w:after="80"/>
        <w:jc w:val="left"/>
      </w:pPr>
      <w:r>
        <w:rPr>
          <w:rFonts w:ascii="Times New Roman" w:hAnsi="Times New Roman" w:eastAsia="宋体"/>
          <w:b/>
          <w:sz w:val="28"/>
        </w:rPr>
        <w:t>4.2 基于大语言模型的抽取过程</w:t>
      </w:r>
    </w:p>
    <w:p/>
    <w:p>
      <w:pPr>
        <w:pStyle w:val="Heading3"/>
        <w:spacing w:line="400" w:lineRule="exact" w:before="240" w:after="80"/>
        <w:jc w:val="left"/>
      </w:pPr>
      <w:r>
        <w:rPr>
          <w:rFonts w:ascii="Times New Roman" w:hAnsi="Times New Roman" w:eastAsia="宋体"/>
          <w:b/>
          <w:sz w:val="26"/>
        </w:rPr>
        <w:t>4.2.1 模型与分块</w:t>
      </w:r>
    </w:p>
    <w:p/>
    <w:p>
      <w:pPr>
        <w:spacing w:line="400" w:lineRule="exact" w:before="0" w:after="0"/>
        <w:ind w:firstLine="480"/>
      </w:pPr>
      <w:r>
        <w:rPr>
          <w:rFonts w:ascii="Times New Roman" w:hAnsi="Times New Roman" w:eastAsia="宋体"/>
          <w:b w:val="0"/>
          <w:sz w:val="24"/>
        </w:rPr>
        <w:t>抽取引擎选用阿里云通义千问（qwen-3.5-plus）。将 53 份语料按约 800 字一段切块，多线程并发处理（见 code/processing/qwen_ner_multithread.py）。每一段文本进入 LLM 后，按照预设的分类体系输出结构化的实体与关系 JSON，并保留原文证据句。</w:t>
      </w:r>
    </w:p>
    <w:p/>
    <w:p>
      <w:pPr>
        <w:spacing w:line="400" w:lineRule="exact" w:before="0" w:after="0"/>
        <w:jc w:val="center"/>
      </w:pPr>
      <w:r>
        <w:rPr>
          <w:rFonts w:ascii="Times New Roman" w:hAnsi="Times New Roman" w:eastAsia="宋体"/>
          <w:b/>
          <w:sz w:val="24"/>
        </w:rPr>
        <w:t>图 4.1　实体—关系抽取的分块与并发处理流程</w:t>
      </w:r>
    </w:p>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thesis_llm_extraction_pipeline.png"/>
                    <pic:cNvPicPr/>
                  </pic:nvPicPr>
                  <pic:blipFill>
                    <a:blip r:embed="rId10"/>
                    <a:stretch>
                      <a:fillRect/>
                    </a:stretch>
                  </pic:blipFill>
                  <pic:spPr>
                    <a:xfrm>
                      <a:off x="0" y="0"/>
                      <a:ext cx="5669280" cy="2834640"/>
                    </a:xfrm>
                    <a:prstGeom prst="rect"/>
                  </pic:spPr>
                </pic:pic>
              </a:graphicData>
            </a:graphic>
          </wp:inline>
        </w:drawing>
      </w:r>
    </w:p>
    <w:p/>
    <w:p>
      <w:pPr>
        <w:pStyle w:val="Heading3"/>
        <w:spacing w:line="400" w:lineRule="exact" w:before="240" w:after="80"/>
        <w:jc w:val="left"/>
      </w:pPr>
      <w:r>
        <w:rPr>
          <w:rFonts w:ascii="Times New Roman" w:hAnsi="Times New Roman" w:eastAsia="宋体"/>
          <w:b/>
          <w:sz w:val="26"/>
        </w:rPr>
        <w:t>4.2.2 质量控制</w:t>
      </w:r>
    </w:p>
    <w:p/>
    <w:p>
      <w:pPr>
        <w:spacing w:line="400" w:lineRule="exact" w:before="0" w:after="0"/>
        <w:ind w:firstLine="480"/>
      </w:pPr>
      <w:r>
        <w:rPr>
          <w:rFonts w:ascii="Times New Roman" w:hAnsi="Times New Roman" w:eastAsia="宋体"/>
          <w:b w:val="0"/>
          <w:sz w:val="24"/>
        </w:rPr>
        <w:t>抽取过程设置了以下质量控制环节：</w:t>
      </w:r>
    </w:p>
    <w:p/>
    <w:p>
      <w:pPr>
        <w:pStyle w:val="ListBullet"/>
        <w:spacing w:line="400" w:lineRule="exact" w:before="0" w:after="0"/>
      </w:pPr>
      <w:r>
        <w:rPr>
          <w:rFonts w:ascii="Times New Roman" w:hAnsi="Times New Roman" w:eastAsia="宋体"/>
          <w:sz w:val="24"/>
        </w:rPr>
        <w:t>方向校验：避免主宾颠倒（如"师从 A"与"A 传于"）；</w:t>
      </w:r>
    </w:p>
    <w:p>
      <w:pPr>
        <w:pStyle w:val="ListBullet"/>
        <w:spacing w:line="400" w:lineRule="exact" w:before="0" w:after="0"/>
      </w:pPr>
      <w:r>
        <w:rPr>
          <w:rFonts w:ascii="Times New Roman" w:hAnsi="Times New Roman" w:eastAsia="宋体"/>
          <w:sz w:val="24"/>
        </w:rPr>
        <w:t>禁用空泛关系："相关""有关"等无信息关系被丢弃；</w:t>
      </w:r>
    </w:p>
    <w:p>
      <w:pPr>
        <w:pStyle w:val="ListBullet"/>
        <w:spacing w:line="400" w:lineRule="exact" w:before="0" w:after="0"/>
      </w:pPr>
      <w:r>
        <w:rPr>
          <w:rFonts w:ascii="Times New Roman" w:hAnsi="Times New Roman" w:eastAsia="宋体"/>
          <w:sz w:val="24"/>
        </w:rPr>
        <w:t>双重标签：每个实体同时打上研究的 28 小类标签与官方 8 大类标签；</w:t>
      </w:r>
    </w:p>
    <w:p>
      <w:pPr>
        <w:pStyle w:val="ListBullet"/>
        <w:spacing w:line="400" w:lineRule="exact" w:before="0" w:after="0"/>
      </w:pPr>
      <w:r>
        <w:rPr>
          <w:rFonts w:ascii="Times New Roman" w:hAnsi="Times New Roman" w:eastAsia="宋体"/>
          <w:sz w:val="24"/>
        </w:rPr>
        <w:t>证据句保留：每一条关系附带原文摘录，便于人工复核；</w:t>
      </w:r>
    </w:p>
    <w:p>
      <w:pPr>
        <w:pStyle w:val="ListBullet"/>
        <w:spacing w:line="400" w:lineRule="exact" w:before="0" w:after="0"/>
      </w:pPr>
      <w:r>
        <w:rPr>
          <w:rFonts w:ascii="Times New Roman" w:hAnsi="Times New Roman" w:eastAsia="宋体"/>
          <w:sz w:val="24"/>
        </w:rPr>
        <w:t>置信度打分：实体的 confidence 字段用于后续过滤。</w:t>
      </w:r>
    </w:p>
    <w:p/>
    <w:p>
      <w:pPr>
        <w:pStyle w:val="Heading3"/>
        <w:spacing w:line="400" w:lineRule="exact" w:before="240" w:after="80"/>
        <w:jc w:val="left"/>
      </w:pPr>
      <w:r>
        <w:rPr>
          <w:rFonts w:ascii="Times New Roman" w:hAnsi="Times New Roman" w:eastAsia="宋体"/>
          <w:b/>
          <w:sz w:val="26"/>
        </w:rPr>
        <w:t>4.2.3 合并与入库</w:t>
      </w:r>
    </w:p>
    <w:p/>
    <w:p>
      <w:pPr>
        <w:spacing w:line="400" w:lineRule="exact" w:before="0" w:after="0"/>
        <w:ind w:firstLine="480"/>
      </w:pPr>
      <w:r>
        <w:rPr>
          <w:rFonts w:ascii="Times New Roman" w:hAnsi="Times New Roman" w:eastAsia="宋体"/>
          <w:b w:val="0"/>
          <w:sz w:val="24"/>
        </w:rPr>
        <w:t>原始抽取共得实体 61,218 条、关系 42,024 条（data/entities_relations/progress.json）。经实体对齐（code/processing/llm_ner.py）、去重、同义合并（code/processing/llm_relation_compliance.py）与规则筛选后，合并图谱总库包含 8,048 个实体、19,382 条关系（data/entities_relations/merged_entities.json 与 merged_relations.json）；其中能够通过地名或建筑实体直接落到空间坐标的实体约 607 个。按语料提及频次分六档配色（data/entities_relations/neo4j_frequency_rank_palette.json）。</w:t>
      </w:r>
    </w:p>
    <w:p/>
    <w:p>
      <w:pPr>
        <w:pStyle w:val="Heading2"/>
        <w:spacing w:line="400" w:lineRule="exact" w:before="240" w:after="80"/>
        <w:jc w:val="left"/>
      </w:pPr>
      <w:r>
        <w:rPr>
          <w:rFonts w:ascii="Times New Roman" w:hAnsi="Times New Roman" w:eastAsia="宋体"/>
          <w:b/>
          <w:sz w:val="28"/>
        </w:rPr>
        <w:t>4.3 图数据库的构建与可视化</w:t>
      </w:r>
    </w:p>
    <w:p/>
    <w:p>
      <w:pPr>
        <w:pStyle w:val="Heading3"/>
        <w:spacing w:line="400" w:lineRule="exact" w:before="240" w:after="80"/>
        <w:jc w:val="left"/>
      </w:pPr>
      <w:r>
        <w:rPr>
          <w:rFonts w:ascii="Times New Roman" w:hAnsi="Times New Roman" w:eastAsia="宋体"/>
          <w:b/>
          <w:sz w:val="26"/>
        </w:rPr>
        <w:t>4.3.1 构建过程</w:t>
      </w:r>
    </w:p>
    <w:p/>
    <w:p>
      <w:pPr>
        <w:spacing w:line="400" w:lineRule="exact" w:before="0" w:after="0"/>
        <w:ind w:firstLine="480"/>
      </w:pPr>
      <w:r>
        <w:rPr>
          <w:rFonts w:ascii="Times New Roman" w:hAnsi="Times New Roman" w:eastAsia="宋体"/>
          <w:b w:val="0"/>
          <w:sz w:val="24"/>
        </w:rPr>
        <w:t>通过 code/visualization/llm_kg_to_neo4j.py 将节点与关系批量导入 Neo4j 数据库，并应用 output/neo4j/.cypher 脚本完成索引建立、频次着色与层次划分。知识图谱最终呈现为一个层次化的空间—人物—技艺—文献网络。</w:t>
      </w:r>
    </w:p>
    <w:p/>
    <w:p>
      <w:pPr>
        <w:pStyle w:val="Heading3"/>
        <w:spacing w:line="400" w:lineRule="exact" w:before="240" w:after="80"/>
        <w:jc w:val="left"/>
      </w:pPr>
      <w:r>
        <w:rPr>
          <w:rFonts w:ascii="Times New Roman" w:hAnsi="Times New Roman" w:eastAsia="宋体"/>
          <w:b/>
          <w:sz w:val="26"/>
        </w:rPr>
        <w:t>4.3.2 典型子图展示</w:t>
      </w:r>
    </w:p>
    <w:p/>
    <w:p>
      <w:pPr>
        <w:spacing w:line="400" w:lineRule="exact" w:before="0" w:after="0"/>
        <w:ind w:firstLine="480"/>
      </w:pPr>
      <w:r>
        <w:rPr>
          <w:rFonts w:ascii="Times New Roman" w:hAnsi="Times New Roman" w:eastAsia="宋体"/>
          <w:b w:val="0"/>
          <w:sz w:val="24"/>
        </w:rPr>
        <w:t>图 4.2 汇总展示了知识图谱全局网络与人物关联子图。全局图用于观察实体类别与高频节点的结构位置，人物子图则用于说明典籍记忆如何通过人物、地点、技艺与事件向外扩展。</w:t>
      </w:r>
    </w:p>
    <w:p/>
    <w:p>
      <w:pPr>
        <w:spacing w:line="400" w:lineRule="exact" w:before="0" w:after="0"/>
        <w:jc w:val="center"/>
      </w:pPr>
      <w:r>
        <w:rPr>
          <w:rFonts w:ascii="Times New Roman" w:hAnsi="Times New Roman" w:eastAsia="宋体"/>
          <w:b/>
          <w:sz w:val="24"/>
        </w:rPr>
        <w:t>图 4.2　知识图谱全局网络与典型人物子图</w:t>
      </w:r>
    </w:p>
    <w:p/>
    <w:p>
      <w:pPr>
        <w:jc w:val="center"/>
      </w:pPr>
      <w:r>
        <w:drawing>
          <wp:inline xmlns:a="http://schemas.openxmlformats.org/drawingml/2006/main" xmlns:pic="http://schemas.openxmlformats.org/drawingml/2006/picture">
            <wp:extent cx="5669280" cy="3653536"/>
            <wp:docPr id="3" name="Picture 3"/>
            <wp:cNvGraphicFramePr>
              <a:graphicFrameLocks noChangeAspect="1"/>
            </wp:cNvGraphicFramePr>
            <a:graphic>
              <a:graphicData uri="http://schemas.openxmlformats.org/drawingml/2006/picture">
                <pic:pic>
                  <pic:nvPicPr>
                    <pic:cNvPr id="0" name="thesis_kg_examples.png"/>
                    <pic:cNvPicPr/>
                  </pic:nvPicPr>
                  <pic:blipFill>
                    <a:blip r:embed="rId11"/>
                    <a:stretch>
                      <a:fillRect/>
                    </a:stretch>
                  </pic:blipFill>
                  <pic:spPr>
                    <a:xfrm>
                      <a:off x="0" y="0"/>
                      <a:ext cx="5669280" cy="3653536"/>
                    </a:xfrm>
                    <a:prstGeom prst="rect"/>
                  </pic:spPr>
                </pic:pic>
              </a:graphicData>
            </a:graphic>
          </wp:inline>
        </w:drawing>
      </w:r>
    </w:p>
    <w:p/>
    <w:p>
      <w:pPr>
        <w:spacing w:line="400" w:lineRule="exact" w:before="0" w:after="0"/>
        <w:ind w:firstLine="480"/>
      </w:pPr>
      <w:r>
        <w:rPr>
          <w:rFonts w:ascii="Times New Roman" w:hAnsi="Times New Roman" w:eastAsia="宋体"/>
          <w:b w:val="0"/>
          <w:sz w:val="24"/>
        </w:rPr>
        <w:t>本研究进一步选取若干典型子图用于解释文化记忆来源：</w:t>
      </w:r>
    </w:p>
    <w:p/>
    <w:p>
      <w:pPr>
        <w:pStyle w:val="ListBullet"/>
        <w:spacing w:line="400" w:lineRule="exact" w:before="0" w:after="0"/>
      </w:pPr>
      <w:r>
        <w:rPr>
          <w:rFonts w:ascii="Times New Roman" w:hAnsi="Times New Roman" w:eastAsia="宋体"/>
          <w:sz w:val="24"/>
        </w:rPr>
        <w:t>康有为子图：以康有为（提及 1,430 次）为中心，向外辐射"梁启超""万木草堂""南海九江""丹灶苏村"等关联；</w:t>
      </w:r>
    </w:p>
    <w:p>
      <w:pPr>
        <w:pStyle w:val="ListBullet"/>
        <w:spacing w:line="400" w:lineRule="exact" w:before="0" w:after="0"/>
      </w:pPr>
      <w:r>
        <w:rPr>
          <w:rFonts w:ascii="Times New Roman" w:hAnsi="Times New Roman" w:eastAsia="宋体"/>
          <w:sz w:val="24"/>
        </w:rPr>
        <w:t>黄飞鸿子图：以黄飞鸿为中心，串联"洪拳""十字拳""狮舞—醒狮""广东十虎""佛山精武体育会"等实体；</w:t>
      </w:r>
    </w:p>
    <w:p>
      <w:pPr>
        <w:pStyle w:val="ListBullet"/>
        <w:spacing w:line="400" w:lineRule="exact" w:before="0" w:after="0"/>
      </w:pPr>
      <w:r>
        <w:rPr>
          <w:rFonts w:ascii="Times New Roman" w:hAnsi="Times New Roman" w:eastAsia="宋体"/>
          <w:sz w:val="24"/>
        </w:rPr>
        <w:t>桑园围子图：以桑园围水利系统为中心，涉及"西樵山""九江""保安围""围堤""龙舟"等地名与活动；</w:t>
      </w:r>
    </w:p>
    <w:p>
      <w:pPr>
        <w:pStyle w:val="ListBullet"/>
        <w:spacing w:line="400" w:lineRule="exact" w:before="0" w:after="0"/>
      </w:pPr>
      <w:r>
        <w:rPr>
          <w:rFonts w:ascii="Times New Roman" w:hAnsi="Times New Roman" w:eastAsia="宋体"/>
          <w:sz w:val="24"/>
        </w:rPr>
        <w:t>西樵山子图：以西樵山（提及约 700 次）为中心，链接"云泉仙馆""三湖书院""白云洞""理学""书院文化"等实体。</w:t>
      </w:r>
    </w:p>
    <w:p/>
    <w:p>
      <w:pPr>
        <w:spacing w:line="400" w:lineRule="exact" w:before="0" w:after="0"/>
        <w:ind w:firstLine="480"/>
      </w:pPr>
      <w:r>
        <w:rPr>
          <w:rFonts w:ascii="Times New Roman" w:hAnsi="Times New Roman" w:eastAsia="宋体"/>
          <w:b w:val="0"/>
          <w:sz w:val="24"/>
        </w:rPr>
        <w:t>这些子图为第 5 章的耦合分析提供了直接的语义底座：当研究某个物质文化载体（如"松塘村"）时，可以从知识图谱侧反向追溯与其关联的人物、事件、典籍与技艺实体，从而形成文化记忆指数的原始量值。</w:t>
      </w:r>
    </w:p>
    <w:p/>
    <w:p>
      <w:r>
        <w:br w:type="page"/>
      </w:r>
    </w:p>
    <w:p/>
    <w:p>
      <w:pPr>
        <w:pStyle w:val="Heading1"/>
        <w:spacing w:line="400" w:lineRule="exact" w:before="360" w:after="160"/>
        <w:jc w:val="center"/>
      </w:pPr>
      <w:r>
        <w:rPr>
          <w:rFonts w:ascii="Times New Roman" w:hAnsi="Times New Roman" w:eastAsia="宋体"/>
          <w:b/>
          <w:sz w:val="32"/>
        </w:rPr>
        <w:t>第 5 章　旅游产品体系刻画与耦合分析</w:t>
      </w:r>
    </w:p>
    <w:p/>
    <w:p>
      <w:pPr>
        <w:pStyle w:val="Heading2"/>
        <w:spacing w:line="400" w:lineRule="exact" w:before="240" w:after="80"/>
        <w:jc w:val="left"/>
      </w:pPr>
      <w:r>
        <w:rPr>
          <w:rFonts w:ascii="Times New Roman" w:hAnsi="Times New Roman" w:eastAsia="宋体"/>
          <w:b/>
          <w:sz w:val="28"/>
        </w:rPr>
        <w:t>5.1 旅游产品体系的结构</w:t>
      </w:r>
    </w:p>
    <w:p/>
    <w:p>
      <w:pPr>
        <w:pStyle w:val="Heading3"/>
        <w:spacing w:line="400" w:lineRule="exact" w:before="240" w:after="80"/>
        <w:jc w:val="left"/>
      </w:pPr>
      <w:r>
        <w:rPr>
          <w:rFonts w:ascii="Times New Roman" w:hAnsi="Times New Roman" w:eastAsia="宋体"/>
          <w:b/>
          <w:sz w:val="26"/>
        </w:rPr>
        <w:t>5.1.1 类型构成</w:t>
      </w:r>
    </w:p>
    <w:p/>
    <w:p>
      <w:pPr>
        <w:spacing w:line="400" w:lineRule="exact" w:before="0" w:after="0"/>
        <w:ind w:firstLine="480"/>
      </w:pPr>
      <w:r>
        <w:rPr>
          <w:rFonts w:ascii="Times New Roman" w:hAnsi="Times New Roman" w:eastAsia="宋体"/>
          <w:b w:val="0"/>
          <w:sz w:val="24"/>
        </w:rPr>
        <w:t>基于清洗后的 13,512 条 POI，南海区旅游产品按 11 大类的构成见表 5.1。"公园绿地"与"自然景观"占比合计达 70.8%，表明南海区在"绿色开放空间"维度的供给量大；而"非遗体验""文化场馆""特色街区"的合计占比仅为 3.8%，说明在"文化可体验"层面的供给量明显偏薄。</w:t>
      </w:r>
    </w:p>
    <w:p/>
    <w:p>
      <w:pPr>
        <w:spacing w:line="400" w:lineRule="exact" w:before="0" w:after="0"/>
        <w:jc w:val="center"/>
      </w:pPr>
      <w:r>
        <w:rPr>
          <w:rFonts w:ascii="Times New Roman" w:hAnsi="Times New Roman" w:eastAsia="宋体"/>
          <w:b/>
          <w:sz w:val="24"/>
        </w:rPr>
        <w:t>表 5.1　13,512 条 POI 按 11 大类的构成</w:t>
      </w:r>
    </w:p>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jc w:val="center"/>
            </w:pPr>
            <w:r/>
            <w:r>
              <w:rPr>
                <w:rFonts w:ascii="Times New Roman" w:hAnsi="Times New Roman" w:eastAsia="宋体"/>
                <w:b/>
                <w:sz w:val="21"/>
              </w:rPr>
              <w:t>类型</w:t>
            </w:r>
          </w:p>
        </w:tc>
        <w:tc>
          <w:tcPr>
            <w:tcW w:type="dxa" w:w="3022"/>
          </w:tcPr>
          <w:p>
            <w:pPr>
              <w:jc w:val="center"/>
            </w:pPr>
            <w:r/>
            <w:r>
              <w:rPr>
                <w:rFonts w:ascii="Times New Roman" w:hAnsi="Times New Roman" w:eastAsia="宋体"/>
                <w:b/>
                <w:sz w:val="21"/>
              </w:rPr>
              <w:t>数量</w:t>
            </w:r>
          </w:p>
        </w:tc>
        <w:tc>
          <w:tcPr>
            <w:tcW w:type="dxa" w:w="3022"/>
          </w:tcPr>
          <w:p>
            <w:pPr>
              <w:jc w:val="center"/>
            </w:pPr>
            <w:r/>
            <w:r>
              <w:rPr>
                <w:rFonts w:ascii="Times New Roman" w:hAnsi="Times New Roman" w:eastAsia="宋体"/>
                <w:b/>
                <w:sz w:val="21"/>
              </w:rPr>
              <w:t>占比</w:t>
            </w:r>
          </w:p>
        </w:tc>
      </w:tr>
      <w:tr>
        <w:tc>
          <w:tcPr>
            <w:tcW w:type="dxa" w:w="3022"/>
          </w:tcPr>
          <w:p>
            <w:pPr>
              <w:jc w:val="center"/>
            </w:pPr>
            <w:r/>
            <w:r>
              <w:rPr>
                <w:rFonts w:ascii="Times New Roman" w:hAnsi="Times New Roman" w:eastAsia="宋体"/>
                <w:b w:val="0"/>
                <w:sz w:val="21"/>
              </w:rPr>
              <w:t>公园绿地</w:t>
            </w:r>
          </w:p>
        </w:tc>
        <w:tc>
          <w:tcPr>
            <w:tcW w:type="dxa" w:w="3022"/>
          </w:tcPr>
          <w:p>
            <w:pPr>
              <w:jc w:val="center"/>
            </w:pPr>
            <w:r/>
            <w:r>
              <w:rPr>
                <w:rFonts w:ascii="Times New Roman" w:hAnsi="Times New Roman" w:eastAsia="宋体"/>
                <w:b w:val="0"/>
                <w:sz w:val="21"/>
              </w:rPr>
              <w:t>5,441</w:t>
            </w:r>
          </w:p>
        </w:tc>
        <w:tc>
          <w:tcPr>
            <w:tcW w:type="dxa" w:w="3022"/>
          </w:tcPr>
          <w:p>
            <w:pPr>
              <w:jc w:val="center"/>
            </w:pPr>
            <w:r/>
            <w:r>
              <w:rPr>
                <w:rFonts w:ascii="Times New Roman" w:hAnsi="Times New Roman" w:eastAsia="宋体"/>
                <w:b w:val="0"/>
                <w:sz w:val="21"/>
              </w:rPr>
              <w:t>40.3 %</w:t>
            </w:r>
          </w:p>
        </w:tc>
      </w:tr>
      <w:tr>
        <w:tc>
          <w:tcPr>
            <w:tcW w:type="dxa" w:w="3022"/>
          </w:tcPr>
          <w:p>
            <w:pPr>
              <w:jc w:val="center"/>
            </w:pPr>
            <w:r/>
            <w:r>
              <w:rPr>
                <w:rFonts w:ascii="Times New Roman" w:hAnsi="Times New Roman" w:eastAsia="宋体"/>
                <w:b w:val="0"/>
                <w:sz w:val="21"/>
              </w:rPr>
              <w:t>自然景观</w:t>
            </w:r>
          </w:p>
        </w:tc>
        <w:tc>
          <w:tcPr>
            <w:tcW w:type="dxa" w:w="3022"/>
          </w:tcPr>
          <w:p>
            <w:pPr>
              <w:jc w:val="center"/>
            </w:pPr>
            <w:r/>
            <w:r>
              <w:rPr>
                <w:rFonts w:ascii="Times New Roman" w:hAnsi="Times New Roman" w:eastAsia="宋体"/>
                <w:b w:val="0"/>
                <w:sz w:val="21"/>
              </w:rPr>
              <w:t>4,123</w:t>
            </w:r>
          </w:p>
        </w:tc>
        <w:tc>
          <w:tcPr>
            <w:tcW w:type="dxa" w:w="3022"/>
          </w:tcPr>
          <w:p>
            <w:pPr>
              <w:jc w:val="center"/>
            </w:pPr>
            <w:r/>
            <w:r>
              <w:rPr>
                <w:rFonts w:ascii="Times New Roman" w:hAnsi="Times New Roman" w:eastAsia="宋体"/>
                <w:b w:val="0"/>
                <w:sz w:val="21"/>
              </w:rPr>
              <w:t>30.5 %</w:t>
            </w:r>
          </w:p>
        </w:tc>
      </w:tr>
      <w:tr>
        <w:tc>
          <w:tcPr>
            <w:tcW w:type="dxa" w:w="3022"/>
          </w:tcPr>
          <w:p>
            <w:pPr>
              <w:jc w:val="center"/>
            </w:pPr>
            <w:r/>
            <w:r>
              <w:rPr>
                <w:rFonts w:ascii="Times New Roman" w:hAnsi="Times New Roman" w:eastAsia="宋体"/>
                <w:b w:val="0"/>
                <w:sz w:val="21"/>
              </w:rPr>
              <w:t>其他</w:t>
            </w:r>
          </w:p>
        </w:tc>
        <w:tc>
          <w:tcPr>
            <w:tcW w:type="dxa" w:w="3022"/>
          </w:tcPr>
          <w:p>
            <w:pPr>
              <w:jc w:val="center"/>
            </w:pPr>
            <w:r/>
            <w:r>
              <w:rPr>
                <w:rFonts w:ascii="Times New Roman" w:hAnsi="Times New Roman" w:eastAsia="宋体"/>
                <w:b w:val="0"/>
                <w:sz w:val="21"/>
              </w:rPr>
              <w:t>2,018</w:t>
            </w:r>
          </w:p>
        </w:tc>
        <w:tc>
          <w:tcPr>
            <w:tcW w:type="dxa" w:w="3022"/>
          </w:tcPr>
          <w:p>
            <w:pPr>
              <w:jc w:val="center"/>
            </w:pPr>
            <w:r/>
            <w:r>
              <w:rPr>
                <w:rFonts w:ascii="Times New Roman" w:hAnsi="Times New Roman" w:eastAsia="宋体"/>
                <w:b w:val="0"/>
                <w:sz w:val="21"/>
              </w:rPr>
              <w:t>14.9 %</w:t>
            </w:r>
          </w:p>
        </w:tc>
      </w:tr>
      <w:tr>
        <w:tc>
          <w:tcPr>
            <w:tcW w:type="dxa" w:w="3022"/>
          </w:tcPr>
          <w:p>
            <w:pPr>
              <w:jc w:val="center"/>
            </w:pPr>
            <w:r/>
            <w:r>
              <w:rPr>
                <w:rFonts w:ascii="Times New Roman" w:hAnsi="Times New Roman" w:eastAsia="宋体"/>
                <w:b w:val="0"/>
                <w:sz w:val="21"/>
              </w:rPr>
              <w:t>宗教场所</w:t>
            </w:r>
          </w:p>
        </w:tc>
        <w:tc>
          <w:tcPr>
            <w:tcW w:type="dxa" w:w="3022"/>
          </w:tcPr>
          <w:p>
            <w:pPr>
              <w:jc w:val="center"/>
            </w:pPr>
            <w:r/>
            <w:r>
              <w:rPr>
                <w:rFonts w:ascii="Times New Roman" w:hAnsi="Times New Roman" w:eastAsia="宋体"/>
                <w:b w:val="0"/>
                <w:sz w:val="21"/>
              </w:rPr>
              <w:t>481</w:t>
            </w:r>
          </w:p>
        </w:tc>
        <w:tc>
          <w:tcPr>
            <w:tcW w:type="dxa" w:w="3022"/>
          </w:tcPr>
          <w:p>
            <w:pPr>
              <w:jc w:val="center"/>
            </w:pPr>
            <w:r/>
            <w:r>
              <w:rPr>
                <w:rFonts w:ascii="Times New Roman" w:hAnsi="Times New Roman" w:eastAsia="宋体"/>
                <w:b w:val="0"/>
                <w:sz w:val="21"/>
              </w:rPr>
              <w:t>3.6 %</w:t>
            </w:r>
          </w:p>
        </w:tc>
      </w:tr>
      <w:tr>
        <w:tc>
          <w:tcPr>
            <w:tcW w:type="dxa" w:w="3022"/>
          </w:tcPr>
          <w:p>
            <w:pPr>
              <w:jc w:val="center"/>
            </w:pPr>
            <w:r/>
            <w:r>
              <w:rPr>
                <w:rFonts w:ascii="Times New Roman" w:hAnsi="Times New Roman" w:eastAsia="宋体"/>
                <w:b w:val="0"/>
                <w:sz w:val="21"/>
              </w:rPr>
              <w:t>人文古迹</w:t>
            </w:r>
          </w:p>
        </w:tc>
        <w:tc>
          <w:tcPr>
            <w:tcW w:type="dxa" w:w="3022"/>
          </w:tcPr>
          <w:p>
            <w:pPr>
              <w:jc w:val="center"/>
            </w:pPr>
            <w:r/>
            <w:r>
              <w:rPr>
                <w:rFonts w:ascii="Times New Roman" w:hAnsi="Times New Roman" w:eastAsia="宋体"/>
                <w:b w:val="0"/>
                <w:sz w:val="21"/>
              </w:rPr>
              <w:t>420</w:t>
            </w:r>
          </w:p>
        </w:tc>
        <w:tc>
          <w:tcPr>
            <w:tcW w:type="dxa" w:w="3022"/>
          </w:tcPr>
          <w:p>
            <w:pPr>
              <w:jc w:val="center"/>
            </w:pPr>
            <w:r/>
            <w:r>
              <w:rPr>
                <w:rFonts w:ascii="Times New Roman" w:hAnsi="Times New Roman" w:eastAsia="宋体"/>
                <w:b w:val="0"/>
                <w:sz w:val="21"/>
              </w:rPr>
              <w:t>3.1 %</w:t>
            </w:r>
          </w:p>
        </w:tc>
      </w:tr>
      <w:tr>
        <w:tc>
          <w:tcPr>
            <w:tcW w:type="dxa" w:w="3022"/>
          </w:tcPr>
          <w:p>
            <w:pPr>
              <w:jc w:val="center"/>
            </w:pPr>
            <w:r/>
            <w:r>
              <w:rPr>
                <w:rFonts w:ascii="Times New Roman" w:hAnsi="Times New Roman" w:eastAsia="宋体"/>
                <w:b w:val="0"/>
                <w:sz w:val="21"/>
              </w:rPr>
              <w:t>文化场馆</w:t>
            </w:r>
          </w:p>
        </w:tc>
        <w:tc>
          <w:tcPr>
            <w:tcW w:type="dxa" w:w="3022"/>
          </w:tcPr>
          <w:p>
            <w:pPr>
              <w:jc w:val="center"/>
            </w:pPr>
            <w:r/>
            <w:r>
              <w:rPr>
                <w:rFonts w:ascii="Times New Roman" w:hAnsi="Times New Roman" w:eastAsia="宋体"/>
                <w:b w:val="0"/>
                <w:sz w:val="21"/>
              </w:rPr>
              <w:t>318</w:t>
            </w:r>
          </w:p>
        </w:tc>
        <w:tc>
          <w:tcPr>
            <w:tcW w:type="dxa" w:w="3022"/>
          </w:tcPr>
          <w:p>
            <w:pPr>
              <w:jc w:val="center"/>
            </w:pPr>
            <w:r/>
            <w:r>
              <w:rPr>
                <w:rFonts w:ascii="Times New Roman" w:hAnsi="Times New Roman" w:eastAsia="宋体"/>
                <w:b w:val="0"/>
                <w:sz w:val="21"/>
              </w:rPr>
              <w:t>2.4 %</w:t>
            </w:r>
          </w:p>
        </w:tc>
      </w:tr>
      <w:tr>
        <w:tc>
          <w:tcPr>
            <w:tcW w:type="dxa" w:w="3022"/>
          </w:tcPr>
          <w:p>
            <w:pPr>
              <w:jc w:val="center"/>
            </w:pPr>
            <w:r/>
            <w:r>
              <w:rPr>
                <w:rFonts w:ascii="Times New Roman" w:hAnsi="Times New Roman" w:eastAsia="宋体"/>
                <w:b w:val="0"/>
                <w:sz w:val="21"/>
              </w:rPr>
              <w:t>休闲娱乐</w:t>
            </w:r>
          </w:p>
        </w:tc>
        <w:tc>
          <w:tcPr>
            <w:tcW w:type="dxa" w:w="3022"/>
          </w:tcPr>
          <w:p>
            <w:pPr>
              <w:jc w:val="center"/>
            </w:pPr>
            <w:r/>
            <w:r>
              <w:rPr>
                <w:rFonts w:ascii="Times New Roman" w:hAnsi="Times New Roman" w:eastAsia="宋体"/>
                <w:b w:val="0"/>
                <w:sz w:val="21"/>
              </w:rPr>
              <w:t>242</w:t>
            </w:r>
          </w:p>
        </w:tc>
        <w:tc>
          <w:tcPr>
            <w:tcW w:type="dxa" w:w="3022"/>
          </w:tcPr>
          <w:p>
            <w:pPr>
              <w:jc w:val="center"/>
            </w:pPr>
            <w:r/>
            <w:r>
              <w:rPr>
                <w:rFonts w:ascii="Times New Roman" w:hAnsi="Times New Roman" w:eastAsia="宋体"/>
                <w:b w:val="0"/>
                <w:sz w:val="21"/>
              </w:rPr>
              <w:t>1.8 %</w:t>
            </w:r>
          </w:p>
        </w:tc>
      </w:tr>
      <w:tr>
        <w:tc>
          <w:tcPr>
            <w:tcW w:type="dxa" w:w="3022"/>
          </w:tcPr>
          <w:p>
            <w:pPr>
              <w:jc w:val="center"/>
            </w:pPr>
            <w:r/>
            <w:r>
              <w:rPr>
                <w:rFonts w:ascii="Times New Roman" w:hAnsi="Times New Roman" w:eastAsia="宋体"/>
                <w:b w:val="0"/>
                <w:sz w:val="21"/>
              </w:rPr>
              <w:t>体育设施</w:t>
            </w:r>
          </w:p>
        </w:tc>
        <w:tc>
          <w:tcPr>
            <w:tcW w:type="dxa" w:w="3022"/>
          </w:tcPr>
          <w:p>
            <w:pPr>
              <w:jc w:val="center"/>
            </w:pPr>
            <w:r/>
            <w:r>
              <w:rPr>
                <w:rFonts w:ascii="Times New Roman" w:hAnsi="Times New Roman" w:eastAsia="宋体"/>
                <w:b w:val="0"/>
                <w:sz w:val="21"/>
              </w:rPr>
              <w:t>175</w:t>
            </w:r>
          </w:p>
        </w:tc>
        <w:tc>
          <w:tcPr>
            <w:tcW w:type="dxa" w:w="3022"/>
          </w:tcPr>
          <w:p>
            <w:pPr>
              <w:jc w:val="center"/>
            </w:pPr>
            <w:r/>
            <w:r>
              <w:rPr>
                <w:rFonts w:ascii="Times New Roman" w:hAnsi="Times New Roman" w:eastAsia="宋体"/>
                <w:b w:val="0"/>
                <w:sz w:val="21"/>
              </w:rPr>
              <w:t>1.3 %</w:t>
            </w:r>
          </w:p>
        </w:tc>
      </w:tr>
      <w:tr>
        <w:tc>
          <w:tcPr>
            <w:tcW w:type="dxa" w:w="3022"/>
          </w:tcPr>
          <w:p>
            <w:pPr>
              <w:jc w:val="center"/>
            </w:pPr>
            <w:r/>
            <w:r>
              <w:rPr>
                <w:rFonts w:ascii="Times New Roman" w:hAnsi="Times New Roman" w:eastAsia="宋体"/>
                <w:b w:val="0"/>
                <w:sz w:val="21"/>
              </w:rPr>
              <w:t>非遗体验</w:t>
            </w:r>
          </w:p>
        </w:tc>
        <w:tc>
          <w:tcPr>
            <w:tcW w:type="dxa" w:w="3022"/>
          </w:tcPr>
          <w:p>
            <w:pPr>
              <w:jc w:val="center"/>
            </w:pPr>
            <w:r/>
            <w:r>
              <w:rPr>
                <w:rFonts w:ascii="Times New Roman" w:hAnsi="Times New Roman" w:eastAsia="宋体"/>
                <w:b w:val="0"/>
                <w:sz w:val="21"/>
              </w:rPr>
              <w:t>137</w:t>
            </w:r>
          </w:p>
        </w:tc>
        <w:tc>
          <w:tcPr>
            <w:tcW w:type="dxa" w:w="3022"/>
          </w:tcPr>
          <w:p>
            <w:pPr>
              <w:jc w:val="center"/>
            </w:pPr>
            <w:r/>
            <w:r>
              <w:rPr>
                <w:rFonts w:ascii="Times New Roman" w:hAnsi="Times New Roman" w:eastAsia="宋体"/>
                <w:b w:val="0"/>
                <w:sz w:val="21"/>
              </w:rPr>
              <w:t>1.0 %</w:t>
            </w:r>
          </w:p>
        </w:tc>
      </w:tr>
      <w:tr>
        <w:tc>
          <w:tcPr>
            <w:tcW w:type="dxa" w:w="3022"/>
          </w:tcPr>
          <w:p>
            <w:pPr>
              <w:jc w:val="center"/>
            </w:pPr>
            <w:r/>
            <w:r>
              <w:rPr>
                <w:rFonts w:ascii="Times New Roman" w:hAnsi="Times New Roman" w:eastAsia="宋体"/>
                <w:b w:val="0"/>
                <w:sz w:val="21"/>
              </w:rPr>
              <w:t>教育研学</w:t>
            </w:r>
          </w:p>
        </w:tc>
        <w:tc>
          <w:tcPr>
            <w:tcW w:type="dxa" w:w="3022"/>
          </w:tcPr>
          <w:p>
            <w:pPr>
              <w:jc w:val="center"/>
            </w:pPr>
            <w:r/>
            <w:r>
              <w:rPr>
                <w:rFonts w:ascii="Times New Roman" w:hAnsi="Times New Roman" w:eastAsia="宋体"/>
                <w:b w:val="0"/>
                <w:sz w:val="21"/>
              </w:rPr>
              <w:t>104</w:t>
            </w:r>
          </w:p>
        </w:tc>
        <w:tc>
          <w:tcPr>
            <w:tcW w:type="dxa" w:w="3022"/>
          </w:tcPr>
          <w:p>
            <w:pPr>
              <w:jc w:val="center"/>
            </w:pPr>
            <w:r/>
            <w:r>
              <w:rPr>
                <w:rFonts w:ascii="Times New Roman" w:hAnsi="Times New Roman" w:eastAsia="宋体"/>
                <w:b w:val="0"/>
                <w:sz w:val="21"/>
              </w:rPr>
              <w:t>0.8 %</w:t>
            </w:r>
          </w:p>
        </w:tc>
      </w:tr>
      <w:tr>
        <w:tc>
          <w:tcPr>
            <w:tcW w:type="dxa" w:w="3022"/>
          </w:tcPr>
          <w:p>
            <w:pPr>
              <w:jc w:val="center"/>
            </w:pPr>
            <w:r/>
            <w:r>
              <w:rPr>
                <w:rFonts w:ascii="Times New Roman" w:hAnsi="Times New Roman" w:eastAsia="宋体"/>
                <w:b w:val="0"/>
                <w:sz w:val="21"/>
              </w:rPr>
              <w:t>特色街区</w:t>
            </w:r>
          </w:p>
        </w:tc>
        <w:tc>
          <w:tcPr>
            <w:tcW w:type="dxa" w:w="3022"/>
          </w:tcPr>
          <w:p>
            <w:pPr>
              <w:jc w:val="center"/>
            </w:pPr>
            <w:r/>
            <w:r>
              <w:rPr>
                <w:rFonts w:ascii="Times New Roman" w:hAnsi="Times New Roman" w:eastAsia="宋体"/>
                <w:b w:val="0"/>
                <w:sz w:val="21"/>
              </w:rPr>
              <w:t>53</w:t>
            </w:r>
          </w:p>
        </w:tc>
        <w:tc>
          <w:tcPr>
            <w:tcW w:type="dxa" w:w="3022"/>
          </w:tcPr>
          <w:p>
            <w:pPr>
              <w:jc w:val="center"/>
            </w:pPr>
            <w:r/>
            <w:r>
              <w:rPr>
                <w:rFonts w:ascii="Times New Roman" w:hAnsi="Times New Roman" w:eastAsia="宋体"/>
                <w:b w:val="0"/>
                <w:sz w:val="21"/>
              </w:rPr>
              <w:t>0.4 %</w:t>
            </w:r>
          </w:p>
        </w:tc>
      </w:tr>
      <w:tr>
        <w:tc>
          <w:tcPr>
            <w:tcW w:type="dxa" w:w="3022"/>
          </w:tcPr>
          <w:p>
            <w:pPr>
              <w:jc w:val="center"/>
            </w:pPr>
            <w:r/>
            <w:r>
              <w:rPr>
                <w:rFonts w:ascii="Times New Roman" w:hAnsi="Times New Roman" w:eastAsia="宋体"/>
                <w:b w:val="0"/>
                <w:sz w:val="21"/>
              </w:rPr>
              <w:t>合计</w:t>
            </w:r>
          </w:p>
        </w:tc>
        <w:tc>
          <w:tcPr>
            <w:tcW w:type="dxa" w:w="3022"/>
          </w:tcPr>
          <w:p>
            <w:pPr>
              <w:jc w:val="center"/>
            </w:pPr>
            <w:r/>
            <w:r>
              <w:rPr>
                <w:rFonts w:ascii="Times New Roman" w:hAnsi="Times New Roman" w:eastAsia="宋体"/>
                <w:b w:val="0"/>
                <w:sz w:val="21"/>
              </w:rPr>
              <w:t>13,512</w:t>
            </w:r>
          </w:p>
        </w:tc>
        <w:tc>
          <w:tcPr>
            <w:tcW w:type="dxa" w:w="3022"/>
          </w:tcPr>
          <w:p>
            <w:pPr>
              <w:jc w:val="center"/>
            </w:pPr>
            <w:r/>
            <w:r>
              <w:rPr>
                <w:rFonts w:ascii="Times New Roman" w:hAnsi="Times New Roman" w:eastAsia="宋体"/>
                <w:b w:val="0"/>
                <w:sz w:val="21"/>
              </w:rPr>
              <w:t>100 %</w:t>
            </w:r>
          </w:p>
        </w:tc>
      </w:tr>
    </w:tbl>
    <w:p/>
    <w:p/>
    <w:p>
      <w:pPr>
        <w:spacing w:line="400" w:lineRule="exact" w:before="0" w:after="0"/>
        <w:jc w:val="center"/>
      </w:pPr>
      <w:r>
        <w:rPr>
          <w:rFonts w:ascii="Times New Roman" w:hAnsi="Times New Roman" w:eastAsia="宋体"/>
          <w:b/>
          <w:sz w:val="24"/>
        </w:rPr>
        <w:t>图 5.1　13,512 条 POI 的类型构成与镇街分布</w:t>
      </w:r>
    </w:p>
    <w:p/>
    <w:p>
      <w:pPr>
        <w:jc w:val="center"/>
      </w:pPr>
      <w:r>
        <w:drawing>
          <wp:inline xmlns:a="http://schemas.openxmlformats.org/drawingml/2006/main" xmlns:pic="http://schemas.openxmlformats.org/drawingml/2006/picture">
            <wp:extent cx="5669280" cy="2570686"/>
            <wp:docPr id="4" name="Picture 4"/>
            <wp:cNvGraphicFramePr>
              <a:graphicFrameLocks noChangeAspect="1"/>
            </wp:cNvGraphicFramePr>
            <a:graphic>
              <a:graphicData uri="http://schemas.openxmlformats.org/drawingml/2006/picture">
                <pic:pic>
                  <pic:nvPicPr>
                    <pic:cNvPr id="0" name="thesis_poi_structure.png"/>
                    <pic:cNvPicPr/>
                  </pic:nvPicPr>
                  <pic:blipFill>
                    <a:blip r:embed="rId12"/>
                    <a:stretch>
                      <a:fillRect/>
                    </a:stretch>
                  </pic:blipFill>
                  <pic:spPr>
                    <a:xfrm>
                      <a:off x="0" y="0"/>
                      <a:ext cx="5669280" cy="2570686"/>
                    </a:xfrm>
                    <a:prstGeom prst="rect"/>
                  </pic:spPr>
                </pic:pic>
              </a:graphicData>
            </a:graphic>
          </wp:inline>
        </w:drawing>
      </w:r>
    </w:p>
    <w:p/>
    <w:p>
      <w:pPr>
        <w:pStyle w:val="Heading3"/>
        <w:spacing w:line="400" w:lineRule="exact" w:before="240" w:after="80"/>
        <w:jc w:val="left"/>
      </w:pPr>
      <w:r>
        <w:rPr>
          <w:rFonts w:ascii="Times New Roman" w:hAnsi="Times New Roman" w:eastAsia="宋体"/>
          <w:b/>
          <w:sz w:val="26"/>
        </w:rPr>
        <w:t>5.1.2 镇街分布</w:t>
      </w:r>
    </w:p>
    <w:p/>
    <w:p>
      <w:pPr>
        <w:spacing w:line="400" w:lineRule="exact" w:before="0" w:after="0"/>
        <w:ind w:firstLine="480"/>
      </w:pPr>
      <w:r>
        <w:rPr>
          <w:rFonts w:ascii="Times New Roman" w:hAnsi="Times New Roman" w:eastAsia="宋体"/>
          <w:b w:val="0"/>
          <w:sz w:val="24"/>
        </w:rPr>
        <w:t>按镇街统计，桂城街道（4,174）、里水镇（2,625）、狮山镇（2,233）、大沥镇（2,080）四个东北部镇街合计占据 82.1% 的 POI 供给；西南部的丹灶镇（1,086）、西樵镇（1,055）、九江镇（259）则在供给侧明显偏低。九江镇 POI 数量占全区 1.92%，是 POI 供给最为稀薄的镇街。这一结构与第 6 章的"东旅西文"空间错位格局一致。</w:t>
      </w:r>
    </w:p>
    <w:p/>
    <w:p>
      <w:pPr>
        <w:pStyle w:val="Heading2"/>
        <w:spacing w:line="400" w:lineRule="exact" w:before="240" w:after="80"/>
        <w:jc w:val="left"/>
      </w:pPr>
      <w:r>
        <w:rPr>
          <w:rFonts w:ascii="Times New Roman" w:hAnsi="Times New Roman" w:eastAsia="宋体"/>
          <w:b/>
          <w:sz w:val="28"/>
        </w:rPr>
        <w:t>5.2 文化—旅游耦合桥梁：物质遗产为主、非遗为补充</w:t>
      </w:r>
    </w:p>
    <w:p/>
    <w:p>
      <w:pPr>
        <w:pStyle w:val="Heading3"/>
        <w:spacing w:line="400" w:lineRule="exact" w:before="240" w:after="80"/>
        <w:jc w:val="left"/>
      </w:pPr>
      <w:r>
        <w:rPr>
          <w:rFonts w:ascii="Times New Roman" w:hAnsi="Times New Roman" w:eastAsia="宋体"/>
          <w:b/>
          <w:sz w:val="26"/>
        </w:rPr>
        <w:t>5.2.1 桥梁的操作化设计</w:t>
      </w:r>
    </w:p>
    <w:p/>
    <w:p>
      <w:pPr>
        <w:spacing w:line="400" w:lineRule="exact" w:before="0" w:after="0"/>
        <w:ind w:firstLine="480"/>
      </w:pPr>
      <w:r>
        <w:rPr>
          <w:rFonts w:ascii="Times New Roman" w:hAnsi="Times New Roman" w:eastAsia="宋体"/>
          <w:b w:val="0"/>
          <w:sz w:val="24"/>
        </w:rPr>
        <w:t>本研究的耦合分析严格区分两条线：知识图谱用于表征文化记忆侧的语义结构，耦合分析基于一套独立的、可复核的对照规则。对照规则以"耦合桥梁"为中介向左向右展开：向左匹配到知识图谱的实体（衡量文化记忆），向右匹配到 POI（衡量旅游供给）。</w:t>
      </w:r>
    </w:p>
    <w:p/>
    <w:p>
      <w:pPr>
        <w:spacing w:line="400" w:lineRule="exact" w:before="0" w:after="0"/>
        <w:ind w:firstLine="480"/>
      </w:pPr>
      <w:r>
        <w:rPr>
          <w:rFonts w:ascii="Times New Roman" w:hAnsi="Times New Roman" w:eastAsia="宋体"/>
          <w:b w:val="0"/>
          <w:sz w:val="24"/>
        </w:rPr>
        <w:t>桥梁的主操作化层由 165 条物质文化载体组成，具体构成见表 3.2。这些载体之所以担任主桥梁：其一，天然具备空间坐标，便于与 POI、核密度图层做一致匹配；其二，具备官方保护等级，等级信息可以直接用作指数的权重来源；其三，品牌标识稳定，名称层面也便于与知识图谱的实体做匹配。</w:t>
      </w:r>
    </w:p>
    <w:p/>
    <w:p>
      <w:pPr>
        <w:pStyle w:val="Heading3"/>
        <w:spacing w:line="400" w:lineRule="exact" w:before="240" w:after="80"/>
        <w:jc w:val="left"/>
      </w:pPr>
      <w:r>
        <w:rPr>
          <w:rFonts w:ascii="Times New Roman" w:hAnsi="Times New Roman" w:eastAsia="宋体"/>
          <w:b/>
          <w:sz w:val="26"/>
        </w:rPr>
        <w:t>5.2.2 动态补充：依托空间的非遗项目</w:t>
      </w:r>
    </w:p>
    <w:p/>
    <w:p>
      <w:pPr>
        <w:spacing w:line="400" w:lineRule="exact" w:before="0" w:after="0"/>
        <w:ind w:firstLine="480"/>
      </w:pPr>
      <w:r>
        <w:rPr>
          <w:rFonts w:ascii="Times New Roman" w:hAnsi="Times New Roman" w:eastAsia="宋体"/>
          <w:b w:val="0"/>
          <w:sz w:val="24"/>
        </w:rPr>
        <w:t>91 项非遗中约 36 项拥有明确空间锚点（例如九江双蒸博物馆、西樵醒狮训练基地、松塘龙舟训练场等），作为动态补充并入主桥梁框架一同参与空间匹配；其余约 55 项仅登记传承人地址的项目，作为文化记忆侧的软性加权项，参与文化记忆指数的计算，不直接与 POI 做一一对应，但可在规划建议环节以"注入式"方式进入推荐策略。</w:t>
      </w:r>
    </w:p>
    <w:p/>
    <w:p>
      <w:pPr>
        <w:pStyle w:val="Heading3"/>
        <w:spacing w:line="400" w:lineRule="exact" w:before="240" w:after="80"/>
        <w:jc w:val="left"/>
      </w:pPr>
      <w:r>
        <w:rPr>
          <w:rFonts w:ascii="Times New Roman" w:hAnsi="Times New Roman" w:eastAsia="宋体"/>
          <w:b/>
          <w:sz w:val="26"/>
        </w:rPr>
        <w:t>5.2.3 两条数据线的汇流</w:t>
      </w:r>
    </w:p>
    <w:p/>
    <w:p>
      <w:pPr>
        <w:spacing w:line="400" w:lineRule="exact" w:before="0" w:after="0"/>
        <w:ind w:firstLine="480"/>
      </w:pPr>
      <w:r>
        <w:rPr>
          <w:rFonts w:ascii="Times New Roman" w:hAnsi="Times New Roman" w:eastAsia="宋体"/>
          <w:b w:val="0"/>
          <w:sz w:val="24"/>
        </w:rPr>
        <w:t>文旅系统下的文物保护单位与遗址公园、住建系统下的风景名胜区与历史文化名镇名村和传统村落，在主桥梁清单上汇流为一份 165 条的载体名单。与中期答辩时仅以非遗为主桥梁的口径相比，本轮调整消除了"标题强调非遗、正文掺入物质遗产"的分类不一致，也与南海区实际的条线分工保持一致。</w:t>
      </w:r>
    </w:p>
    <w:p/>
    <w:p>
      <w:pPr>
        <w:pStyle w:val="Heading3"/>
        <w:spacing w:line="400" w:lineRule="exact" w:before="240" w:after="80"/>
        <w:jc w:val="left"/>
      </w:pPr>
      <w:r>
        <w:rPr>
          <w:rFonts w:ascii="Times New Roman" w:hAnsi="Times New Roman" w:eastAsia="宋体"/>
          <w:b/>
          <w:sz w:val="26"/>
        </w:rPr>
        <w:t>5.2.4 匹配规则</w:t>
      </w:r>
    </w:p>
    <w:p/>
    <w:p>
      <w:pPr>
        <w:pStyle w:val="ListBullet"/>
        <w:spacing w:line="400" w:lineRule="exact" w:before="0" w:after="0"/>
      </w:pPr>
      <w:r>
        <w:rPr>
          <w:rFonts w:ascii="Times New Roman" w:hAnsi="Times New Roman" w:eastAsia="宋体"/>
          <w:sz w:val="24"/>
        </w:rPr>
        <w:t>向左：以载体为中介匹配知识图谱中的实体，匹配方式为名称包含（含同义简化，如"九江双蒸酒酿制技艺"简化为"双蒸酒"）加实体类型约束；结果用于衡量文化记忆侧的联通度。</w:t>
      </w:r>
    </w:p>
    <w:p>
      <w:pPr>
        <w:pStyle w:val="ListBullet"/>
        <w:spacing w:line="400" w:lineRule="exact" w:before="0" w:after="0"/>
      </w:pPr>
      <w:r>
        <w:rPr>
          <w:rFonts w:ascii="Times New Roman" w:hAnsi="Times New Roman" w:eastAsia="宋体"/>
          <w:sz w:val="24"/>
        </w:rPr>
        <w:t>向右：以载体为中介匹配 POI，匹配方式为名称包含加 500 米空间缓冲；结果用于衡量旅游供给侧的覆盖度。所有匹配保留证据字段（实体 ID、POI ID、匹配分数），便于论文附录全量列示。</w:t>
      </w:r>
    </w:p>
    <w:p/>
    <w:p>
      <w:pPr>
        <w:pStyle w:val="Heading2"/>
        <w:spacing w:line="400" w:lineRule="exact" w:before="240" w:after="80"/>
        <w:jc w:val="left"/>
      </w:pPr>
      <w:r>
        <w:rPr>
          <w:rFonts w:ascii="Times New Roman" w:hAnsi="Times New Roman" w:eastAsia="宋体"/>
          <w:b/>
          <w:sz w:val="28"/>
        </w:rPr>
        <w:t>5.3 文化—旅游量化指数与错位指数</w:t>
      </w:r>
    </w:p>
    <w:p/>
    <w:p>
      <w:pPr>
        <w:spacing w:line="400" w:lineRule="exact" w:before="0" w:after="0"/>
        <w:ind w:firstLine="480"/>
      </w:pPr>
      <w:r>
        <w:rPr>
          <w:rFonts w:ascii="Times New Roman" w:hAnsi="Times New Roman" w:eastAsia="宋体"/>
          <w:b w:val="0"/>
          <w:sz w:val="24"/>
        </w:rPr>
        <w:t>本节构造四个量化指标，以替代定性判断与简单排序，形成人工分析不易达到的量化发现。全部计算过程与结果见 code/analysis/build_indices.py 与 output/tables/indices_.csv。</w:t>
      </w:r>
    </w:p>
    <w:p/>
    <w:p>
      <w:pPr>
        <w:pStyle w:val="Heading3"/>
        <w:spacing w:line="400" w:lineRule="exact" w:before="240" w:after="80"/>
        <w:jc w:val="left"/>
      </w:pPr>
      <w:r>
        <w:rPr>
          <w:rFonts w:ascii="Times New Roman" w:hAnsi="Times New Roman" w:eastAsia="宋体"/>
          <w:b/>
          <w:sz w:val="26"/>
        </w:rPr>
        <w:t>5.3.1 文化记忆指数（CMI）</w:t>
      </w:r>
    </w:p>
    <w:p/>
    <w:p>
      <w:pPr>
        <w:spacing w:line="400" w:lineRule="exact" w:before="0" w:after="0"/>
        <w:ind w:firstLine="480"/>
      </w:pPr>
      <w:r>
        <w:rPr>
          <w:rFonts w:ascii="Times New Roman" w:hAnsi="Times New Roman" w:eastAsia="宋体"/>
          <w:b w:val="0"/>
          <w:sz w:val="24"/>
        </w:rPr>
        <w:t>对每一条载体 $c$，按名称包含规则匹配知识图谱实体集合 $E_c$，汇总其提及频次 $m_c = \sum_{e \in E_c} mentions_e$；取对数后按 min–max 归一到 [0, 100]：</w:t>
      </w:r>
    </w:p>
    <w:p/>
    <w:p>
      <w:pPr>
        <w:spacing w:line="400" w:lineRule="exact" w:before="0" w:after="0"/>
        <w:jc w:val="center"/>
      </w:pPr>
      <w:r>
        <w:rPr>
          <w:rFonts w:ascii="Times New Roman" w:hAnsi="Times New Roman" w:eastAsia="宋体"/>
          <w:b w:val="0"/>
          <w:sz w:val="24"/>
        </w:rPr>
        <w:t>CMI_c = 100 \times \frac{\log(1 + m_c) - \min \log(1 + m)}{\max \log(1 + m) - \min \log(1 + m)} \tag{5-1}</w:t>
      </w:r>
    </w:p>
    <w:p/>
    <w:p>
      <w:pPr>
        <w:spacing w:line="400" w:lineRule="exact" w:before="0" w:after="0"/>
        <w:ind w:firstLine="480"/>
      </w:pPr>
      <w:r>
        <w:rPr>
          <w:rFonts w:ascii="Times New Roman" w:hAnsi="Times New Roman" w:eastAsia="宋体"/>
          <w:b w:val="0"/>
          <w:sz w:val="24"/>
        </w:rPr>
        <w:t>对单纯依托传承人登记地的非遗项目（约 55 项），按传承人在图谱中的提及频次的 0.5 倍折算，并入对应镇街的文化记忆池。</w:t>
      </w:r>
    </w:p>
    <w:p/>
    <w:p>
      <w:pPr>
        <w:pStyle w:val="Heading3"/>
        <w:spacing w:line="400" w:lineRule="exact" w:before="240" w:after="80"/>
        <w:jc w:val="left"/>
      </w:pPr>
      <w:r>
        <w:rPr>
          <w:rFonts w:ascii="Times New Roman" w:hAnsi="Times New Roman" w:eastAsia="宋体"/>
          <w:b/>
          <w:sz w:val="26"/>
        </w:rPr>
        <w:t>5.3.2 官方认证指数（OAI）</w:t>
      </w:r>
    </w:p>
    <w:p/>
    <w:p>
      <w:pPr>
        <w:spacing w:line="400" w:lineRule="exact" w:before="0" w:after="0"/>
        <w:ind w:firstLine="480"/>
      </w:pPr>
      <w:r>
        <w:rPr>
          <w:rFonts w:ascii="Times New Roman" w:hAnsi="Times New Roman" w:eastAsia="宋体"/>
          <w:b w:val="0"/>
          <w:sz w:val="24"/>
        </w:rPr>
        <w:t>按保护级别赋分：</w:t>
      </w:r>
    </w:p>
    <w:p/>
    <w:p>
      <w:pPr>
        <w:pStyle w:val="ListBullet"/>
        <w:spacing w:line="400" w:lineRule="exact" w:before="0" w:after="0"/>
      </w:pPr>
      <w:r>
        <w:rPr>
          <w:rFonts w:ascii="Times New Roman" w:hAnsi="Times New Roman" w:eastAsia="宋体"/>
          <w:sz w:val="24"/>
        </w:rPr>
        <w:t>全国重点文物保护单位 / 国家级非遗 / 中国历史文化名镇 = 100；</w:t>
      </w:r>
    </w:p>
    <w:p>
      <w:pPr>
        <w:pStyle w:val="ListBullet"/>
        <w:spacing w:line="400" w:lineRule="exact" w:before="0" w:after="0"/>
      </w:pPr>
      <w:r>
        <w:rPr>
          <w:rFonts w:ascii="Times New Roman" w:hAnsi="Times New Roman" w:eastAsia="宋体"/>
          <w:sz w:val="24"/>
        </w:rPr>
        <w:t>省级文物保护单位 / 省级非遗 / 广东省历史文化名村 / 省级传统村落 = 75；</w:t>
      </w:r>
    </w:p>
    <w:p>
      <w:pPr>
        <w:pStyle w:val="ListBullet"/>
        <w:spacing w:line="400" w:lineRule="exact" w:before="0" w:after="0"/>
      </w:pPr>
      <w:r>
        <w:rPr>
          <w:rFonts w:ascii="Times New Roman" w:hAnsi="Times New Roman" w:eastAsia="宋体"/>
          <w:sz w:val="24"/>
        </w:rPr>
        <w:t>市级文物保护单位 / 市级非遗 = 50；</w:t>
      </w:r>
    </w:p>
    <w:p>
      <w:pPr>
        <w:pStyle w:val="ListBullet"/>
        <w:spacing w:line="400" w:lineRule="exact" w:before="0" w:after="0"/>
      </w:pPr>
      <w:r>
        <w:rPr>
          <w:rFonts w:ascii="Times New Roman" w:hAnsi="Times New Roman" w:eastAsia="宋体"/>
          <w:sz w:val="24"/>
        </w:rPr>
        <w:t>区级 = 25；</w:t>
      </w:r>
    </w:p>
    <w:p>
      <w:pPr>
        <w:pStyle w:val="ListBullet"/>
        <w:spacing w:line="400" w:lineRule="exact" w:before="0" w:after="0"/>
      </w:pPr>
      <w:r>
        <w:rPr>
          <w:rFonts w:ascii="Times New Roman" w:hAnsi="Times New Roman" w:eastAsia="宋体"/>
          <w:sz w:val="24"/>
        </w:rPr>
        <w:t>未列入官方认证 = 0。</w:t>
      </w:r>
    </w:p>
    <w:p/>
    <w:p>
      <w:pPr>
        <w:spacing w:line="400" w:lineRule="exact" w:before="0" w:after="0"/>
        <w:ind w:firstLine="480"/>
      </w:pPr>
      <w:r>
        <w:rPr>
          <w:rFonts w:ascii="Times New Roman" w:hAnsi="Times New Roman" w:eastAsia="宋体"/>
          <w:b w:val="0"/>
          <w:sz w:val="24"/>
        </w:rPr>
        <w:t>载体若同时具备多重认证（如既是文物保护单位又是名村），取最大值。</w:t>
      </w:r>
    </w:p>
    <w:p/>
    <w:p>
      <w:pPr>
        <w:pStyle w:val="Heading3"/>
        <w:spacing w:line="400" w:lineRule="exact" w:before="240" w:after="80"/>
        <w:jc w:val="left"/>
      </w:pPr>
      <w:r>
        <w:rPr>
          <w:rFonts w:ascii="Times New Roman" w:hAnsi="Times New Roman" w:eastAsia="宋体"/>
          <w:b/>
          <w:sz w:val="26"/>
        </w:rPr>
        <w:t>5.3.3 旅游热度指数（THI）</w:t>
      </w:r>
    </w:p>
    <w:p/>
    <w:p>
      <w:pPr>
        <w:spacing w:line="400" w:lineRule="exact" w:before="0" w:after="0"/>
        <w:ind w:firstLine="480"/>
      </w:pPr>
      <w:r>
        <w:rPr>
          <w:rFonts w:ascii="Times New Roman" w:hAnsi="Times New Roman" w:eastAsia="宋体"/>
          <w:b w:val="0"/>
          <w:sz w:val="24"/>
        </w:rPr>
        <w:t>以 500 米缓冲内的 POI 数量 $N_c$、相关 POI 的平均评分 $R_c$、相关 POI 的评论总量对数归一 $\log(1 + V_c)$ 为原始值，分别归一到 [0, 100]，再以 40%、20%、40% 加权合成：</w:t>
      </w:r>
    </w:p>
    <w:p/>
    <w:p>
      <w:pPr>
        <w:spacing w:line="400" w:lineRule="exact" w:before="0" w:after="0"/>
        <w:jc w:val="center"/>
      </w:pPr>
      <w:r>
        <w:rPr>
          <w:rFonts w:ascii="Times New Roman" w:hAnsi="Times New Roman" w:eastAsia="宋体"/>
          <w:b w:val="0"/>
          <w:sz w:val="24"/>
        </w:rPr>
        <w:t>THI_c = 0.4 \times \widehat{N_c} + 0.2 \times \widehat{R_c} + 0.4 \times \widehat{\log(1 + V_c)} \tag{5-2}</w:t>
      </w:r>
    </w:p>
    <w:p/>
    <w:p>
      <w:pPr>
        <w:spacing w:line="400" w:lineRule="exact" w:before="0" w:after="0"/>
        <w:ind w:firstLine="480"/>
      </w:pPr>
      <w:r>
        <w:rPr>
          <w:rFonts w:ascii="Times New Roman" w:hAnsi="Times New Roman" w:eastAsia="宋体"/>
          <w:b w:val="0"/>
          <w:sz w:val="24"/>
        </w:rPr>
        <w:t>缓冲半径 500 米与文化锚点与 POI 的挂接逻辑一致（见 poi_cleaner.py 中的 500m 参数），便于复核。</w:t>
      </w:r>
    </w:p>
    <w:p/>
    <w:p>
      <w:pPr>
        <w:pStyle w:val="Heading3"/>
        <w:spacing w:line="400" w:lineRule="exact" w:before="240" w:after="80"/>
        <w:jc w:val="left"/>
      </w:pPr>
      <w:r>
        <w:rPr>
          <w:rFonts w:ascii="Times New Roman" w:hAnsi="Times New Roman" w:eastAsia="宋体"/>
          <w:b/>
          <w:sz w:val="26"/>
        </w:rPr>
        <w:t>5.3.4 错位指数（MI）</w:t>
      </w:r>
    </w:p>
    <w:p/>
    <w:p>
      <w:pPr>
        <w:spacing w:line="400" w:lineRule="exact" w:before="0" w:after="0"/>
        <w:ind w:firstLine="480"/>
      </w:pPr>
      <w:r>
        <w:rPr>
          <w:rFonts w:ascii="Times New Roman" w:hAnsi="Times New Roman" w:eastAsia="宋体"/>
          <w:b w:val="0"/>
          <w:sz w:val="24"/>
        </w:rPr>
        <w:t>以加权差值形式给出：</w:t>
      </w:r>
    </w:p>
    <w:p/>
    <w:p>
      <w:pPr>
        <w:spacing w:line="400" w:lineRule="exact" w:before="0" w:after="0"/>
        <w:jc w:val="center"/>
      </w:pPr>
      <w:r>
        <w:rPr>
          <w:rFonts w:ascii="Times New Roman" w:hAnsi="Times New Roman" w:eastAsia="宋体"/>
          <w:b w:val="0"/>
          <w:sz w:val="24"/>
        </w:rPr>
        <w:t>MI_c = THI_c - \alpha \cdot CMI_c - \beta \cdot OAI_c, \quad \alpha = \beta = 0.5 \tag{5-3}</w:t>
      </w:r>
    </w:p>
    <w:p/>
    <w:p>
      <w:pPr>
        <w:spacing w:line="400" w:lineRule="exact" w:before="0" w:after="0"/>
        <w:ind w:firstLine="480"/>
      </w:pPr>
      <w:r>
        <w:rPr>
          <w:rFonts w:ascii="Times New Roman" w:hAnsi="Times New Roman" w:eastAsia="宋体"/>
          <w:b w:val="0"/>
          <w:sz w:val="24"/>
        </w:rPr>
        <w:t>$MI$ 为正表示旅游热度相对强于文化家底（"有形无魂"倾向），$MI$ 为负表示文化家底未被转化为旅游热度（"沉睡潜力"倾向），绝对值大小衡量错位强度。权重 $\alpha = \beta = 0.5$ 为等权先验；第 6.3 节将通过相关分析考察校准的可能性。</w:t>
      </w:r>
    </w:p>
    <w:p/>
    <w:p>
      <w:pPr>
        <w:pStyle w:val="Heading3"/>
        <w:spacing w:line="400" w:lineRule="exact" w:before="240" w:after="80"/>
        <w:jc w:val="left"/>
      </w:pPr>
      <w:r>
        <w:rPr>
          <w:rFonts w:ascii="Times New Roman" w:hAnsi="Times New Roman" w:eastAsia="宋体"/>
          <w:b/>
          <w:sz w:val="26"/>
        </w:rPr>
        <w:t>5.3.5 结果分层</w:t>
      </w:r>
    </w:p>
    <w:p/>
    <w:p>
      <w:pPr>
        <w:spacing w:line="400" w:lineRule="exact" w:before="0" w:after="0"/>
        <w:ind w:firstLine="480"/>
      </w:pPr>
      <w:r>
        <w:rPr>
          <w:rFonts w:ascii="Times New Roman" w:hAnsi="Times New Roman" w:eastAsia="宋体"/>
          <w:b w:val="0"/>
          <w:sz w:val="24"/>
        </w:rPr>
        <w:t>将 165 条载体按如下规则划分为四个象限（计数见表 5.2）：</w:t>
      </w:r>
    </w:p>
    <w:p/>
    <w:p>
      <w:pPr>
        <w:spacing w:line="400" w:lineRule="exact" w:before="0" w:after="0"/>
        <w:jc w:val="center"/>
      </w:pPr>
      <w:r>
        <w:rPr>
          <w:rFonts w:ascii="Times New Roman" w:hAnsi="Times New Roman" w:eastAsia="宋体"/>
          <w:b/>
          <w:sz w:val="24"/>
        </w:rPr>
        <w:t>表 5.2　错位分层四象限的载体计数</w:t>
      </w:r>
    </w:p>
    <w:p/>
    <w:tbl>
      <w:tblPr>
        <w:tblStyle w:val="TableGrid"/>
        <w:tblW w:type="auto" w:w="0"/>
        <w:tblLayout w:type="autofit"/>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1"/>
              </w:rPr>
              <w:t>类别</w:t>
            </w:r>
          </w:p>
        </w:tc>
        <w:tc>
          <w:tcPr>
            <w:tcW w:type="dxa" w:w="1511"/>
          </w:tcPr>
          <w:p>
            <w:pPr>
              <w:jc w:val="center"/>
            </w:pPr>
            <w:r/>
            <w:r>
              <w:rPr>
                <w:rFonts w:ascii="Times New Roman" w:hAnsi="Times New Roman" w:eastAsia="宋体"/>
                <w:b/>
                <w:sz w:val="21"/>
              </w:rPr>
              <w:t>判别规则</w:t>
            </w:r>
          </w:p>
        </w:tc>
        <w:tc>
          <w:tcPr>
            <w:tcW w:type="dxa" w:w="1511"/>
          </w:tcPr>
          <w:p>
            <w:pPr>
              <w:jc w:val="center"/>
            </w:pPr>
            <w:r/>
            <w:r>
              <w:rPr>
                <w:rFonts w:ascii="Times New Roman" w:hAnsi="Times New Roman" w:eastAsia="宋体"/>
                <w:b/>
                <w:sz w:val="21"/>
              </w:rPr>
              <w:t>载体数</w:t>
            </w:r>
          </w:p>
        </w:tc>
        <w:tc>
          <w:tcPr>
            <w:tcW w:type="dxa" w:w="1511"/>
          </w:tcPr>
          <w:p>
            <w:pPr>
              <w:jc w:val="center"/>
            </w:pPr>
            <w:r/>
            <w:r>
              <w:rPr>
                <w:rFonts w:ascii="Times New Roman" w:hAnsi="Times New Roman" w:eastAsia="宋体"/>
                <w:b/>
                <w:sz w:val="21"/>
              </w:rPr>
              <w:t>占比</w:t>
            </w:r>
          </w:p>
        </w:tc>
        <w:tc>
          <w:tcPr>
            <w:tcW w:type="dxa" w:w="1511"/>
          </w:tcPr>
          <w:p>
            <w:pPr>
              <w:jc w:val="center"/>
            </w:pPr>
            <w:r/>
            <w:r>
              <w:rPr>
                <w:rFonts w:ascii="Times New Roman" w:hAnsi="Times New Roman" w:eastAsia="宋体"/>
                <w:b/>
                <w:sz w:val="21"/>
              </w:rPr>
            </w:r>
          </w:p>
        </w:tc>
        <w:tc>
          <w:tcPr>
            <w:tcW w:type="dxa" w:w="1511"/>
          </w:tcPr>
          <w:p>
            <w:pPr>
              <w:jc w:val="center"/>
            </w:pPr>
            <w:r/>
            <w:r>
              <w:rPr>
                <w:rFonts w:ascii="Times New Roman" w:hAnsi="Times New Roman" w:eastAsia="宋体"/>
                <w:b/>
                <w:sz w:val="21"/>
              </w:rPr>
            </w:r>
          </w:p>
        </w:tc>
      </w:tr>
      <w:tr>
        <w:tc>
          <w:tcPr>
            <w:tcW w:type="dxa" w:w="1511"/>
          </w:tcPr>
          <w:p>
            <w:pPr>
              <w:jc w:val="center"/>
            </w:pPr>
            <w:r/>
            <w:r>
              <w:rPr>
                <w:rFonts w:ascii="Times New Roman" w:hAnsi="Times New Roman" w:eastAsia="宋体"/>
                <w:b w:val="0"/>
                <w:sz w:val="21"/>
              </w:rPr>
              <w:t>核心耦合区</w:t>
            </w:r>
          </w:p>
        </w:tc>
        <w:tc>
          <w:tcPr>
            <w:tcW w:type="dxa" w:w="1511"/>
          </w:tcPr>
          <w:p>
            <w:pPr>
              <w:jc w:val="center"/>
            </w:pPr>
            <w:r/>
            <w:r>
              <w:rPr>
                <w:rFonts w:ascii="Times New Roman" w:hAnsi="Times New Roman" w:eastAsia="宋体"/>
                <w:b w:val="0"/>
                <w:sz w:val="21"/>
              </w:rPr>
              <w:t>\</w:t>
            </w:r>
          </w:p>
        </w:tc>
        <w:tc>
          <w:tcPr>
            <w:tcW w:type="dxa" w:w="1511"/>
          </w:tcPr>
          <w:p>
            <w:pPr>
              <w:jc w:val="center"/>
            </w:pPr>
            <w:r/>
            <w:r>
              <w:rPr>
                <w:rFonts w:ascii="Times New Roman" w:hAnsi="Times New Roman" w:eastAsia="宋体"/>
                <w:b w:val="0"/>
                <w:sz w:val="21"/>
              </w:rPr>
              <w:t>MI\</w:t>
            </w:r>
          </w:p>
        </w:tc>
        <w:tc>
          <w:tcPr>
            <w:tcW w:type="dxa" w:w="1511"/>
          </w:tcPr>
          <w:p>
            <w:pPr>
              <w:jc w:val="center"/>
            </w:pPr>
            <w:r/>
            <w:r>
              <w:rPr>
                <w:rFonts w:ascii="Times New Roman" w:hAnsi="Times New Roman" w:eastAsia="宋体"/>
                <w:b w:val="0"/>
                <w:sz w:val="21"/>
              </w:rPr>
              <w:t>≤ 10 且 CMI ≥ 50 且 THI ≥ 50</w:t>
            </w:r>
          </w:p>
        </w:tc>
        <w:tc>
          <w:tcPr>
            <w:tcW w:type="dxa" w:w="1511"/>
          </w:tcPr>
          <w:p>
            <w:pPr>
              <w:jc w:val="center"/>
            </w:pPr>
            <w:r/>
            <w:r>
              <w:rPr>
                <w:rFonts w:ascii="Times New Roman" w:hAnsi="Times New Roman" w:eastAsia="宋体"/>
                <w:b w:val="0"/>
                <w:sz w:val="21"/>
              </w:rPr>
              <w:t>10</w:t>
            </w:r>
          </w:p>
        </w:tc>
        <w:tc>
          <w:tcPr>
            <w:tcW w:type="dxa" w:w="1511"/>
          </w:tcPr>
          <w:p>
            <w:pPr>
              <w:jc w:val="center"/>
            </w:pPr>
            <w:r/>
            <w:r>
              <w:rPr>
                <w:rFonts w:ascii="Times New Roman" w:hAnsi="Times New Roman" w:eastAsia="宋体"/>
                <w:b w:val="0"/>
                <w:sz w:val="21"/>
              </w:rPr>
              <w:t>6.1 %</w:t>
            </w:r>
          </w:p>
        </w:tc>
      </w:tr>
      <w:tr>
        <w:tc>
          <w:tcPr>
            <w:tcW w:type="dxa" w:w="1511"/>
          </w:tcPr>
          <w:p>
            <w:pPr>
              <w:jc w:val="center"/>
            </w:pPr>
            <w:r/>
            <w:r>
              <w:rPr>
                <w:rFonts w:ascii="Times New Roman" w:hAnsi="Times New Roman" w:eastAsia="宋体"/>
                <w:b w:val="0"/>
                <w:sz w:val="21"/>
              </w:rPr>
              <w:t>一般耦合区</w:t>
            </w:r>
          </w:p>
        </w:tc>
        <w:tc>
          <w:tcPr>
            <w:tcW w:type="dxa" w:w="1511"/>
          </w:tcPr>
          <w:p>
            <w:pPr>
              <w:jc w:val="center"/>
            </w:pPr>
            <w:r/>
            <w:r>
              <w:rPr>
                <w:rFonts w:ascii="Times New Roman" w:hAnsi="Times New Roman" w:eastAsia="宋体"/>
                <w:b w:val="0"/>
                <w:sz w:val="21"/>
              </w:rPr>
              <w:t>\</w:t>
            </w:r>
          </w:p>
        </w:tc>
        <w:tc>
          <w:tcPr>
            <w:tcW w:type="dxa" w:w="1511"/>
          </w:tcPr>
          <w:p>
            <w:pPr>
              <w:jc w:val="center"/>
            </w:pPr>
            <w:r/>
            <w:r>
              <w:rPr>
                <w:rFonts w:ascii="Times New Roman" w:hAnsi="Times New Roman" w:eastAsia="宋体"/>
                <w:b w:val="0"/>
                <w:sz w:val="21"/>
              </w:rPr>
              <w:t>MI\</w:t>
            </w:r>
          </w:p>
        </w:tc>
        <w:tc>
          <w:tcPr>
            <w:tcW w:type="dxa" w:w="1511"/>
          </w:tcPr>
          <w:p>
            <w:pPr>
              <w:jc w:val="center"/>
            </w:pPr>
            <w:r/>
            <w:r>
              <w:rPr>
                <w:rFonts w:ascii="Times New Roman" w:hAnsi="Times New Roman" w:eastAsia="宋体"/>
                <w:b w:val="0"/>
                <w:sz w:val="21"/>
              </w:rPr>
              <w:t>≤ 10（或不满足其他类别）</w:t>
            </w:r>
          </w:p>
        </w:tc>
        <w:tc>
          <w:tcPr>
            <w:tcW w:type="dxa" w:w="1511"/>
          </w:tcPr>
          <w:p>
            <w:pPr>
              <w:jc w:val="center"/>
            </w:pPr>
            <w:r/>
            <w:r>
              <w:rPr>
                <w:rFonts w:ascii="Times New Roman" w:hAnsi="Times New Roman" w:eastAsia="宋体"/>
                <w:b w:val="0"/>
                <w:sz w:val="21"/>
              </w:rPr>
              <w:t>55</w:t>
            </w:r>
          </w:p>
        </w:tc>
        <w:tc>
          <w:tcPr>
            <w:tcW w:type="dxa" w:w="1511"/>
          </w:tcPr>
          <w:p>
            <w:pPr>
              <w:jc w:val="center"/>
            </w:pPr>
            <w:r/>
            <w:r>
              <w:rPr>
                <w:rFonts w:ascii="Times New Roman" w:hAnsi="Times New Roman" w:eastAsia="宋体"/>
                <w:b w:val="0"/>
                <w:sz w:val="21"/>
              </w:rPr>
              <w:t>33.3 %</w:t>
            </w:r>
          </w:p>
        </w:tc>
      </w:tr>
      <w:tr>
        <w:tc>
          <w:tcPr>
            <w:tcW w:type="dxa" w:w="1511"/>
          </w:tcPr>
          <w:p>
            <w:pPr>
              <w:jc w:val="center"/>
            </w:pPr>
            <w:r/>
            <w:r>
              <w:rPr>
                <w:rFonts w:ascii="Times New Roman" w:hAnsi="Times New Roman" w:eastAsia="宋体"/>
                <w:b w:val="0"/>
                <w:sz w:val="21"/>
              </w:rPr>
              <w:t>沉睡潜力区</w:t>
            </w:r>
          </w:p>
        </w:tc>
        <w:tc>
          <w:tcPr>
            <w:tcW w:type="dxa" w:w="1511"/>
          </w:tcPr>
          <w:p>
            <w:pPr>
              <w:jc w:val="center"/>
            </w:pPr>
            <w:r/>
            <w:r>
              <w:rPr>
                <w:rFonts w:ascii="Times New Roman" w:hAnsi="Times New Roman" w:eastAsia="宋体"/>
                <w:b w:val="0"/>
                <w:sz w:val="21"/>
              </w:rPr>
              <w:t>MI  THI</w:t>
            </w:r>
          </w:p>
        </w:tc>
        <w:tc>
          <w:tcPr>
            <w:tcW w:type="dxa" w:w="1511"/>
          </w:tcPr>
          <w:p>
            <w:pPr>
              <w:jc w:val="center"/>
            </w:pPr>
            <w:r/>
            <w:r>
              <w:rPr>
                <w:rFonts w:ascii="Times New Roman" w:hAnsi="Times New Roman" w:eastAsia="宋体"/>
                <w:b w:val="0"/>
                <w:sz w:val="21"/>
              </w:rPr>
              <w:t>47</w:t>
            </w:r>
          </w:p>
        </w:tc>
        <w:tc>
          <w:tcPr>
            <w:tcW w:type="dxa" w:w="1511"/>
          </w:tcPr>
          <w:p>
            <w:pPr>
              <w:jc w:val="center"/>
            </w:pPr>
            <w:r/>
            <w:r>
              <w:rPr>
                <w:rFonts w:ascii="Times New Roman" w:hAnsi="Times New Roman" w:eastAsia="宋体"/>
                <w:b w:val="0"/>
                <w:sz w:val="21"/>
              </w:rPr>
              <w:t>28.5 %</w:t>
            </w:r>
          </w:p>
        </w:tc>
        <w:tc>
          <w:tcPr>
            <w:tcW w:type="dxa" w:w="1511"/>
          </w:tcPr>
          <w:p>
            <w:pPr>
              <w:jc w:val="center"/>
            </w:pPr>
            <w:r/>
            <w:r>
              <w:rPr>
                <w:rFonts w:ascii="Times New Roman" w:hAnsi="Times New Roman" w:eastAsia="宋体"/>
                <w:b w:val="0"/>
                <w:sz w:val="21"/>
              </w:rPr>
            </w:r>
          </w:p>
        </w:tc>
        <w:tc>
          <w:tcPr>
            <w:tcW w:type="dxa" w:w="1511"/>
          </w:tcPr>
          <w:p>
            <w:pPr>
              <w:jc w:val="center"/>
            </w:pPr>
            <w:r/>
            <w:r>
              <w:rPr>
                <w:rFonts w:ascii="Times New Roman" w:hAnsi="Times New Roman" w:eastAsia="宋体"/>
                <w:b w:val="0"/>
                <w:sz w:val="21"/>
              </w:rPr>
            </w:r>
          </w:p>
        </w:tc>
      </w:tr>
      <w:tr>
        <w:tc>
          <w:tcPr>
            <w:tcW w:type="dxa" w:w="1511"/>
          </w:tcPr>
          <w:p>
            <w:pPr>
              <w:jc w:val="center"/>
            </w:pPr>
            <w:r/>
            <w:r>
              <w:rPr>
                <w:rFonts w:ascii="Times New Roman" w:hAnsi="Times New Roman" w:eastAsia="宋体"/>
                <w:b w:val="0"/>
                <w:sz w:val="21"/>
              </w:rPr>
              <w:t>空心景点区</w:t>
            </w:r>
          </w:p>
        </w:tc>
        <w:tc>
          <w:tcPr>
            <w:tcW w:type="dxa" w:w="1511"/>
          </w:tcPr>
          <w:p>
            <w:pPr>
              <w:jc w:val="center"/>
            </w:pPr>
            <w:r/>
            <w:r>
              <w:rPr>
                <w:rFonts w:ascii="Times New Roman" w:hAnsi="Times New Roman" w:eastAsia="宋体"/>
                <w:b w:val="0"/>
                <w:sz w:val="21"/>
              </w:rPr>
              <w:t>MI &gt; 10 且 THI &gt; CMI</w:t>
            </w:r>
          </w:p>
        </w:tc>
        <w:tc>
          <w:tcPr>
            <w:tcW w:type="dxa" w:w="1511"/>
          </w:tcPr>
          <w:p>
            <w:pPr>
              <w:jc w:val="center"/>
            </w:pPr>
            <w:r/>
            <w:r>
              <w:rPr>
                <w:rFonts w:ascii="Times New Roman" w:hAnsi="Times New Roman" w:eastAsia="宋体"/>
                <w:b w:val="0"/>
                <w:sz w:val="21"/>
              </w:rPr>
              <w:t>53</w:t>
            </w:r>
          </w:p>
        </w:tc>
        <w:tc>
          <w:tcPr>
            <w:tcW w:type="dxa" w:w="1511"/>
          </w:tcPr>
          <w:p>
            <w:pPr>
              <w:jc w:val="center"/>
            </w:pPr>
            <w:r/>
            <w:r>
              <w:rPr>
                <w:rFonts w:ascii="Times New Roman" w:hAnsi="Times New Roman" w:eastAsia="宋体"/>
                <w:b w:val="0"/>
                <w:sz w:val="21"/>
              </w:rPr>
              <w:t>32.1 %</w:t>
            </w:r>
          </w:p>
        </w:tc>
        <w:tc>
          <w:tcPr>
            <w:tcW w:type="dxa" w:w="1511"/>
          </w:tcPr>
          <w:p>
            <w:pPr>
              <w:jc w:val="center"/>
            </w:pPr>
            <w:r/>
            <w:r>
              <w:rPr>
                <w:rFonts w:ascii="Times New Roman" w:hAnsi="Times New Roman" w:eastAsia="宋体"/>
                <w:b w:val="0"/>
                <w:sz w:val="21"/>
              </w:rPr>
            </w:r>
          </w:p>
        </w:tc>
        <w:tc>
          <w:tcPr>
            <w:tcW w:type="dxa" w:w="1511"/>
          </w:tcPr>
          <w:p>
            <w:pPr>
              <w:jc w:val="center"/>
            </w:pPr>
            <w:r/>
            <w:r>
              <w:rPr>
                <w:rFonts w:ascii="Times New Roman" w:hAnsi="Times New Roman" w:eastAsia="宋体"/>
                <w:b w:val="0"/>
                <w:sz w:val="21"/>
              </w:rPr>
            </w:r>
          </w:p>
        </w:tc>
      </w:tr>
      <w:tr>
        <w:tc>
          <w:tcPr>
            <w:tcW w:type="dxa" w:w="1511"/>
          </w:tcPr>
          <w:p>
            <w:pPr>
              <w:jc w:val="center"/>
            </w:pPr>
            <w:r/>
            <w:r>
              <w:rPr>
                <w:rFonts w:ascii="Times New Roman" w:hAnsi="Times New Roman" w:eastAsia="宋体"/>
                <w:b w:val="0"/>
                <w:sz w:val="21"/>
              </w:rPr>
              <w:t>合计</w:t>
            </w:r>
          </w:p>
        </w:tc>
        <w:tc>
          <w:tcPr>
            <w:tcW w:type="dxa" w:w="1511"/>
          </w:tcPr>
          <w:p>
            <w:pPr>
              <w:jc w:val="center"/>
            </w:pPr>
            <w:r/>
            <w:r>
              <w:rPr>
                <w:rFonts w:ascii="Times New Roman" w:hAnsi="Times New Roman" w:eastAsia="宋体"/>
                <w:b w:val="0"/>
                <w:sz w:val="21"/>
              </w:rPr>
              <w:t>—</w:t>
            </w:r>
          </w:p>
        </w:tc>
        <w:tc>
          <w:tcPr>
            <w:tcW w:type="dxa" w:w="1511"/>
          </w:tcPr>
          <w:p>
            <w:pPr>
              <w:jc w:val="center"/>
            </w:pPr>
            <w:r/>
            <w:r>
              <w:rPr>
                <w:rFonts w:ascii="Times New Roman" w:hAnsi="Times New Roman" w:eastAsia="宋体"/>
                <w:b w:val="0"/>
                <w:sz w:val="21"/>
              </w:rPr>
              <w:t>165</w:t>
            </w:r>
          </w:p>
        </w:tc>
        <w:tc>
          <w:tcPr>
            <w:tcW w:type="dxa" w:w="1511"/>
          </w:tcPr>
          <w:p>
            <w:pPr>
              <w:jc w:val="center"/>
            </w:pPr>
            <w:r/>
            <w:r>
              <w:rPr>
                <w:rFonts w:ascii="Times New Roman" w:hAnsi="Times New Roman" w:eastAsia="宋体"/>
                <w:b w:val="0"/>
                <w:sz w:val="21"/>
              </w:rPr>
              <w:t>100 %</w:t>
            </w:r>
          </w:p>
        </w:tc>
        <w:tc>
          <w:tcPr>
            <w:tcW w:type="dxa" w:w="1511"/>
          </w:tcPr>
          <w:p>
            <w:pPr>
              <w:jc w:val="center"/>
            </w:pPr>
            <w:r/>
            <w:r>
              <w:rPr>
                <w:rFonts w:ascii="Times New Roman" w:hAnsi="Times New Roman" w:eastAsia="宋体"/>
                <w:b w:val="0"/>
                <w:sz w:val="21"/>
              </w:rPr>
            </w:r>
          </w:p>
        </w:tc>
        <w:tc>
          <w:tcPr>
            <w:tcW w:type="dxa" w:w="1511"/>
          </w:tcPr>
          <w:p>
            <w:pPr>
              <w:jc w:val="center"/>
            </w:pPr>
            <w:r/>
            <w:r>
              <w:rPr>
                <w:rFonts w:ascii="Times New Roman" w:hAnsi="Times New Roman" w:eastAsia="宋体"/>
                <w:b w:val="0"/>
                <w:sz w:val="21"/>
              </w:rPr>
            </w:r>
          </w:p>
        </w:tc>
      </w:tr>
    </w:tbl>
    <w:p/>
    <w:p/>
    <w:p>
      <w:pPr>
        <w:spacing w:line="400" w:lineRule="exact" w:before="0" w:after="0"/>
        <w:ind w:firstLine="480"/>
      </w:pPr>
      <w:r>
        <w:rPr>
          <w:rFonts w:ascii="Times New Roman" w:hAnsi="Times New Roman" w:eastAsia="宋体"/>
          <w:b w:val="0"/>
          <w:sz w:val="24"/>
        </w:rPr>
        <w:t>其中 MI 四分位数为：p0 = −80.17，p25 = −19.37，p50 = 0.84，p75 = 18.91，p100 = 61.00（output/tables/indices_overview.json）。</w:t>
      </w:r>
    </w:p>
    <w:p/>
    <w:p>
      <w:pPr>
        <w:spacing w:line="400" w:lineRule="exact" w:before="0" w:after="0"/>
        <w:jc w:val="center"/>
      </w:pPr>
      <w:r>
        <w:rPr>
          <w:rFonts w:ascii="Times New Roman" w:hAnsi="Times New Roman" w:eastAsia="宋体"/>
          <w:b/>
          <w:sz w:val="24"/>
        </w:rPr>
        <w:t>图 5.2　500 m 网格文化—旅游分布与错位分层</w:t>
      </w:r>
    </w:p>
    <w:p/>
    <w:p>
      <w:pPr>
        <w:jc w:val="center"/>
      </w:pPr>
      <w:r>
        <w:drawing>
          <wp:inline xmlns:a="http://schemas.openxmlformats.org/drawingml/2006/main" xmlns:pic="http://schemas.openxmlformats.org/drawingml/2006/picture">
            <wp:extent cx="5669280" cy="4243359"/>
            <wp:docPr id="5" name="Picture 5"/>
            <wp:cNvGraphicFramePr>
              <a:graphicFrameLocks noChangeAspect="1"/>
            </wp:cNvGraphicFramePr>
            <a:graphic>
              <a:graphicData uri="http://schemas.openxmlformats.org/drawingml/2006/picture">
                <pic:pic>
                  <pic:nvPicPr>
                    <pic:cNvPr id="0" name="fig2_category_scatter.png"/>
                    <pic:cNvPicPr/>
                  </pic:nvPicPr>
                  <pic:blipFill>
                    <a:blip r:embed="rId13"/>
                    <a:stretch>
                      <a:fillRect/>
                    </a:stretch>
                  </pic:blipFill>
                  <pic:spPr>
                    <a:xfrm>
                      <a:off x="0" y="0"/>
                      <a:ext cx="5669280" cy="4243359"/>
                    </a:xfrm>
                    <a:prstGeom prst="rect"/>
                  </pic:spPr>
                </pic:pic>
              </a:graphicData>
            </a:graphic>
          </wp:inline>
        </w:drawing>
      </w:r>
    </w:p>
    <w:p/>
    <w:p>
      <w:pPr>
        <w:pStyle w:val="Heading3"/>
        <w:spacing w:line="400" w:lineRule="exact" w:before="240" w:after="80"/>
        <w:jc w:val="left"/>
      </w:pPr>
      <w:r>
        <w:rPr>
          <w:rFonts w:ascii="Times New Roman" w:hAnsi="Times New Roman" w:eastAsia="宋体"/>
          <w:b/>
          <w:sz w:val="26"/>
        </w:rPr>
        <w:t>5.3.6 典型案例</w:t>
      </w:r>
    </w:p>
    <w:p/>
    <w:p>
      <w:pPr>
        <w:spacing w:line="400" w:lineRule="exact" w:before="0" w:after="0"/>
        <w:ind w:firstLine="480"/>
      </w:pPr>
      <w:r>
        <w:rPr>
          <w:rFonts w:ascii="Times New Roman" w:hAnsi="Times New Roman" w:eastAsia="宋体"/>
          <w:b w:val="0"/>
          <w:sz w:val="24"/>
        </w:rPr>
        <w:t>沉睡潜力区（MI 最负）典型案例：</w:t>
      </w:r>
    </w:p>
    <w:p/>
    <w:tbl>
      <w:tblPr>
        <w:tblStyle w:val="TableGrid"/>
        <w:tblW w:type="auto" w:w="0"/>
        <w:tblLayout w:type="autofit"/>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1"/>
              </w:rPr>
              <w:t>载体名称</w:t>
            </w:r>
          </w:p>
        </w:tc>
        <w:tc>
          <w:tcPr>
            <w:tcW w:type="dxa" w:w="1511"/>
          </w:tcPr>
          <w:p>
            <w:pPr>
              <w:jc w:val="center"/>
            </w:pPr>
            <w:r/>
            <w:r>
              <w:rPr>
                <w:rFonts w:ascii="Times New Roman" w:hAnsi="Times New Roman" w:eastAsia="宋体"/>
                <w:b/>
                <w:sz w:val="21"/>
              </w:rPr>
              <w:t>镇街</w:t>
            </w:r>
          </w:p>
        </w:tc>
        <w:tc>
          <w:tcPr>
            <w:tcW w:type="dxa" w:w="1511"/>
          </w:tcPr>
          <w:p>
            <w:pPr>
              <w:jc w:val="center"/>
            </w:pPr>
            <w:r/>
            <w:r>
              <w:rPr>
                <w:rFonts w:ascii="Times New Roman" w:hAnsi="Times New Roman" w:eastAsia="宋体"/>
                <w:b/>
                <w:sz w:val="21"/>
              </w:rPr>
              <w:t>CMI</w:t>
            </w:r>
          </w:p>
        </w:tc>
        <w:tc>
          <w:tcPr>
            <w:tcW w:type="dxa" w:w="1511"/>
          </w:tcPr>
          <w:p>
            <w:pPr>
              <w:jc w:val="center"/>
            </w:pPr>
            <w:r/>
            <w:r>
              <w:rPr>
                <w:rFonts w:ascii="Times New Roman" w:hAnsi="Times New Roman" w:eastAsia="宋体"/>
                <w:b/>
                <w:sz w:val="21"/>
              </w:rPr>
              <w:t>OAI</w:t>
            </w:r>
          </w:p>
        </w:tc>
        <w:tc>
          <w:tcPr>
            <w:tcW w:type="dxa" w:w="1511"/>
          </w:tcPr>
          <w:p>
            <w:pPr>
              <w:jc w:val="center"/>
            </w:pPr>
            <w:r/>
            <w:r>
              <w:rPr>
                <w:rFonts w:ascii="Times New Roman" w:hAnsi="Times New Roman" w:eastAsia="宋体"/>
                <w:b/>
                <w:sz w:val="21"/>
              </w:rPr>
              <w:t>THI</w:t>
            </w:r>
          </w:p>
        </w:tc>
        <w:tc>
          <w:tcPr>
            <w:tcW w:type="dxa" w:w="1511"/>
          </w:tcPr>
          <w:p>
            <w:pPr>
              <w:jc w:val="center"/>
            </w:pPr>
            <w:r/>
            <w:r>
              <w:rPr>
                <w:rFonts w:ascii="Times New Roman" w:hAnsi="Times New Roman" w:eastAsia="宋体"/>
                <w:b/>
                <w:sz w:val="21"/>
              </w:rPr>
              <w:t>MI</w:t>
            </w:r>
          </w:p>
        </w:tc>
      </w:tr>
      <w:tr>
        <w:tc>
          <w:tcPr>
            <w:tcW w:type="dxa" w:w="1511"/>
          </w:tcPr>
          <w:p>
            <w:pPr>
              <w:jc w:val="center"/>
            </w:pPr>
            <w:r/>
            <w:r>
              <w:rPr>
                <w:rFonts w:ascii="Times New Roman" w:hAnsi="Times New Roman" w:eastAsia="宋体"/>
                <w:b w:val="0"/>
                <w:sz w:val="21"/>
              </w:rPr>
              <w:t>西樵镇松塘村</w:t>
            </w:r>
          </w:p>
        </w:tc>
        <w:tc>
          <w:tcPr>
            <w:tcW w:type="dxa" w:w="1511"/>
          </w:tcPr>
          <w:p>
            <w:pPr>
              <w:jc w:val="center"/>
            </w:pPr>
            <w:r/>
            <w:r>
              <w:rPr>
                <w:rFonts w:ascii="Times New Roman" w:hAnsi="Times New Roman" w:eastAsia="宋体"/>
                <w:b w:val="0"/>
                <w:sz w:val="21"/>
              </w:rPr>
              <w:t>西樵</w:t>
            </w:r>
          </w:p>
        </w:tc>
        <w:tc>
          <w:tcPr>
            <w:tcW w:type="dxa" w:w="1511"/>
          </w:tcPr>
          <w:p>
            <w:pPr>
              <w:jc w:val="center"/>
            </w:pPr>
            <w:r/>
            <w:r>
              <w:rPr>
                <w:rFonts w:ascii="Times New Roman" w:hAnsi="Times New Roman" w:eastAsia="宋体"/>
                <w:b w:val="0"/>
                <w:sz w:val="21"/>
              </w:rPr>
              <w:t>71.81</w:t>
            </w:r>
          </w:p>
        </w:tc>
        <w:tc>
          <w:tcPr>
            <w:tcW w:type="dxa" w:w="1511"/>
          </w:tcPr>
          <w:p>
            <w:pPr>
              <w:jc w:val="center"/>
            </w:pPr>
            <w:r/>
            <w:r>
              <w:rPr>
                <w:rFonts w:ascii="Times New Roman" w:hAnsi="Times New Roman" w:eastAsia="宋体"/>
                <w:b w:val="0"/>
                <w:sz w:val="21"/>
              </w:rPr>
              <w:t>100.0</w:t>
            </w:r>
          </w:p>
        </w:tc>
        <w:tc>
          <w:tcPr>
            <w:tcW w:type="dxa" w:w="1511"/>
          </w:tcPr>
          <w:p>
            <w:pPr>
              <w:jc w:val="center"/>
            </w:pPr>
            <w:r/>
            <w:r>
              <w:rPr>
                <w:rFonts w:ascii="Times New Roman" w:hAnsi="Times New Roman" w:eastAsia="宋体"/>
                <w:b w:val="0"/>
                <w:sz w:val="21"/>
              </w:rPr>
              <w:t>5.73</w:t>
            </w:r>
          </w:p>
        </w:tc>
        <w:tc>
          <w:tcPr>
            <w:tcW w:type="dxa" w:w="1511"/>
          </w:tcPr>
          <w:p>
            <w:pPr>
              <w:jc w:val="center"/>
            </w:pPr>
            <w:r/>
            <w:r>
              <w:rPr>
                <w:rFonts w:ascii="Times New Roman" w:hAnsi="Times New Roman" w:eastAsia="宋体"/>
                <w:b w:val="0"/>
                <w:sz w:val="21"/>
              </w:rPr>
              <w:t>−80.17</w:t>
            </w:r>
          </w:p>
        </w:tc>
      </w:tr>
      <w:tr>
        <w:tc>
          <w:tcPr>
            <w:tcW w:type="dxa" w:w="1511"/>
          </w:tcPr>
          <w:p>
            <w:pPr>
              <w:jc w:val="center"/>
            </w:pPr>
            <w:r/>
            <w:r>
              <w:rPr>
                <w:rFonts w:ascii="Times New Roman" w:hAnsi="Times New Roman" w:eastAsia="宋体"/>
                <w:b w:val="0"/>
                <w:sz w:val="21"/>
              </w:rPr>
              <w:t>九江镇烟桥烟南村</w:t>
            </w:r>
          </w:p>
        </w:tc>
        <w:tc>
          <w:tcPr>
            <w:tcW w:type="dxa" w:w="1511"/>
          </w:tcPr>
          <w:p>
            <w:pPr>
              <w:jc w:val="center"/>
            </w:pPr>
            <w:r/>
            <w:r>
              <w:rPr>
                <w:rFonts w:ascii="Times New Roman" w:hAnsi="Times New Roman" w:eastAsia="宋体"/>
                <w:b w:val="0"/>
                <w:sz w:val="21"/>
              </w:rPr>
              <w:t>九江</w:t>
            </w:r>
          </w:p>
        </w:tc>
        <w:tc>
          <w:tcPr>
            <w:tcW w:type="dxa" w:w="1511"/>
          </w:tcPr>
          <w:p>
            <w:pPr>
              <w:jc w:val="center"/>
            </w:pPr>
            <w:r/>
            <w:r>
              <w:rPr>
                <w:rFonts w:ascii="Times New Roman" w:hAnsi="Times New Roman" w:eastAsia="宋体"/>
                <w:b w:val="0"/>
                <w:sz w:val="21"/>
              </w:rPr>
              <w:t>77.57</w:t>
            </w:r>
          </w:p>
        </w:tc>
        <w:tc>
          <w:tcPr>
            <w:tcW w:type="dxa" w:w="1511"/>
          </w:tcPr>
          <w:p>
            <w:pPr>
              <w:jc w:val="center"/>
            </w:pPr>
            <w:r/>
            <w:r>
              <w:rPr>
                <w:rFonts w:ascii="Times New Roman" w:hAnsi="Times New Roman" w:eastAsia="宋体"/>
                <w:b w:val="0"/>
                <w:sz w:val="21"/>
              </w:rPr>
              <w:t>100.0</w:t>
            </w:r>
          </w:p>
        </w:tc>
        <w:tc>
          <w:tcPr>
            <w:tcW w:type="dxa" w:w="1511"/>
          </w:tcPr>
          <w:p>
            <w:pPr>
              <w:jc w:val="center"/>
            </w:pPr>
            <w:r/>
            <w:r>
              <w:rPr>
                <w:rFonts w:ascii="Times New Roman" w:hAnsi="Times New Roman" w:eastAsia="宋体"/>
                <w:b w:val="0"/>
                <w:sz w:val="21"/>
              </w:rPr>
              <w:t>9.09</w:t>
            </w:r>
          </w:p>
        </w:tc>
        <w:tc>
          <w:tcPr>
            <w:tcW w:type="dxa" w:w="1511"/>
          </w:tcPr>
          <w:p>
            <w:pPr>
              <w:jc w:val="center"/>
            </w:pPr>
            <w:r/>
            <w:r>
              <w:rPr>
                <w:rFonts w:ascii="Times New Roman" w:hAnsi="Times New Roman" w:eastAsia="宋体"/>
                <w:b w:val="0"/>
                <w:sz w:val="21"/>
              </w:rPr>
              <w:t>−79.70</w:t>
            </w:r>
          </w:p>
        </w:tc>
      </w:tr>
      <w:tr>
        <w:tc>
          <w:tcPr>
            <w:tcW w:type="dxa" w:w="1511"/>
          </w:tcPr>
          <w:p>
            <w:pPr>
              <w:jc w:val="center"/>
            </w:pPr>
            <w:r/>
            <w:r>
              <w:rPr>
                <w:rFonts w:ascii="Times New Roman" w:hAnsi="Times New Roman" w:eastAsia="宋体"/>
                <w:b w:val="0"/>
                <w:sz w:val="21"/>
              </w:rPr>
              <w:t>丹灶镇仙岗社区</w:t>
            </w:r>
          </w:p>
        </w:tc>
        <w:tc>
          <w:tcPr>
            <w:tcW w:type="dxa" w:w="1511"/>
          </w:tcPr>
          <w:p>
            <w:pPr>
              <w:jc w:val="center"/>
            </w:pPr>
            <w:r/>
            <w:r>
              <w:rPr>
                <w:rFonts w:ascii="Times New Roman" w:hAnsi="Times New Roman" w:eastAsia="宋体"/>
                <w:b w:val="0"/>
                <w:sz w:val="21"/>
              </w:rPr>
              <w:t>丹灶</w:t>
            </w:r>
          </w:p>
        </w:tc>
        <w:tc>
          <w:tcPr>
            <w:tcW w:type="dxa" w:w="1511"/>
          </w:tcPr>
          <w:p>
            <w:pPr>
              <w:jc w:val="center"/>
            </w:pPr>
            <w:r/>
            <w:r>
              <w:rPr>
                <w:rFonts w:ascii="Times New Roman" w:hAnsi="Times New Roman" w:eastAsia="宋体"/>
                <w:b w:val="0"/>
                <w:sz w:val="21"/>
              </w:rPr>
              <w:t>57.28</w:t>
            </w:r>
          </w:p>
        </w:tc>
        <w:tc>
          <w:tcPr>
            <w:tcW w:type="dxa" w:w="1511"/>
          </w:tcPr>
          <w:p>
            <w:pPr>
              <w:jc w:val="center"/>
            </w:pPr>
            <w:r/>
            <w:r>
              <w:rPr>
                <w:rFonts w:ascii="Times New Roman" w:hAnsi="Times New Roman" w:eastAsia="宋体"/>
                <w:b w:val="0"/>
                <w:sz w:val="21"/>
              </w:rPr>
              <w:t>100.0</w:t>
            </w:r>
          </w:p>
        </w:tc>
        <w:tc>
          <w:tcPr>
            <w:tcW w:type="dxa" w:w="1511"/>
          </w:tcPr>
          <w:p>
            <w:pPr>
              <w:jc w:val="center"/>
            </w:pPr>
            <w:r/>
            <w:r>
              <w:rPr>
                <w:rFonts w:ascii="Times New Roman" w:hAnsi="Times New Roman" w:eastAsia="宋体"/>
                <w:b w:val="0"/>
                <w:sz w:val="21"/>
              </w:rPr>
              <w:t>5.73</w:t>
            </w:r>
          </w:p>
        </w:tc>
        <w:tc>
          <w:tcPr>
            <w:tcW w:type="dxa" w:w="1511"/>
          </w:tcPr>
          <w:p>
            <w:pPr>
              <w:jc w:val="center"/>
            </w:pPr>
            <w:r/>
            <w:r>
              <w:rPr>
                <w:rFonts w:ascii="Times New Roman" w:hAnsi="Times New Roman" w:eastAsia="宋体"/>
                <w:b w:val="0"/>
                <w:sz w:val="21"/>
              </w:rPr>
              <w:t>−72.91</w:t>
            </w:r>
          </w:p>
        </w:tc>
      </w:tr>
      <w:tr>
        <w:tc>
          <w:tcPr>
            <w:tcW w:type="dxa" w:w="1511"/>
          </w:tcPr>
          <w:p>
            <w:pPr>
              <w:jc w:val="center"/>
            </w:pPr>
            <w:r/>
            <w:r>
              <w:rPr>
                <w:rFonts w:ascii="Times New Roman" w:hAnsi="Times New Roman" w:eastAsia="宋体"/>
                <w:b w:val="0"/>
                <w:sz w:val="21"/>
              </w:rPr>
              <w:t>西樵山仙姑亭</w:t>
            </w:r>
          </w:p>
        </w:tc>
        <w:tc>
          <w:tcPr>
            <w:tcW w:type="dxa" w:w="1511"/>
          </w:tcPr>
          <w:p>
            <w:pPr>
              <w:jc w:val="center"/>
            </w:pPr>
            <w:r/>
            <w:r>
              <w:rPr>
                <w:rFonts w:ascii="Times New Roman" w:hAnsi="Times New Roman" w:eastAsia="宋体"/>
                <w:b w:val="0"/>
                <w:sz w:val="21"/>
              </w:rPr>
              <w:t>西樵</w:t>
            </w:r>
          </w:p>
        </w:tc>
        <w:tc>
          <w:tcPr>
            <w:tcW w:type="dxa" w:w="1511"/>
          </w:tcPr>
          <w:p>
            <w:pPr>
              <w:jc w:val="center"/>
            </w:pPr>
            <w:r/>
            <w:r>
              <w:rPr>
                <w:rFonts w:ascii="Times New Roman" w:hAnsi="Times New Roman" w:eastAsia="宋体"/>
                <w:b w:val="0"/>
                <w:sz w:val="21"/>
              </w:rPr>
              <w:t>91.60</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−70.80</w:t>
            </w:r>
          </w:p>
        </w:tc>
      </w:tr>
      <w:tr>
        <w:tc>
          <w:tcPr>
            <w:tcW w:type="dxa" w:w="1511"/>
          </w:tcPr>
          <w:p>
            <w:pPr>
              <w:jc w:val="center"/>
            </w:pPr>
            <w:r/>
            <w:r>
              <w:rPr>
                <w:rFonts w:ascii="Times New Roman" w:hAnsi="Times New Roman" w:eastAsia="宋体"/>
                <w:b w:val="0"/>
                <w:sz w:val="21"/>
              </w:rPr>
              <w:t>九江镇烟桥村</w:t>
            </w:r>
          </w:p>
        </w:tc>
        <w:tc>
          <w:tcPr>
            <w:tcW w:type="dxa" w:w="1511"/>
          </w:tcPr>
          <w:p>
            <w:pPr>
              <w:jc w:val="center"/>
            </w:pPr>
            <w:r/>
            <w:r>
              <w:rPr>
                <w:rFonts w:ascii="Times New Roman" w:hAnsi="Times New Roman" w:eastAsia="宋体"/>
                <w:b w:val="0"/>
                <w:sz w:val="21"/>
              </w:rPr>
              <w:t>九江</w:t>
            </w:r>
          </w:p>
        </w:tc>
        <w:tc>
          <w:tcPr>
            <w:tcW w:type="dxa" w:w="1511"/>
          </w:tcPr>
          <w:p>
            <w:pPr>
              <w:jc w:val="center"/>
            </w:pPr>
            <w:r/>
            <w:r>
              <w:rPr>
                <w:rFonts w:ascii="Times New Roman" w:hAnsi="Times New Roman" w:eastAsia="宋体"/>
                <w:b w:val="0"/>
                <w:sz w:val="21"/>
              </w:rPr>
              <w:t>77.76</w:t>
            </w:r>
          </w:p>
        </w:tc>
        <w:tc>
          <w:tcPr>
            <w:tcW w:type="dxa" w:w="1511"/>
          </w:tcPr>
          <w:p>
            <w:pPr>
              <w:jc w:val="center"/>
            </w:pPr>
            <w:r/>
            <w:r>
              <w:rPr>
                <w:rFonts w:ascii="Times New Roman" w:hAnsi="Times New Roman" w:eastAsia="宋体"/>
                <w:b w:val="0"/>
                <w:sz w:val="21"/>
              </w:rPr>
              <w:t>75.0</w:t>
            </w:r>
          </w:p>
        </w:tc>
        <w:tc>
          <w:tcPr>
            <w:tcW w:type="dxa" w:w="1511"/>
          </w:tcPr>
          <w:p>
            <w:pPr>
              <w:jc w:val="center"/>
            </w:pPr>
            <w:r/>
            <w:r>
              <w:rPr>
                <w:rFonts w:ascii="Times New Roman" w:hAnsi="Times New Roman" w:eastAsia="宋体"/>
                <w:b w:val="0"/>
                <w:sz w:val="21"/>
              </w:rPr>
              <w:t>9.09</w:t>
            </w:r>
          </w:p>
        </w:tc>
        <w:tc>
          <w:tcPr>
            <w:tcW w:type="dxa" w:w="1511"/>
          </w:tcPr>
          <w:p>
            <w:pPr>
              <w:jc w:val="center"/>
            </w:pPr>
            <w:r/>
            <w:r>
              <w:rPr>
                <w:rFonts w:ascii="Times New Roman" w:hAnsi="Times New Roman" w:eastAsia="宋体"/>
                <w:b w:val="0"/>
                <w:sz w:val="21"/>
              </w:rPr>
              <w:t>−67.29</w:t>
            </w:r>
          </w:p>
        </w:tc>
      </w:tr>
    </w:tbl>
    <w:p/>
    <w:p/>
    <w:p>
      <w:pPr>
        <w:spacing w:line="400" w:lineRule="exact" w:before="0" w:after="0"/>
        <w:ind w:firstLine="480"/>
      </w:pPr>
      <w:r>
        <w:rPr>
          <w:rFonts w:ascii="Times New Roman" w:hAnsi="Times New Roman" w:eastAsia="宋体"/>
          <w:b w:val="0"/>
          <w:sz w:val="24"/>
        </w:rPr>
        <w:t>这些载体在典籍中被大量提及，官方保护等级高，但 500 米缓冲内的 POI 与评论极少，构成最具潜力的转化对象。</w:t>
      </w:r>
    </w:p>
    <w:p/>
    <w:p>
      <w:pPr>
        <w:spacing w:line="400" w:lineRule="exact" w:before="0" w:after="0"/>
        <w:ind w:firstLine="480"/>
      </w:pPr>
      <w:r>
        <w:rPr>
          <w:rFonts w:ascii="Times New Roman" w:hAnsi="Times New Roman" w:eastAsia="宋体"/>
          <w:b w:val="0"/>
          <w:sz w:val="24"/>
        </w:rPr>
        <w:t>空心景点区（MI 最正）典型案例：</w:t>
      </w:r>
    </w:p>
    <w:p/>
    <w:tbl>
      <w:tblPr>
        <w:tblStyle w:val="TableGrid"/>
        <w:tblW w:type="auto" w:w="0"/>
        <w:tblLayout w:type="autofit"/>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1"/>
              </w:rPr>
              <w:t>载体名称</w:t>
            </w:r>
          </w:p>
        </w:tc>
        <w:tc>
          <w:tcPr>
            <w:tcW w:type="dxa" w:w="1511"/>
          </w:tcPr>
          <w:p>
            <w:pPr>
              <w:jc w:val="center"/>
            </w:pPr>
            <w:r/>
            <w:r>
              <w:rPr>
                <w:rFonts w:ascii="Times New Roman" w:hAnsi="Times New Roman" w:eastAsia="宋体"/>
                <w:b/>
                <w:sz w:val="21"/>
              </w:rPr>
              <w:t>镇街</w:t>
            </w:r>
          </w:p>
        </w:tc>
        <w:tc>
          <w:tcPr>
            <w:tcW w:type="dxa" w:w="1511"/>
          </w:tcPr>
          <w:p>
            <w:pPr>
              <w:jc w:val="center"/>
            </w:pPr>
            <w:r/>
            <w:r>
              <w:rPr>
                <w:rFonts w:ascii="Times New Roman" w:hAnsi="Times New Roman" w:eastAsia="宋体"/>
                <w:b/>
                <w:sz w:val="21"/>
              </w:rPr>
              <w:t>CMI</w:t>
            </w:r>
          </w:p>
        </w:tc>
        <w:tc>
          <w:tcPr>
            <w:tcW w:type="dxa" w:w="1511"/>
          </w:tcPr>
          <w:p>
            <w:pPr>
              <w:jc w:val="center"/>
            </w:pPr>
            <w:r/>
            <w:r>
              <w:rPr>
                <w:rFonts w:ascii="Times New Roman" w:hAnsi="Times New Roman" w:eastAsia="宋体"/>
                <w:b/>
                <w:sz w:val="21"/>
              </w:rPr>
              <w:t>OAI</w:t>
            </w:r>
          </w:p>
        </w:tc>
        <w:tc>
          <w:tcPr>
            <w:tcW w:type="dxa" w:w="1511"/>
          </w:tcPr>
          <w:p>
            <w:pPr>
              <w:jc w:val="center"/>
            </w:pPr>
            <w:r/>
            <w:r>
              <w:rPr>
                <w:rFonts w:ascii="Times New Roman" w:hAnsi="Times New Roman" w:eastAsia="宋体"/>
                <w:b/>
                <w:sz w:val="21"/>
              </w:rPr>
              <w:t>THI</w:t>
            </w:r>
          </w:p>
        </w:tc>
        <w:tc>
          <w:tcPr>
            <w:tcW w:type="dxa" w:w="1511"/>
          </w:tcPr>
          <w:p>
            <w:pPr>
              <w:jc w:val="center"/>
            </w:pPr>
            <w:r/>
            <w:r>
              <w:rPr>
                <w:rFonts w:ascii="Times New Roman" w:hAnsi="Times New Roman" w:eastAsia="宋体"/>
                <w:b/>
                <w:sz w:val="21"/>
              </w:rPr>
              <w:t>MI</w:t>
            </w:r>
          </w:p>
        </w:tc>
      </w:tr>
      <w:tr>
        <w:tc>
          <w:tcPr>
            <w:tcW w:type="dxa" w:w="1511"/>
          </w:tcPr>
          <w:p>
            <w:pPr>
              <w:jc w:val="center"/>
            </w:pPr>
            <w:r/>
            <w:r>
              <w:rPr>
                <w:rFonts w:ascii="Times New Roman" w:hAnsi="Times New Roman" w:eastAsia="宋体"/>
                <w:b w:val="0"/>
                <w:sz w:val="21"/>
              </w:rPr>
              <w:t>大伸市</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0.0</w:t>
            </w:r>
          </w:p>
        </w:tc>
        <w:tc>
          <w:tcPr>
            <w:tcW w:type="dxa" w:w="1511"/>
          </w:tcPr>
          <w:p>
            <w:pPr>
              <w:jc w:val="center"/>
            </w:pPr>
            <w:r/>
            <w:r>
              <w:rPr>
                <w:rFonts w:ascii="Times New Roman" w:hAnsi="Times New Roman" w:eastAsia="宋体"/>
                <w:b w:val="0"/>
                <w:sz w:val="21"/>
              </w:rPr>
              <w:t>61.00</w:t>
            </w:r>
          </w:p>
        </w:tc>
        <w:tc>
          <w:tcPr>
            <w:tcW w:type="dxa" w:w="1511"/>
          </w:tcPr>
          <w:p>
            <w:pPr>
              <w:jc w:val="center"/>
            </w:pPr>
            <w:r/>
            <w:r>
              <w:rPr>
                <w:rFonts w:ascii="Times New Roman" w:hAnsi="Times New Roman" w:eastAsia="宋体"/>
                <w:b w:val="0"/>
                <w:sz w:val="21"/>
              </w:rPr>
              <w:t>61.00</w:t>
            </w:r>
          </w:p>
        </w:tc>
      </w:tr>
      <w:tr>
        <w:tc>
          <w:tcPr>
            <w:tcW w:type="dxa" w:w="1511"/>
          </w:tcPr>
          <w:p>
            <w:pPr>
              <w:jc w:val="center"/>
            </w:pPr>
            <w:r/>
            <w:r>
              <w:rPr>
                <w:rFonts w:ascii="Times New Roman" w:hAnsi="Times New Roman" w:eastAsia="宋体"/>
                <w:b w:val="0"/>
                <w:sz w:val="21"/>
              </w:rPr>
              <w:t>光分亭</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77.74</w:t>
            </w:r>
          </w:p>
        </w:tc>
        <w:tc>
          <w:tcPr>
            <w:tcW w:type="dxa" w:w="1511"/>
          </w:tcPr>
          <w:p>
            <w:pPr>
              <w:jc w:val="center"/>
            </w:pPr>
            <w:r/>
            <w:r>
              <w:rPr>
                <w:rFonts w:ascii="Times New Roman" w:hAnsi="Times New Roman" w:eastAsia="宋体"/>
                <w:b w:val="0"/>
                <w:sz w:val="21"/>
              </w:rPr>
              <w:t>52.74</w:t>
            </w:r>
          </w:p>
        </w:tc>
      </w:tr>
      <w:tr>
        <w:tc>
          <w:tcPr>
            <w:tcW w:type="dxa" w:w="1511"/>
          </w:tcPr>
          <w:p>
            <w:pPr>
              <w:jc w:val="center"/>
            </w:pPr>
            <w:r/>
            <w:r>
              <w:rPr>
                <w:rFonts w:ascii="Times New Roman" w:hAnsi="Times New Roman" w:eastAsia="宋体"/>
                <w:b w:val="0"/>
                <w:sz w:val="21"/>
              </w:rPr>
              <w:t>西联村神诞</w:t>
            </w:r>
          </w:p>
        </w:tc>
        <w:tc>
          <w:tcPr>
            <w:tcW w:type="dxa" w:w="1511"/>
          </w:tcPr>
          <w:p>
            <w:pPr>
              <w:jc w:val="center"/>
            </w:pPr>
            <w:r/>
            <w:r>
              <w:rPr>
                <w:rFonts w:ascii="Times New Roman" w:hAnsi="Times New Roman" w:eastAsia="宋体"/>
                <w:b w:val="0"/>
                <w:sz w:val="21"/>
              </w:rPr>
              <w:t>丹灶</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25.0</w:t>
            </w:r>
          </w:p>
        </w:tc>
        <w:tc>
          <w:tcPr>
            <w:tcW w:type="dxa" w:w="1511"/>
          </w:tcPr>
          <w:p>
            <w:pPr>
              <w:jc w:val="center"/>
            </w:pPr>
            <w:r/>
            <w:r>
              <w:rPr>
                <w:rFonts w:ascii="Times New Roman" w:hAnsi="Times New Roman" w:eastAsia="宋体"/>
                <w:b w:val="0"/>
                <w:sz w:val="21"/>
              </w:rPr>
              <w:t>57.88</w:t>
            </w:r>
          </w:p>
        </w:tc>
        <w:tc>
          <w:tcPr>
            <w:tcW w:type="dxa" w:w="1511"/>
          </w:tcPr>
          <w:p>
            <w:pPr>
              <w:jc w:val="center"/>
            </w:pPr>
            <w:r/>
            <w:r>
              <w:rPr>
                <w:rFonts w:ascii="Times New Roman" w:hAnsi="Times New Roman" w:eastAsia="宋体"/>
                <w:b w:val="0"/>
                <w:sz w:val="21"/>
              </w:rPr>
              <w:t>45.38</w:t>
            </w:r>
          </w:p>
        </w:tc>
      </w:tr>
      <w:tr>
        <w:tc>
          <w:tcPr>
            <w:tcW w:type="dxa" w:w="1511"/>
          </w:tcPr>
          <w:p>
            <w:pPr>
              <w:jc w:val="center"/>
            </w:pPr>
            <w:r/>
            <w:r>
              <w:rPr>
                <w:rFonts w:ascii="Times New Roman" w:hAnsi="Times New Roman" w:eastAsia="宋体"/>
                <w:b w:val="0"/>
                <w:sz w:val="21"/>
              </w:rPr>
              <w:t>唢呐制作技艺</w:t>
            </w:r>
          </w:p>
        </w:tc>
        <w:tc>
          <w:tcPr>
            <w:tcW w:type="dxa" w:w="1511"/>
          </w:tcPr>
          <w:p>
            <w:pPr>
              <w:jc w:val="center"/>
            </w:pPr>
            <w:r/>
            <w:r>
              <w:rPr>
                <w:rFonts w:ascii="Times New Roman" w:hAnsi="Times New Roman" w:eastAsia="宋体"/>
                <w:b w:val="0"/>
                <w:sz w:val="21"/>
              </w:rPr>
              <w:t>桂城</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68.81</w:t>
            </w:r>
          </w:p>
        </w:tc>
        <w:tc>
          <w:tcPr>
            <w:tcW w:type="dxa" w:w="1511"/>
          </w:tcPr>
          <w:p>
            <w:pPr>
              <w:jc w:val="center"/>
            </w:pPr>
            <w:r/>
            <w:r>
              <w:rPr>
                <w:rFonts w:ascii="Times New Roman" w:hAnsi="Times New Roman" w:eastAsia="宋体"/>
                <w:b w:val="0"/>
                <w:sz w:val="21"/>
              </w:rPr>
              <w:t>43.81</w:t>
            </w:r>
          </w:p>
        </w:tc>
      </w:tr>
      <w:tr>
        <w:tc>
          <w:tcPr>
            <w:tcW w:type="dxa" w:w="1511"/>
          </w:tcPr>
          <w:p>
            <w:pPr>
              <w:jc w:val="center"/>
            </w:pPr>
            <w:r/>
            <w:r>
              <w:rPr>
                <w:rFonts w:ascii="Times New Roman" w:hAnsi="Times New Roman" w:eastAsia="宋体"/>
                <w:b w:val="0"/>
                <w:sz w:val="21"/>
              </w:rPr>
              <w:t>南海农谚</w:t>
            </w:r>
          </w:p>
        </w:tc>
        <w:tc>
          <w:tcPr>
            <w:tcW w:type="dxa" w:w="1511"/>
          </w:tcPr>
          <w:p>
            <w:pPr>
              <w:jc w:val="center"/>
            </w:pPr>
            <w:r/>
            <w:r>
              <w:rPr>
                <w:rFonts w:ascii="Times New Roman" w:hAnsi="Times New Roman" w:eastAsia="宋体"/>
                <w:b w:val="0"/>
                <w:sz w:val="21"/>
              </w:rPr>
              <w:t>西樵</w:t>
            </w:r>
          </w:p>
        </w:tc>
        <w:tc>
          <w:tcPr>
            <w:tcW w:type="dxa" w:w="1511"/>
          </w:tcPr>
          <w:p>
            <w:pPr>
              <w:jc w:val="center"/>
            </w:pPr>
            <w:r/>
            <w:r>
              <w:rPr>
                <w:rFonts w:ascii="Times New Roman" w:hAnsi="Times New Roman" w:eastAsia="宋体"/>
                <w:b w:val="0"/>
                <w:sz w:val="21"/>
              </w:rPr>
              <w:t>69.39</w:t>
            </w:r>
          </w:p>
        </w:tc>
        <w:tc>
          <w:tcPr>
            <w:tcW w:type="dxa" w:w="1511"/>
          </w:tcPr>
          <w:p>
            <w:pPr>
              <w:jc w:val="center"/>
            </w:pPr>
            <w:r/>
            <w:r>
              <w:rPr>
                <w:rFonts w:ascii="Times New Roman" w:hAnsi="Times New Roman" w:eastAsia="宋体"/>
                <w:b w:val="0"/>
                <w:sz w:val="21"/>
              </w:rPr>
              <w:t>25.0</w:t>
            </w:r>
          </w:p>
        </w:tc>
        <w:tc>
          <w:tcPr>
            <w:tcW w:type="dxa" w:w="1511"/>
          </w:tcPr>
          <w:p>
            <w:pPr>
              <w:jc w:val="center"/>
            </w:pPr>
            <w:r/>
            <w:r>
              <w:rPr>
                <w:rFonts w:ascii="Times New Roman" w:hAnsi="Times New Roman" w:eastAsia="宋体"/>
                <w:b w:val="0"/>
                <w:sz w:val="21"/>
              </w:rPr>
              <w:t>90.88</w:t>
            </w:r>
          </w:p>
        </w:tc>
        <w:tc>
          <w:tcPr>
            <w:tcW w:type="dxa" w:w="1511"/>
          </w:tcPr>
          <w:p>
            <w:pPr>
              <w:jc w:val="center"/>
            </w:pPr>
            <w:r/>
            <w:r>
              <w:rPr>
                <w:rFonts w:ascii="Times New Roman" w:hAnsi="Times New Roman" w:eastAsia="宋体"/>
                <w:b w:val="0"/>
                <w:sz w:val="21"/>
              </w:rPr>
              <w:t>43.68</w:t>
            </w:r>
          </w:p>
        </w:tc>
      </w:tr>
    </w:tbl>
    <w:p/>
    <w:p/>
    <w:p>
      <w:pPr>
        <w:spacing w:line="400" w:lineRule="exact" w:before="0" w:after="0"/>
        <w:ind w:firstLine="480"/>
      </w:pPr>
      <w:r>
        <w:rPr>
          <w:rFonts w:ascii="Times New Roman" w:hAnsi="Times New Roman" w:eastAsia="宋体"/>
          <w:b w:val="0"/>
          <w:sz w:val="24"/>
        </w:rPr>
        <w:t>这些载体所在缓冲范围内 POI 与评论密度较高，但典籍记忆侧几乎为零或极弱，说明其旅游热度主要来自现代公园或交通节点的集聚，缺乏本土文化内容支撑。</w:t>
      </w:r>
    </w:p>
    <w:p/>
    <w:p>
      <w:pPr>
        <w:spacing w:line="400" w:lineRule="exact" w:before="0" w:after="0"/>
        <w:ind w:firstLine="480"/>
      </w:pPr>
      <w:r>
        <w:rPr>
          <w:rFonts w:ascii="Times New Roman" w:hAnsi="Times New Roman" w:eastAsia="宋体"/>
          <w:b w:val="0"/>
          <w:sz w:val="24"/>
        </w:rPr>
        <w:t>核心耦合区典型案例：</w:t>
      </w:r>
    </w:p>
    <w:p/>
    <w:tbl>
      <w:tblPr>
        <w:tblStyle w:val="TableGrid"/>
        <w:tblW w:type="auto" w:w="0"/>
        <w:tblLayout w:type="autofit"/>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1"/>
              </w:rPr>
              <w:t>载体名称</w:t>
            </w:r>
          </w:p>
        </w:tc>
        <w:tc>
          <w:tcPr>
            <w:tcW w:type="dxa" w:w="1511"/>
          </w:tcPr>
          <w:p>
            <w:pPr>
              <w:jc w:val="center"/>
            </w:pPr>
            <w:r/>
            <w:r>
              <w:rPr>
                <w:rFonts w:ascii="Times New Roman" w:hAnsi="Times New Roman" w:eastAsia="宋体"/>
                <w:b/>
                <w:sz w:val="21"/>
              </w:rPr>
              <w:t>镇街</w:t>
            </w:r>
          </w:p>
        </w:tc>
        <w:tc>
          <w:tcPr>
            <w:tcW w:type="dxa" w:w="1511"/>
          </w:tcPr>
          <w:p>
            <w:pPr>
              <w:jc w:val="center"/>
            </w:pPr>
            <w:r/>
            <w:r>
              <w:rPr>
                <w:rFonts w:ascii="Times New Roman" w:hAnsi="Times New Roman" w:eastAsia="宋体"/>
                <w:b/>
                <w:sz w:val="21"/>
              </w:rPr>
              <w:t>CMI</w:t>
            </w:r>
          </w:p>
        </w:tc>
        <w:tc>
          <w:tcPr>
            <w:tcW w:type="dxa" w:w="1511"/>
          </w:tcPr>
          <w:p>
            <w:pPr>
              <w:jc w:val="center"/>
            </w:pPr>
            <w:r/>
            <w:r>
              <w:rPr>
                <w:rFonts w:ascii="Times New Roman" w:hAnsi="Times New Roman" w:eastAsia="宋体"/>
                <w:b/>
                <w:sz w:val="21"/>
              </w:rPr>
              <w:t>OAI</w:t>
            </w:r>
          </w:p>
        </w:tc>
        <w:tc>
          <w:tcPr>
            <w:tcW w:type="dxa" w:w="1511"/>
          </w:tcPr>
          <w:p>
            <w:pPr>
              <w:jc w:val="center"/>
            </w:pPr>
            <w:r/>
            <w:r>
              <w:rPr>
                <w:rFonts w:ascii="Times New Roman" w:hAnsi="Times New Roman" w:eastAsia="宋体"/>
                <w:b/>
                <w:sz w:val="21"/>
              </w:rPr>
              <w:t>THI</w:t>
            </w:r>
          </w:p>
        </w:tc>
        <w:tc>
          <w:tcPr>
            <w:tcW w:type="dxa" w:w="1511"/>
          </w:tcPr>
          <w:p>
            <w:pPr>
              <w:jc w:val="center"/>
            </w:pPr>
            <w:r/>
            <w:r>
              <w:rPr>
                <w:rFonts w:ascii="Times New Roman" w:hAnsi="Times New Roman" w:eastAsia="宋体"/>
                <w:b/>
                <w:sz w:val="21"/>
              </w:rPr>
              <w:t>MI</w:t>
            </w:r>
          </w:p>
        </w:tc>
      </w:tr>
      <w:tr>
        <w:tc>
          <w:tcPr>
            <w:tcW w:type="dxa" w:w="1511"/>
          </w:tcPr>
          <w:p>
            <w:pPr>
              <w:jc w:val="center"/>
            </w:pPr>
            <w:r/>
            <w:r>
              <w:rPr>
                <w:rFonts w:ascii="Times New Roman" w:hAnsi="Times New Roman" w:eastAsia="宋体"/>
                <w:b w:val="0"/>
                <w:sz w:val="21"/>
              </w:rPr>
              <w:t>丹灶葛洪炼丹传说</w:t>
            </w:r>
          </w:p>
        </w:tc>
        <w:tc>
          <w:tcPr>
            <w:tcW w:type="dxa" w:w="1511"/>
          </w:tcPr>
          <w:p>
            <w:pPr>
              <w:jc w:val="center"/>
            </w:pPr>
            <w:r/>
            <w:r>
              <w:rPr>
                <w:rFonts w:ascii="Times New Roman" w:hAnsi="Times New Roman" w:eastAsia="宋体"/>
                <w:b w:val="0"/>
                <w:sz w:val="21"/>
              </w:rPr>
              <w:t>丹灶</w:t>
            </w:r>
          </w:p>
        </w:tc>
        <w:tc>
          <w:tcPr>
            <w:tcW w:type="dxa" w:w="1511"/>
          </w:tcPr>
          <w:p>
            <w:pPr>
              <w:jc w:val="center"/>
            </w:pPr>
            <w:r/>
            <w:r>
              <w:rPr>
                <w:rFonts w:ascii="Times New Roman" w:hAnsi="Times New Roman" w:eastAsia="宋体"/>
                <w:b w:val="0"/>
                <w:sz w:val="21"/>
              </w:rPr>
              <w:t>54.02</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52.84</w:t>
            </w:r>
          </w:p>
        </w:tc>
        <w:tc>
          <w:tcPr>
            <w:tcW w:type="dxa" w:w="1511"/>
          </w:tcPr>
          <w:p>
            <w:pPr>
              <w:jc w:val="center"/>
            </w:pPr>
            <w:r/>
            <w:r>
              <w:rPr>
                <w:rFonts w:ascii="Times New Roman" w:hAnsi="Times New Roman" w:eastAsia="宋体"/>
                <w:b w:val="0"/>
                <w:sz w:val="21"/>
              </w:rPr>
              <w:t>0.83</w:t>
            </w:r>
          </w:p>
        </w:tc>
      </w:tr>
      <w:tr>
        <w:tc>
          <w:tcPr>
            <w:tcW w:type="dxa" w:w="1511"/>
          </w:tcPr>
          <w:p>
            <w:pPr>
              <w:jc w:val="center"/>
            </w:pPr>
            <w:r/>
            <w:r>
              <w:rPr>
                <w:rFonts w:ascii="Times New Roman" w:hAnsi="Times New Roman" w:eastAsia="宋体"/>
                <w:b w:val="0"/>
                <w:sz w:val="21"/>
              </w:rPr>
              <w:t>西樵山传说</w:t>
            </w:r>
          </w:p>
        </w:tc>
        <w:tc>
          <w:tcPr>
            <w:tcW w:type="dxa" w:w="1511"/>
          </w:tcPr>
          <w:p>
            <w:pPr>
              <w:jc w:val="center"/>
            </w:pPr>
            <w:r/>
            <w:r>
              <w:rPr>
                <w:rFonts w:ascii="Times New Roman" w:hAnsi="Times New Roman" w:eastAsia="宋体"/>
                <w:b w:val="0"/>
                <w:sz w:val="21"/>
              </w:rPr>
              <w:t>西樵</w:t>
            </w:r>
          </w:p>
        </w:tc>
        <w:tc>
          <w:tcPr>
            <w:tcW w:type="dxa" w:w="1511"/>
          </w:tcPr>
          <w:p>
            <w:pPr>
              <w:jc w:val="center"/>
            </w:pPr>
            <w:r/>
            <w:r>
              <w:rPr>
                <w:rFonts w:ascii="Times New Roman" w:hAnsi="Times New Roman" w:eastAsia="宋体"/>
                <w:b w:val="0"/>
                <w:sz w:val="21"/>
              </w:rPr>
              <w:t>91.60</w:t>
            </w:r>
          </w:p>
        </w:tc>
        <w:tc>
          <w:tcPr>
            <w:tcW w:type="dxa" w:w="1511"/>
          </w:tcPr>
          <w:p>
            <w:pPr>
              <w:jc w:val="center"/>
            </w:pPr>
            <w:r/>
            <w:r>
              <w:rPr>
                <w:rFonts w:ascii="Times New Roman" w:hAnsi="Times New Roman" w:eastAsia="宋体"/>
                <w:b w:val="0"/>
                <w:sz w:val="21"/>
              </w:rPr>
              <w:t>25.0</w:t>
            </w:r>
          </w:p>
        </w:tc>
        <w:tc>
          <w:tcPr>
            <w:tcW w:type="dxa" w:w="1511"/>
          </w:tcPr>
          <w:p>
            <w:pPr>
              <w:jc w:val="center"/>
            </w:pPr>
            <w:r/>
            <w:r>
              <w:rPr>
                <w:rFonts w:ascii="Times New Roman" w:hAnsi="Times New Roman" w:eastAsia="宋体"/>
                <w:b w:val="0"/>
                <w:sz w:val="21"/>
              </w:rPr>
              <w:t>60.05</w:t>
            </w:r>
          </w:p>
        </w:tc>
        <w:tc>
          <w:tcPr>
            <w:tcW w:type="dxa" w:w="1511"/>
          </w:tcPr>
          <w:p>
            <w:pPr>
              <w:jc w:val="center"/>
            </w:pPr>
            <w:r/>
            <w:r>
              <w:rPr>
                <w:rFonts w:ascii="Times New Roman" w:hAnsi="Times New Roman" w:eastAsia="宋体"/>
                <w:b w:val="0"/>
                <w:sz w:val="21"/>
              </w:rPr>
              <w:t>1.75</w:t>
            </w:r>
          </w:p>
        </w:tc>
      </w:tr>
    </w:tbl>
    <w:p/>
    <w:p/>
    <w:p>
      <w:pPr>
        <w:spacing w:line="400" w:lineRule="exact" w:before="0" w:after="0"/>
        <w:ind w:firstLine="480"/>
      </w:pPr>
      <w:r>
        <w:rPr>
          <w:rFonts w:ascii="Times New Roman" w:hAnsi="Times New Roman" w:eastAsia="宋体"/>
          <w:b w:val="0"/>
          <w:sz w:val="24"/>
        </w:rPr>
        <w:t>这一类载体文化记忆与旅游热度都在中高水平，三个指数基本平衡，是南海区当前文旅融合的示范样本。</w:t>
      </w:r>
    </w:p>
    <w:p/>
    <w:p>
      <w:pPr>
        <w:pStyle w:val="Heading3"/>
        <w:spacing w:line="400" w:lineRule="exact" w:before="240" w:after="80"/>
        <w:jc w:val="left"/>
      </w:pPr>
      <w:r>
        <w:rPr>
          <w:rFonts w:ascii="Times New Roman" w:hAnsi="Times New Roman" w:eastAsia="宋体"/>
          <w:b/>
          <w:sz w:val="26"/>
        </w:rPr>
        <w:t>5.3.7 层级层面观察</w:t>
      </w:r>
    </w:p>
    <w:p/>
    <w:p>
      <w:pPr>
        <w:spacing w:line="400" w:lineRule="exact" w:before="0" w:after="0"/>
        <w:ind w:firstLine="480"/>
      </w:pPr>
      <w:r>
        <w:rPr>
          <w:rFonts w:ascii="Times New Roman" w:hAnsi="Times New Roman" w:eastAsia="宋体"/>
          <w:b w:val="0"/>
          <w:sz w:val="24"/>
        </w:rPr>
        <w:t>按保护级别分组，市级非遗的 THI 中位值与 MI 中位值均明显低于国家级与省级非遗；区级文物在"沉睡潜力区"中占比最高，两个层级都构成潜力政策干预的优先对象（详细数据见附录 C）。</w:t>
      </w:r>
    </w:p>
    <w:p/>
    <w:p>
      <w:pPr>
        <w:pStyle w:val="Heading2"/>
        <w:spacing w:line="400" w:lineRule="exact" w:before="240" w:after="80"/>
        <w:jc w:val="left"/>
      </w:pPr>
      <w:r>
        <w:rPr>
          <w:rFonts w:ascii="Times New Roman" w:hAnsi="Times New Roman" w:eastAsia="宋体"/>
          <w:b/>
          <w:sz w:val="28"/>
        </w:rPr>
        <w:t>5.4 景区等级与游客体验的关联分析（副产品）</w:t>
      </w:r>
    </w:p>
    <w:p/>
    <w:p>
      <w:pPr>
        <w:pStyle w:val="Heading3"/>
        <w:spacing w:line="400" w:lineRule="exact" w:before="240" w:after="80"/>
        <w:jc w:val="left"/>
      </w:pPr>
      <w:r>
        <w:rPr>
          <w:rFonts w:ascii="Times New Roman" w:hAnsi="Times New Roman" w:eastAsia="宋体"/>
          <w:b/>
          <w:sz w:val="26"/>
        </w:rPr>
        <w:t>5.4.1 数据说明</w:t>
      </w:r>
    </w:p>
    <w:p/>
    <w:p>
      <w:pPr>
        <w:spacing w:line="400" w:lineRule="exact" w:before="0" w:after="0"/>
        <w:ind w:firstLine="480"/>
      </w:pPr>
      <w:r>
        <w:rPr>
          <w:rFonts w:ascii="Times New Roman" w:hAnsi="Times New Roman" w:eastAsia="宋体"/>
          <w:b w:val="0"/>
          <w:sz w:val="24"/>
        </w:rPr>
        <w:t>南海区 A 级旅游景区的标签并不直接存在于 POI 原始字段中。本研究以 POI 的平台综合评分（rating）作为品牌吸引力的代理变量；同时依据公开政府与媒体资料，人工整理了 16 处已知的 A 级景区作为校准样本（data/gis/scenic_a_level.json）。该样本包含 1 处 5A、5 处 4A、8 处 3A、2 处 2A，与该方向相关的副产品分析在 output/tables/indices_a_level.csv 与 a_level_correlation.csv。</w:t>
      </w:r>
    </w:p>
    <w:p/>
    <w:p>
      <w:pPr>
        <w:pStyle w:val="Heading3"/>
        <w:spacing w:line="400" w:lineRule="exact" w:before="240" w:after="80"/>
        <w:jc w:val="left"/>
      </w:pPr>
      <w:r>
        <w:rPr>
          <w:rFonts w:ascii="Times New Roman" w:hAnsi="Times New Roman" w:eastAsia="宋体"/>
          <w:b/>
          <w:sz w:val="26"/>
        </w:rPr>
        <w:t>5.4.2 相关性观察</w:t>
      </w:r>
    </w:p>
    <w:p/>
    <w:p>
      <w:pPr>
        <w:spacing w:line="400" w:lineRule="exact" w:before="0" w:after="0"/>
        <w:jc w:val="center"/>
      </w:pPr>
      <w:r>
        <w:rPr>
          <w:rFonts w:ascii="Times New Roman" w:hAnsi="Times New Roman" w:eastAsia="宋体"/>
          <w:b/>
          <w:sz w:val="24"/>
        </w:rPr>
        <w:t>表 5.3　A 级景区副产品相关系数（n = 16）</w:t>
      </w:r>
    </w:p>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jc w:val="center"/>
            </w:pPr>
            <w:r/>
            <w:r>
              <w:rPr>
                <w:rFonts w:ascii="Times New Roman" w:hAnsi="Times New Roman" w:eastAsia="宋体"/>
                <w:b/>
                <w:sz w:val="21"/>
              </w:rPr>
              <w:t>指标对</w:t>
            </w:r>
          </w:p>
        </w:tc>
        <w:tc>
          <w:tcPr>
            <w:tcW w:type="dxa" w:w="3022"/>
          </w:tcPr>
          <w:p>
            <w:pPr>
              <w:jc w:val="center"/>
            </w:pPr>
            <w:r/>
            <w:r>
              <w:rPr>
                <w:rFonts w:ascii="Times New Roman" w:hAnsi="Times New Roman" w:eastAsia="宋体"/>
                <w:b/>
                <w:sz w:val="21"/>
              </w:rPr>
              <w:t>Pearson</w:t>
            </w:r>
          </w:p>
        </w:tc>
        <w:tc>
          <w:tcPr>
            <w:tcW w:type="dxa" w:w="3022"/>
          </w:tcPr>
          <w:p>
            <w:pPr>
              <w:jc w:val="center"/>
            </w:pPr>
            <w:r/>
            <w:r>
              <w:rPr>
                <w:rFonts w:ascii="Times New Roman" w:hAnsi="Times New Roman" w:eastAsia="宋体"/>
                <w:b/>
                <w:sz w:val="21"/>
              </w:rPr>
              <w:t>Spearman</w:t>
            </w:r>
          </w:p>
        </w:tc>
      </w:tr>
      <w:tr>
        <w:tc>
          <w:tcPr>
            <w:tcW w:type="dxa" w:w="3022"/>
          </w:tcPr>
          <w:p>
            <w:pPr>
              <w:jc w:val="center"/>
            </w:pPr>
            <w:r/>
            <w:r>
              <w:rPr>
                <w:rFonts w:ascii="Times New Roman" w:hAnsi="Times New Roman" w:eastAsia="宋体"/>
                <w:b w:val="0"/>
                <w:sz w:val="21"/>
              </w:rPr>
              <w:t>level_score ~ rating</w:t>
            </w:r>
          </w:p>
        </w:tc>
        <w:tc>
          <w:tcPr>
            <w:tcW w:type="dxa" w:w="3022"/>
          </w:tcPr>
          <w:p>
            <w:pPr>
              <w:jc w:val="center"/>
            </w:pPr>
            <w:r/>
            <w:r>
              <w:rPr>
                <w:rFonts w:ascii="Times New Roman" w:hAnsi="Times New Roman" w:eastAsia="宋体"/>
                <w:b w:val="0"/>
                <w:sz w:val="21"/>
              </w:rPr>
              <w:t>0.319</w:t>
            </w:r>
          </w:p>
        </w:tc>
        <w:tc>
          <w:tcPr>
            <w:tcW w:type="dxa" w:w="3022"/>
          </w:tcPr>
          <w:p>
            <w:pPr>
              <w:jc w:val="center"/>
            </w:pPr>
            <w:r/>
            <w:r>
              <w:rPr>
                <w:rFonts w:ascii="Times New Roman" w:hAnsi="Times New Roman" w:eastAsia="宋体"/>
                <w:b w:val="0"/>
                <w:sz w:val="21"/>
              </w:rPr>
              <w:t>0.522</w:t>
            </w:r>
          </w:p>
        </w:tc>
      </w:tr>
      <w:tr>
        <w:tc>
          <w:tcPr>
            <w:tcW w:type="dxa" w:w="3022"/>
          </w:tcPr>
          <w:p>
            <w:pPr>
              <w:jc w:val="center"/>
            </w:pPr>
            <w:r/>
            <w:r>
              <w:rPr>
                <w:rFonts w:ascii="Times New Roman" w:hAnsi="Times New Roman" w:eastAsia="宋体"/>
                <w:b w:val="0"/>
                <w:sz w:val="21"/>
              </w:rPr>
              <w:t>level_score ~ review_count</w:t>
            </w:r>
          </w:p>
        </w:tc>
        <w:tc>
          <w:tcPr>
            <w:tcW w:type="dxa" w:w="3022"/>
          </w:tcPr>
          <w:p>
            <w:pPr>
              <w:jc w:val="center"/>
            </w:pPr>
            <w:r/>
            <w:r>
              <w:rPr>
                <w:rFonts w:ascii="Times New Roman" w:hAnsi="Times New Roman" w:eastAsia="宋体"/>
                <w:b w:val="0"/>
                <w:sz w:val="21"/>
              </w:rPr>
              <w:t>0.546</w:t>
            </w:r>
          </w:p>
        </w:tc>
        <w:tc>
          <w:tcPr>
            <w:tcW w:type="dxa" w:w="3022"/>
          </w:tcPr>
          <w:p>
            <w:pPr>
              <w:jc w:val="center"/>
            </w:pPr>
            <w:r/>
            <w:r>
              <w:rPr>
                <w:rFonts w:ascii="Times New Roman" w:hAnsi="Times New Roman" w:eastAsia="宋体"/>
                <w:b w:val="0"/>
                <w:sz w:val="21"/>
              </w:rPr>
              <w:t>0.554</w:t>
            </w:r>
          </w:p>
        </w:tc>
      </w:tr>
      <w:tr>
        <w:tc>
          <w:tcPr>
            <w:tcW w:type="dxa" w:w="3022"/>
          </w:tcPr>
          <w:p>
            <w:pPr>
              <w:jc w:val="center"/>
            </w:pPr>
            <w:r/>
            <w:r>
              <w:rPr>
                <w:rFonts w:ascii="Times New Roman" w:hAnsi="Times New Roman" w:eastAsia="宋体"/>
                <w:b w:val="0"/>
                <w:sz w:val="21"/>
              </w:rPr>
              <w:t>level_score ~ positive_rate</w:t>
            </w:r>
          </w:p>
        </w:tc>
        <w:tc>
          <w:tcPr>
            <w:tcW w:type="dxa" w:w="3022"/>
          </w:tcPr>
          <w:p>
            <w:pPr>
              <w:jc w:val="center"/>
            </w:pPr>
            <w:r/>
            <w:r>
              <w:rPr>
                <w:rFonts w:ascii="Times New Roman" w:hAnsi="Times New Roman" w:eastAsia="宋体"/>
                <w:b w:val="0"/>
                <w:sz w:val="21"/>
              </w:rPr>
              <w:t>0.206</w:t>
            </w:r>
          </w:p>
        </w:tc>
        <w:tc>
          <w:tcPr>
            <w:tcW w:type="dxa" w:w="3022"/>
          </w:tcPr>
          <w:p>
            <w:pPr>
              <w:jc w:val="center"/>
            </w:pPr>
            <w:r/>
            <w:r>
              <w:rPr>
                <w:rFonts w:ascii="Times New Roman" w:hAnsi="Times New Roman" w:eastAsia="宋体"/>
                <w:b w:val="0"/>
                <w:sz w:val="21"/>
              </w:rPr>
              <w:t>0.230</w:t>
            </w:r>
          </w:p>
        </w:tc>
      </w:tr>
      <w:tr>
        <w:tc>
          <w:tcPr>
            <w:tcW w:type="dxa" w:w="3022"/>
          </w:tcPr>
          <w:p>
            <w:pPr>
              <w:jc w:val="center"/>
            </w:pPr>
            <w:r/>
            <w:r>
              <w:rPr>
                <w:rFonts w:ascii="Times New Roman" w:hAnsi="Times New Roman" w:eastAsia="宋体"/>
                <w:b w:val="0"/>
                <w:sz w:val="21"/>
              </w:rPr>
              <w:t>rating ~ review_count</w:t>
            </w:r>
          </w:p>
        </w:tc>
        <w:tc>
          <w:tcPr>
            <w:tcW w:type="dxa" w:w="3022"/>
          </w:tcPr>
          <w:p>
            <w:pPr>
              <w:jc w:val="center"/>
            </w:pPr>
            <w:r/>
            <w:r>
              <w:rPr>
                <w:rFonts w:ascii="Times New Roman" w:hAnsi="Times New Roman" w:eastAsia="宋体"/>
                <w:b w:val="0"/>
                <w:sz w:val="21"/>
              </w:rPr>
              <w:t>0.270</w:t>
            </w:r>
          </w:p>
        </w:tc>
        <w:tc>
          <w:tcPr>
            <w:tcW w:type="dxa" w:w="3022"/>
          </w:tcPr>
          <w:p>
            <w:pPr>
              <w:jc w:val="center"/>
            </w:pPr>
            <w:r/>
            <w:r>
              <w:rPr>
                <w:rFonts w:ascii="Times New Roman" w:hAnsi="Times New Roman" w:eastAsia="宋体"/>
                <w:b w:val="0"/>
                <w:sz w:val="21"/>
              </w:rPr>
              <w:t>0.392</w:t>
            </w:r>
          </w:p>
        </w:tc>
      </w:tr>
    </w:tbl>
    <w:p/>
    <w:p/>
    <w:p>
      <w:pPr>
        <w:spacing w:line="400" w:lineRule="exact" w:before="0" w:after="0"/>
        <w:ind w:firstLine="480"/>
      </w:pPr>
      <w:r>
        <w:rPr>
          <w:rFonts w:ascii="Times New Roman" w:hAnsi="Times New Roman" w:eastAsia="宋体"/>
          <w:b w:val="0"/>
          <w:sz w:val="24"/>
        </w:rPr>
        <w:t>由上表可见，景区等级分数与评论量存在中等正相关（Pearson r = 0.546、Spearman r = 0.554），与平台评分的 Spearman 相关系数达到 0.522；与正向率的相关性较弱。说明在本案例的小样本下，评级制度对评论关注度、游客评分具备可观察的一致性提升作用，但对情感正向率的独立贡献不明显（情感更多受个体体验差异影响）。</w:t>
      </w:r>
    </w:p>
    <w:p/>
    <w:p>
      <w:pPr>
        <w:spacing w:line="400" w:lineRule="exact" w:before="0" w:after="0"/>
        <w:jc w:val="center"/>
      </w:pPr>
      <w:r>
        <w:rPr>
          <w:rFonts w:ascii="Times New Roman" w:hAnsi="Times New Roman" w:eastAsia="宋体"/>
          <w:b/>
          <w:sz w:val="24"/>
        </w:rPr>
        <w:t>图 5.3　景区评级与评论热度、评分的关系</w:t>
      </w:r>
    </w:p>
    <w:p/>
    <w:p>
      <w:pPr>
        <w:jc w:val="center"/>
      </w:pPr>
      <w:r>
        <w:drawing>
          <wp:inline xmlns:a="http://schemas.openxmlformats.org/drawingml/2006/main" xmlns:pic="http://schemas.openxmlformats.org/drawingml/2006/picture">
            <wp:extent cx="5669280" cy="3146021"/>
            <wp:docPr id="6" name="Picture 6"/>
            <wp:cNvGraphicFramePr>
              <a:graphicFrameLocks noChangeAspect="1"/>
            </wp:cNvGraphicFramePr>
            <a:graphic>
              <a:graphicData uri="http://schemas.openxmlformats.org/drawingml/2006/picture">
                <pic:pic>
                  <pic:nvPicPr>
                    <pic:cNvPr id="0" name="thesis_a_level_correlation.png"/>
                    <pic:cNvPicPr/>
                  </pic:nvPicPr>
                  <pic:blipFill>
                    <a:blip r:embed="rId14"/>
                    <a:stretch>
                      <a:fillRect/>
                    </a:stretch>
                  </pic:blipFill>
                  <pic:spPr>
                    <a:xfrm>
                      <a:off x="0" y="0"/>
                      <a:ext cx="5669280" cy="3146021"/>
                    </a:xfrm>
                    <a:prstGeom prst="rect"/>
                  </pic:spPr>
                </pic:pic>
              </a:graphicData>
            </a:graphic>
          </wp:inline>
        </w:drawing>
      </w:r>
    </w:p>
    <w:p/>
    <w:p>
      <w:pPr>
        <w:pStyle w:val="Heading3"/>
        <w:spacing w:line="400" w:lineRule="exact" w:before="240" w:after="80"/>
        <w:jc w:val="left"/>
      </w:pPr>
      <w:r>
        <w:rPr>
          <w:rFonts w:ascii="Times New Roman" w:hAnsi="Times New Roman" w:eastAsia="宋体"/>
          <w:b/>
          <w:sz w:val="26"/>
        </w:rPr>
        <w:t>5.4.3 对规划的启示</w:t>
      </w:r>
    </w:p>
    <w:p/>
    <w:p>
      <w:pPr>
        <w:spacing w:line="400" w:lineRule="exact" w:before="0" w:after="0"/>
        <w:ind w:firstLine="480"/>
      </w:pPr>
      <w:r>
        <w:rPr>
          <w:rFonts w:ascii="Times New Roman" w:hAnsi="Times New Roman" w:eastAsia="宋体"/>
          <w:b w:val="0"/>
          <w:sz w:val="24"/>
        </w:rPr>
        <w:t>上述观察可以支持把景区评级申报作为规划建议中的一个可操作抓手：对于有文化记忆但尚未获得评级的载体，申报 A 级评定可在短期内带动评论量与品牌认知；但情感正向率的提升仍需结合体验内容的升级来实现，单靠评级不充分。</w:t>
      </w:r>
    </w:p>
    <w:p/>
    <w:p>
      <w:r>
        <w:br w:type="page"/>
      </w:r>
    </w:p>
    <w:p/>
    <w:p>
      <w:pPr>
        <w:pStyle w:val="Heading1"/>
        <w:spacing w:line="400" w:lineRule="exact" w:before="360" w:after="160"/>
        <w:jc w:val="center"/>
      </w:pPr>
      <w:r>
        <w:rPr>
          <w:rFonts w:ascii="Times New Roman" w:hAnsi="Times New Roman" w:eastAsia="宋体"/>
          <w:b/>
          <w:sz w:val="32"/>
        </w:rPr>
        <w:t>第 6 章　空间格局与潜力释放条件分析</w:t>
      </w:r>
    </w:p>
    <w:p/>
    <w:p>
      <w:pPr>
        <w:pStyle w:val="Heading2"/>
        <w:spacing w:line="400" w:lineRule="exact" w:before="240" w:after="80"/>
        <w:jc w:val="left"/>
      </w:pPr>
      <w:r>
        <w:rPr>
          <w:rFonts w:ascii="Times New Roman" w:hAnsi="Times New Roman" w:eastAsia="宋体"/>
          <w:b/>
          <w:sz w:val="28"/>
        </w:rPr>
        <w:t>6.1 空间分析方法</w:t>
      </w:r>
    </w:p>
    <w:p/>
    <w:p>
      <w:pPr>
        <w:pStyle w:val="Heading3"/>
        <w:spacing w:line="400" w:lineRule="exact" w:before="240" w:after="80"/>
        <w:jc w:val="left"/>
      </w:pPr>
      <w:r>
        <w:rPr>
          <w:rFonts w:ascii="Times New Roman" w:hAnsi="Times New Roman" w:eastAsia="宋体"/>
          <w:b/>
          <w:sz w:val="26"/>
        </w:rPr>
        <w:t>6.1.1 核密度估计</w:t>
      </w:r>
    </w:p>
    <w:p/>
    <w:p>
      <w:pPr>
        <w:spacing w:line="400" w:lineRule="exact" w:before="0" w:after="0"/>
        <w:ind w:firstLine="480"/>
      </w:pPr>
      <w:r>
        <w:rPr>
          <w:rFonts w:ascii="Times New Roman" w:hAnsi="Times New Roman" w:eastAsia="宋体"/>
          <w:b w:val="0"/>
          <w:sz w:val="24"/>
        </w:rPr>
        <w:t>采用核密度估计（Kernel Density Estimation, KDE）方法分别计算 POI 的空间热点与 165 条物质文化载体的空间热点。带宽统一设为 3.0 公里，对应"在一个游览区域内可便捷到达"的尺度，兼顾分辨率与稳定性。</w:t>
      </w:r>
    </w:p>
    <w:p/>
    <w:p>
      <w:pPr>
        <w:pStyle w:val="Heading3"/>
        <w:spacing w:line="400" w:lineRule="exact" w:before="240" w:after="80"/>
        <w:jc w:val="left"/>
      </w:pPr>
      <w:r>
        <w:rPr>
          <w:rFonts w:ascii="Times New Roman" w:hAnsi="Times New Roman" w:eastAsia="宋体"/>
          <w:b/>
          <w:sz w:val="26"/>
        </w:rPr>
        <w:t>6.1.2 DBSCAN 聚类</w:t>
      </w:r>
    </w:p>
    <w:p/>
    <w:p>
      <w:pPr>
        <w:spacing w:line="400" w:lineRule="exact" w:before="0" w:after="0"/>
        <w:ind w:firstLine="480"/>
      </w:pPr>
      <w:r>
        <w:rPr>
          <w:rFonts w:ascii="Times New Roman" w:hAnsi="Times New Roman" w:eastAsia="宋体"/>
          <w:b w:val="0"/>
          <w:sz w:val="24"/>
        </w:rPr>
        <w:t>以 POI 为样本点，使用 DBSCAN（密度带噪声聚类）方法识别集聚区边界。参数 $\varepsilon = 0.5$ 公里、最小样本数 $MinPts = 30$，可较好地分辨出桂城、大沥、狮山等中心城区的集聚边界。</w:t>
      </w:r>
    </w:p>
    <w:p/>
    <w:p>
      <w:pPr>
        <w:pStyle w:val="Heading3"/>
        <w:spacing w:line="400" w:lineRule="exact" w:before="240" w:after="80"/>
        <w:jc w:val="left"/>
      </w:pPr>
      <w:r>
        <w:rPr>
          <w:rFonts w:ascii="Times New Roman" w:hAnsi="Times New Roman" w:eastAsia="宋体"/>
          <w:b/>
          <w:sz w:val="26"/>
        </w:rPr>
        <w:t>6.1.3 空间错位图叠加</w:t>
      </w:r>
    </w:p>
    <w:p/>
    <w:p>
      <w:pPr>
        <w:spacing w:line="400" w:lineRule="exact" w:before="0" w:after="0"/>
        <w:ind w:firstLine="480"/>
      </w:pPr>
      <w:r>
        <w:rPr>
          <w:rFonts w:ascii="Times New Roman" w:hAnsi="Times New Roman" w:eastAsia="宋体"/>
          <w:b w:val="0"/>
          <w:sz w:val="24"/>
        </w:rPr>
        <w:t>将文化载体的 KDE 层与 POI 的 KDE 层按分位数归一后叠加着色：红色（文化强 + 旅游弱）、蓝色（文化弱 + 旅游强）、紫色（两侧都强）、灰色（两侧都弱）。通过色度分布可以直观辨识"东旅西文"的方向性差异。</w:t>
      </w:r>
    </w:p>
    <w:p/>
    <w:p>
      <w:pPr>
        <w:pStyle w:val="Heading2"/>
        <w:spacing w:line="400" w:lineRule="exact" w:before="240" w:after="80"/>
        <w:jc w:val="left"/>
      </w:pPr>
      <w:r>
        <w:rPr>
          <w:rFonts w:ascii="Times New Roman" w:hAnsi="Times New Roman" w:eastAsia="宋体"/>
          <w:b/>
          <w:sz w:val="28"/>
        </w:rPr>
        <w:t>6.2 空间格局结果</w:t>
      </w:r>
    </w:p>
    <w:p/>
    <w:p>
      <w:pPr>
        <w:pStyle w:val="Heading3"/>
        <w:spacing w:line="400" w:lineRule="exact" w:before="240" w:after="80"/>
        <w:jc w:val="left"/>
      </w:pPr>
      <w:r>
        <w:rPr>
          <w:rFonts w:ascii="Times New Roman" w:hAnsi="Times New Roman" w:eastAsia="宋体"/>
          <w:b/>
          <w:sz w:val="26"/>
        </w:rPr>
        <w:t>6.2.1 POI 与文化载体的热点错位</w:t>
      </w:r>
    </w:p>
    <w:p/>
    <w:p>
      <w:pPr>
        <w:spacing w:line="400" w:lineRule="exact" w:before="0" w:after="0"/>
        <w:ind w:firstLine="480"/>
      </w:pPr>
      <w:r>
        <w:rPr>
          <w:rFonts w:ascii="Times New Roman" w:hAnsi="Times New Roman" w:eastAsia="宋体"/>
          <w:b w:val="0"/>
          <w:sz w:val="24"/>
        </w:rPr>
        <w:t>POI 核密度的高值区呈现在桂城—大沥—狮山构成的东北部都市圈，与佛山国家高新区、广佛交界带高度重合；物质文化载体与非遗的高值区则集中在西樵—九江—丹灶的西南部，呼应南海区传统农业与水利社区的历史地理。两者在空间上呈现出稳定的方向性分离。</w:t>
      </w:r>
    </w:p>
    <w:p/>
    <w:p>
      <w:pPr>
        <w:spacing w:line="400" w:lineRule="exact" w:before="0" w:after="0"/>
        <w:jc w:val="center"/>
      </w:pPr>
      <w:r>
        <w:rPr>
          <w:rFonts w:ascii="Times New Roman" w:hAnsi="Times New Roman" w:eastAsia="宋体"/>
          <w:b/>
          <w:sz w:val="24"/>
        </w:rPr>
        <w:t>图 6.1　500 m 网格错位识别：基础口径与知识图谱口径对比</w:t>
      </w:r>
    </w:p>
    <w:p/>
    <w:p>
      <w:pPr>
        <w:jc w:val="center"/>
      </w:pPr>
      <w:r>
        <w:drawing>
          <wp:inline xmlns:a="http://schemas.openxmlformats.org/drawingml/2006/main" xmlns:pic="http://schemas.openxmlformats.org/drawingml/2006/picture">
            <wp:extent cx="5669280" cy="3653536"/>
            <wp:docPr id="7" name="Picture 7"/>
            <wp:cNvGraphicFramePr>
              <a:graphicFrameLocks noChangeAspect="1"/>
            </wp:cNvGraphicFramePr>
            <a:graphic>
              <a:graphicData uri="http://schemas.openxmlformats.org/drawingml/2006/picture">
                <pic:pic>
                  <pic:nvPicPr>
                    <pic:cNvPr id="0" name="thesis_mismatch_maps.png"/>
                    <pic:cNvPicPr/>
                  </pic:nvPicPr>
                  <pic:blipFill>
                    <a:blip r:embed="rId15"/>
                    <a:stretch>
                      <a:fillRect/>
                    </a:stretch>
                  </pic:blipFill>
                  <pic:spPr>
                    <a:xfrm>
                      <a:off x="0" y="0"/>
                      <a:ext cx="5669280" cy="3653536"/>
                    </a:xfrm>
                    <a:prstGeom prst="rect"/>
                  </pic:spPr>
                </pic:pic>
              </a:graphicData>
            </a:graphic>
          </wp:inline>
        </w:drawing>
      </w:r>
    </w:p>
    <w:p/>
    <w:p>
      <w:pPr>
        <w:spacing w:line="400" w:lineRule="exact" w:before="0" w:after="0"/>
        <w:jc w:val="center"/>
      </w:pPr>
      <w:r>
        <w:rPr>
          <w:rFonts w:ascii="Times New Roman" w:hAnsi="Times New Roman" w:eastAsia="宋体"/>
          <w:b/>
          <w:sz w:val="24"/>
        </w:rPr>
        <w:t>图 6.2　文化载体核密度图与 POI 核密度图叠加</w:t>
      </w:r>
    </w:p>
    <w:p/>
    <w:p>
      <w:pPr>
        <w:jc w:val="center"/>
      </w:pPr>
      <w:r>
        <w:drawing>
          <wp:inline xmlns:a="http://schemas.openxmlformats.org/drawingml/2006/main" xmlns:pic="http://schemas.openxmlformats.org/drawingml/2006/picture">
            <wp:extent cx="5669280" cy="3138351"/>
            <wp:docPr id="8" name="Picture 8"/>
            <wp:cNvGraphicFramePr>
              <a:graphicFrameLocks noChangeAspect="1"/>
            </wp:cNvGraphicFramePr>
            <a:graphic>
              <a:graphicData uri="http://schemas.openxmlformats.org/drawingml/2006/picture">
                <pic:pic>
                  <pic:nvPicPr>
                    <pic:cNvPr id="0" name="fig4_density_overlay.png"/>
                    <pic:cNvPicPr/>
                  </pic:nvPicPr>
                  <pic:blipFill>
                    <a:blip r:embed="rId16"/>
                    <a:stretch>
                      <a:fillRect/>
                    </a:stretch>
                  </pic:blipFill>
                  <pic:spPr>
                    <a:xfrm>
                      <a:off x="0" y="0"/>
                      <a:ext cx="5669280" cy="3138351"/>
                    </a:xfrm>
                    <a:prstGeom prst="rect"/>
                  </pic:spPr>
                </pic:pic>
              </a:graphicData>
            </a:graphic>
          </wp:inline>
        </w:drawing>
      </w:r>
    </w:p>
    <w:p/>
    <w:p>
      <w:pPr>
        <w:pStyle w:val="Heading3"/>
        <w:spacing w:line="400" w:lineRule="exact" w:before="240" w:after="80"/>
        <w:jc w:val="left"/>
      </w:pPr>
      <w:r>
        <w:rPr>
          <w:rFonts w:ascii="Times New Roman" w:hAnsi="Times New Roman" w:eastAsia="宋体"/>
          <w:b/>
          <w:sz w:val="26"/>
        </w:rPr>
        <w:t>6.2.2 镇街对比</w:t>
      </w:r>
    </w:p>
    <w:p/>
    <w:p>
      <w:pPr>
        <w:spacing w:line="400" w:lineRule="exact" w:before="0" w:after="0"/>
        <w:jc w:val="center"/>
      </w:pPr>
      <w:r>
        <w:rPr>
          <w:rFonts w:ascii="Times New Roman" w:hAnsi="Times New Roman" w:eastAsia="宋体"/>
          <w:b/>
          <w:sz w:val="24"/>
        </w:rPr>
        <w:t>表 6.1　镇街尺度的 POI、文化载体、CMI、THI、MI 均值对比</w:t>
      </w:r>
    </w:p>
    <w:p/>
    <w:tbl>
      <w:tblPr>
        <w:tblStyle w:val="TableGrid"/>
        <w:tblW w:type="auto" w:w="0"/>
        <w:tblLayout w:type="autofit"/>
        <w:tblLook w:firstColumn="1" w:firstRow="1" w:lastColumn="0" w:lastRow="0" w:noHBand="0" w:noVBand="1" w:val="04A0"/>
      </w:tblPr>
      <w:tblGrid>
        <w:gridCol w:w="1133"/>
        <w:gridCol w:w="1133"/>
        <w:gridCol w:w="1133"/>
        <w:gridCol w:w="1133"/>
        <w:gridCol w:w="1133"/>
        <w:gridCol w:w="1133"/>
        <w:gridCol w:w="1133"/>
        <w:gridCol w:w="1133"/>
      </w:tblGrid>
      <w:tr>
        <w:tc>
          <w:tcPr>
            <w:tcW w:type="dxa" w:w="1133"/>
          </w:tcPr>
          <w:p>
            <w:pPr>
              <w:jc w:val="center"/>
            </w:pPr>
            <w:r/>
            <w:r>
              <w:rPr>
                <w:rFonts w:ascii="Times New Roman" w:hAnsi="Times New Roman" w:eastAsia="宋体"/>
                <w:b/>
                <w:sz w:val="21"/>
              </w:rPr>
              <w:t>镇街</w:t>
            </w:r>
          </w:p>
        </w:tc>
        <w:tc>
          <w:tcPr>
            <w:tcW w:type="dxa" w:w="1133"/>
          </w:tcPr>
          <w:p>
            <w:pPr>
              <w:jc w:val="center"/>
            </w:pPr>
            <w:r/>
            <w:r>
              <w:rPr>
                <w:rFonts w:ascii="Times New Roman" w:hAnsi="Times New Roman" w:eastAsia="宋体"/>
                <w:b/>
                <w:sz w:val="21"/>
              </w:rPr>
              <w:t>POI 总量</w:t>
            </w:r>
          </w:p>
        </w:tc>
        <w:tc>
          <w:tcPr>
            <w:tcW w:type="dxa" w:w="1133"/>
          </w:tcPr>
          <w:p>
            <w:pPr>
              <w:jc w:val="center"/>
            </w:pPr>
            <w:r/>
            <w:r>
              <w:rPr>
                <w:rFonts w:ascii="Times New Roman" w:hAnsi="Times New Roman" w:eastAsia="宋体"/>
                <w:b/>
                <w:sz w:val="21"/>
              </w:rPr>
              <w:t>物质载体数</w:t>
            </w:r>
          </w:p>
        </w:tc>
        <w:tc>
          <w:tcPr>
            <w:tcW w:type="dxa" w:w="1133"/>
          </w:tcPr>
          <w:p>
            <w:pPr>
              <w:jc w:val="center"/>
            </w:pPr>
            <w:r/>
            <w:r>
              <w:rPr>
                <w:rFonts w:ascii="Times New Roman" w:hAnsi="Times New Roman" w:eastAsia="宋体"/>
                <w:b/>
                <w:sz w:val="21"/>
              </w:rPr>
              <w:t>非遗数</w:t>
            </w:r>
          </w:p>
        </w:tc>
        <w:tc>
          <w:tcPr>
            <w:tcW w:type="dxa" w:w="1133"/>
          </w:tcPr>
          <w:p>
            <w:pPr>
              <w:jc w:val="center"/>
            </w:pPr>
            <w:r/>
            <w:r>
              <w:rPr>
                <w:rFonts w:ascii="Times New Roman" w:hAnsi="Times New Roman" w:eastAsia="宋体"/>
                <w:b/>
                <w:sz w:val="21"/>
              </w:rPr>
              <w:t>CMI_mean</w:t>
            </w:r>
          </w:p>
        </w:tc>
        <w:tc>
          <w:tcPr>
            <w:tcW w:type="dxa" w:w="1133"/>
          </w:tcPr>
          <w:p>
            <w:pPr>
              <w:jc w:val="center"/>
            </w:pPr>
            <w:r/>
            <w:r>
              <w:rPr>
                <w:rFonts w:ascii="Times New Roman" w:hAnsi="Times New Roman" w:eastAsia="宋体"/>
                <w:b/>
                <w:sz w:val="21"/>
              </w:rPr>
              <w:t>OAI_mean</w:t>
            </w:r>
          </w:p>
        </w:tc>
        <w:tc>
          <w:tcPr>
            <w:tcW w:type="dxa" w:w="1133"/>
          </w:tcPr>
          <w:p>
            <w:pPr>
              <w:jc w:val="center"/>
            </w:pPr>
            <w:r/>
            <w:r>
              <w:rPr>
                <w:rFonts w:ascii="Times New Roman" w:hAnsi="Times New Roman" w:eastAsia="宋体"/>
                <w:b/>
                <w:sz w:val="21"/>
              </w:rPr>
              <w:t>THI_mean</w:t>
            </w:r>
          </w:p>
        </w:tc>
        <w:tc>
          <w:tcPr>
            <w:tcW w:type="dxa" w:w="1133"/>
          </w:tcPr>
          <w:p>
            <w:pPr>
              <w:jc w:val="center"/>
            </w:pPr>
            <w:r/>
            <w:r>
              <w:rPr>
                <w:rFonts w:ascii="Times New Roman" w:hAnsi="Times New Roman" w:eastAsia="宋体"/>
                <w:b/>
                <w:sz w:val="21"/>
              </w:rPr>
              <w:t>MI_mean</w:t>
            </w:r>
          </w:p>
        </w:tc>
      </w:tr>
      <w:tr>
        <w:tc>
          <w:tcPr>
            <w:tcW w:type="dxa" w:w="1133"/>
          </w:tcPr>
          <w:p>
            <w:pPr>
              <w:jc w:val="center"/>
            </w:pPr>
            <w:r/>
            <w:r>
              <w:rPr>
                <w:rFonts w:ascii="Times New Roman" w:hAnsi="Times New Roman" w:eastAsia="宋体"/>
                <w:b w:val="0"/>
                <w:sz w:val="21"/>
              </w:rPr>
              <w:t>桂城街道</w:t>
            </w:r>
          </w:p>
        </w:tc>
        <w:tc>
          <w:tcPr>
            <w:tcW w:type="dxa" w:w="1133"/>
          </w:tcPr>
          <w:p>
            <w:pPr>
              <w:jc w:val="center"/>
            </w:pPr>
            <w:r/>
            <w:r>
              <w:rPr>
                <w:rFonts w:ascii="Times New Roman" w:hAnsi="Times New Roman" w:eastAsia="宋体"/>
                <w:b w:val="0"/>
                <w:sz w:val="21"/>
              </w:rPr>
              <w:t>4,174</w:t>
            </w:r>
          </w:p>
        </w:tc>
        <w:tc>
          <w:tcPr>
            <w:tcW w:type="dxa" w:w="1133"/>
          </w:tcPr>
          <w:p>
            <w:pPr>
              <w:jc w:val="center"/>
            </w:pPr>
            <w:r/>
            <w:r>
              <w:rPr>
                <w:rFonts w:ascii="Times New Roman" w:hAnsi="Times New Roman" w:eastAsia="宋体"/>
                <w:b w:val="0"/>
                <w:sz w:val="21"/>
              </w:rPr>
              <w:t>3</w:t>
            </w:r>
          </w:p>
        </w:tc>
        <w:tc>
          <w:tcPr>
            <w:tcW w:type="dxa" w:w="1133"/>
          </w:tcPr>
          <w:p>
            <w:pPr>
              <w:jc w:val="center"/>
            </w:pPr>
            <w:r/>
            <w:r>
              <w:rPr>
                <w:rFonts w:ascii="Times New Roman" w:hAnsi="Times New Roman" w:eastAsia="宋体"/>
                <w:b w:val="0"/>
                <w:sz w:val="21"/>
              </w:rPr>
              <w:t>14</w:t>
            </w:r>
          </w:p>
        </w:tc>
        <w:tc>
          <w:tcPr>
            <w:tcW w:type="dxa" w:w="1133"/>
          </w:tcPr>
          <w:p>
            <w:pPr>
              <w:jc w:val="center"/>
            </w:pPr>
            <w:r/>
            <w:r>
              <w:rPr>
                <w:rFonts w:ascii="Times New Roman" w:hAnsi="Times New Roman" w:eastAsia="宋体"/>
                <w:b w:val="0"/>
                <w:sz w:val="21"/>
              </w:rPr>
              <w:t>17.03</w:t>
            </w:r>
          </w:p>
        </w:tc>
        <w:tc>
          <w:tcPr>
            <w:tcW w:type="dxa" w:w="1133"/>
          </w:tcPr>
          <w:p>
            <w:pPr>
              <w:jc w:val="center"/>
            </w:pPr>
            <w:r/>
            <w:r>
              <w:rPr>
                <w:rFonts w:ascii="Times New Roman" w:hAnsi="Times New Roman" w:eastAsia="宋体"/>
                <w:b w:val="0"/>
                <w:sz w:val="21"/>
              </w:rPr>
              <w:t>50.00</w:t>
            </w:r>
          </w:p>
        </w:tc>
        <w:tc>
          <w:tcPr>
            <w:tcW w:type="dxa" w:w="1133"/>
          </w:tcPr>
          <w:p>
            <w:pPr>
              <w:jc w:val="center"/>
            </w:pPr>
            <w:r/>
            <w:r>
              <w:rPr>
                <w:rFonts w:ascii="Times New Roman" w:hAnsi="Times New Roman" w:eastAsia="宋体"/>
                <w:b w:val="0"/>
                <w:sz w:val="21"/>
              </w:rPr>
              <w:t>54.63</w:t>
            </w:r>
          </w:p>
        </w:tc>
        <w:tc>
          <w:tcPr>
            <w:tcW w:type="dxa" w:w="1133"/>
          </w:tcPr>
          <w:p>
            <w:pPr>
              <w:jc w:val="center"/>
            </w:pPr>
            <w:r/>
            <w:r>
              <w:rPr>
                <w:rFonts w:ascii="Times New Roman" w:hAnsi="Times New Roman" w:eastAsia="宋体"/>
                <w:b w:val="0"/>
                <w:sz w:val="21"/>
              </w:rPr>
              <w:t>21.12</w:t>
            </w:r>
          </w:p>
        </w:tc>
      </w:tr>
      <w:tr>
        <w:tc>
          <w:tcPr>
            <w:tcW w:type="dxa" w:w="1133"/>
          </w:tcPr>
          <w:p>
            <w:pPr>
              <w:jc w:val="center"/>
            </w:pPr>
            <w:r/>
            <w:r>
              <w:rPr>
                <w:rFonts w:ascii="Times New Roman" w:hAnsi="Times New Roman" w:eastAsia="宋体"/>
                <w:b w:val="0"/>
                <w:sz w:val="21"/>
              </w:rPr>
              <w:t>里水镇</w:t>
            </w:r>
          </w:p>
        </w:tc>
        <w:tc>
          <w:tcPr>
            <w:tcW w:type="dxa" w:w="1133"/>
          </w:tcPr>
          <w:p>
            <w:pPr>
              <w:jc w:val="center"/>
            </w:pPr>
            <w:r/>
            <w:r>
              <w:rPr>
                <w:rFonts w:ascii="Times New Roman" w:hAnsi="Times New Roman" w:eastAsia="宋体"/>
                <w:b w:val="0"/>
                <w:sz w:val="21"/>
              </w:rPr>
              <w:t>2,625</w:t>
            </w:r>
          </w:p>
        </w:tc>
        <w:tc>
          <w:tcPr>
            <w:tcW w:type="dxa" w:w="1133"/>
          </w:tcPr>
          <w:p>
            <w:pPr>
              <w:jc w:val="center"/>
            </w:pPr>
            <w:r/>
            <w:r>
              <w:rPr>
                <w:rFonts w:ascii="Times New Roman" w:hAnsi="Times New Roman" w:eastAsia="宋体"/>
                <w:b w:val="0"/>
                <w:sz w:val="21"/>
              </w:rPr>
              <w:t>1</w:t>
            </w:r>
          </w:p>
        </w:tc>
        <w:tc>
          <w:tcPr>
            <w:tcW w:type="dxa" w:w="1133"/>
          </w:tcPr>
          <w:p>
            <w:pPr>
              <w:jc w:val="center"/>
            </w:pPr>
            <w:r/>
            <w:r>
              <w:rPr>
                <w:rFonts w:ascii="Times New Roman" w:hAnsi="Times New Roman" w:eastAsia="宋体"/>
                <w:b w:val="0"/>
                <w:sz w:val="21"/>
              </w:rPr>
              <w:t>6</w:t>
            </w:r>
          </w:p>
        </w:tc>
        <w:tc>
          <w:tcPr>
            <w:tcW w:type="dxa" w:w="1133"/>
          </w:tcPr>
          <w:p>
            <w:pPr>
              <w:jc w:val="center"/>
            </w:pPr>
            <w:r/>
            <w:r>
              <w:rPr>
                <w:rFonts w:ascii="Times New Roman" w:hAnsi="Times New Roman" w:eastAsia="宋体"/>
                <w:b w:val="0"/>
                <w:sz w:val="21"/>
              </w:rPr>
              <w:t>53.21</w:t>
            </w:r>
          </w:p>
        </w:tc>
        <w:tc>
          <w:tcPr>
            <w:tcW w:type="dxa" w:w="1133"/>
          </w:tcPr>
          <w:p>
            <w:pPr>
              <w:jc w:val="center"/>
            </w:pPr>
            <w:r/>
            <w:r>
              <w:rPr>
                <w:rFonts w:ascii="Times New Roman" w:hAnsi="Times New Roman" w:eastAsia="宋体"/>
                <w:b w:val="0"/>
                <w:sz w:val="21"/>
              </w:rPr>
              <w:t>25.00</w:t>
            </w:r>
          </w:p>
        </w:tc>
        <w:tc>
          <w:tcPr>
            <w:tcW w:type="dxa" w:w="1133"/>
          </w:tcPr>
          <w:p>
            <w:pPr>
              <w:jc w:val="center"/>
            </w:pPr>
            <w:r/>
            <w:r>
              <w:rPr>
                <w:rFonts w:ascii="Times New Roman" w:hAnsi="Times New Roman" w:eastAsia="宋体"/>
                <w:b w:val="0"/>
                <w:sz w:val="21"/>
              </w:rPr>
              <w:t>0.00</w:t>
            </w:r>
          </w:p>
        </w:tc>
        <w:tc>
          <w:tcPr>
            <w:tcW w:type="dxa" w:w="1133"/>
          </w:tcPr>
          <w:p>
            <w:pPr>
              <w:jc w:val="center"/>
            </w:pPr>
            <w:r/>
            <w:r>
              <w:rPr>
                <w:rFonts w:ascii="Times New Roman" w:hAnsi="Times New Roman" w:eastAsia="宋体"/>
                <w:b w:val="0"/>
                <w:sz w:val="21"/>
              </w:rPr>
              <w:t>−39.11</w:t>
            </w:r>
          </w:p>
        </w:tc>
      </w:tr>
      <w:tr>
        <w:tc>
          <w:tcPr>
            <w:tcW w:type="dxa" w:w="1133"/>
          </w:tcPr>
          <w:p>
            <w:pPr>
              <w:jc w:val="center"/>
            </w:pPr>
            <w:r/>
            <w:r>
              <w:rPr>
                <w:rFonts w:ascii="Times New Roman" w:hAnsi="Times New Roman" w:eastAsia="宋体"/>
                <w:b w:val="0"/>
                <w:sz w:val="21"/>
              </w:rPr>
              <w:t>狮山镇</w:t>
            </w:r>
          </w:p>
        </w:tc>
        <w:tc>
          <w:tcPr>
            <w:tcW w:type="dxa" w:w="1133"/>
          </w:tcPr>
          <w:p>
            <w:pPr>
              <w:jc w:val="center"/>
            </w:pPr>
            <w:r/>
            <w:r>
              <w:rPr>
                <w:rFonts w:ascii="Times New Roman" w:hAnsi="Times New Roman" w:eastAsia="宋体"/>
                <w:b w:val="0"/>
                <w:sz w:val="21"/>
              </w:rPr>
              <w:t>2,233</w:t>
            </w:r>
          </w:p>
        </w:tc>
        <w:tc>
          <w:tcPr>
            <w:tcW w:type="dxa" w:w="1133"/>
          </w:tcPr>
          <w:p>
            <w:pPr>
              <w:jc w:val="center"/>
            </w:pPr>
            <w:r/>
            <w:r>
              <w:rPr>
                <w:rFonts w:ascii="Times New Roman" w:hAnsi="Times New Roman" w:eastAsia="宋体"/>
                <w:b w:val="0"/>
                <w:sz w:val="21"/>
              </w:rPr>
              <w:t>3</w:t>
            </w:r>
          </w:p>
        </w:tc>
        <w:tc>
          <w:tcPr>
            <w:tcW w:type="dxa" w:w="1133"/>
          </w:tcPr>
          <w:p>
            <w:pPr>
              <w:jc w:val="center"/>
            </w:pPr>
            <w:r/>
            <w:r>
              <w:rPr>
                <w:rFonts w:ascii="Times New Roman" w:hAnsi="Times New Roman" w:eastAsia="宋体"/>
                <w:b w:val="0"/>
                <w:sz w:val="21"/>
              </w:rPr>
              <w:t>10</w:t>
            </w:r>
          </w:p>
        </w:tc>
        <w:tc>
          <w:tcPr>
            <w:tcW w:type="dxa" w:w="1133"/>
          </w:tcPr>
          <w:p>
            <w:pPr>
              <w:jc w:val="center"/>
            </w:pPr>
            <w:r/>
            <w:r>
              <w:rPr>
                <w:rFonts w:ascii="Times New Roman" w:hAnsi="Times New Roman" w:eastAsia="宋体"/>
                <w:b w:val="0"/>
                <w:sz w:val="21"/>
              </w:rPr>
              <w:t>22.62</w:t>
            </w:r>
          </w:p>
        </w:tc>
        <w:tc>
          <w:tcPr>
            <w:tcW w:type="dxa" w:w="1133"/>
          </w:tcPr>
          <w:p>
            <w:pPr>
              <w:jc w:val="center"/>
            </w:pPr>
            <w:r/>
            <w:r>
              <w:rPr>
                <w:rFonts w:ascii="Times New Roman" w:hAnsi="Times New Roman" w:eastAsia="宋体"/>
                <w:b w:val="0"/>
                <w:sz w:val="21"/>
              </w:rPr>
              <w:t>41.67</w:t>
            </w:r>
          </w:p>
        </w:tc>
        <w:tc>
          <w:tcPr>
            <w:tcW w:type="dxa" w:w="1133"/>
          </w:tcPr>
          <w:p>
            <w:pPr>
              <w:jc w:val="center"/>
            </w:pPr>
            <w:r/>
            <w:r>
              <w:rPr>
                <w:rFonts w:ascii="Times New Roman" w:hAnsi="Times New Roman" w:eastAsia="宋体"/>
                <w:b w:val="0"/>
                <w:sz w:val="21"/>
              </w:rPr>
              <w:t>15.41</w:t>
            </w:r>
          </w:p>
        </w:tc>
        <w:tc>
          <w:tcPr>
            <w:tcW w:type="dxa" w:w="1133"/>
          </w:tcPr>
          <w:p>
            <w:pPr>
              <w:jc w:val="center"/>
            </w:pPr>
            <w:r/>
            <w:r>
              <w:rPr>
                <w:rFonts w:ascii="Times New Roman" w:hAnsi="Times New Roman" w:eastAsia="宋体"/>
                <w:b w:val="0"/>
                <w:sz w:val="21"/>
              </w:rPr>
              <w:t>−16.74</w:t>
            </w:r>
          </w:p>
        </w:tc>
      </w:tr>
      <w:tr>
        <w:tc>
          <w:tcPr>
            <w:tcW w:type="dxa" w:w="1133"/>
          </w:tcPr>
          <w:p>
            <w:pPr>
              <w:jc w:val="center"/>
            </w:pPr>
            <w:r/>
            <w:r>
              <w:rPr>
                <w:rFonts w:ascii="Times New Roman" w:hAnsi="Times New Roman" w:eastAsia="宋体"/>
                <w:b w:val="0"/>
                <w:sz w:val="21"/>
              </w:rPr>
              <w:t>大沥镇</w:t>
            </w:r>
          </w:p>
        </w:tc>
        <w:tc>
          <w:tcPr>
            <w:tcW w:type="dxa" w:w="1133"/>
          </w:tcPr>
          <w:p>
            <w:pPr>
              <w:jc w:val="center"/>
            </w:pPr>
            <w:r/>
            <w:r>
              <w:rPr>
                <w:rFonts w:ascii="Times New Roman" w:hAnsi="Times New Roman" w:eastAsia="宋体"/>
                <w:b w:val="0"/>
                <w:sz w:val="21"/>
              </w:rPr>
              <w:t>2,080</w:t>
            </w:r>
          </w:p>
        </w:tc>
        <w:tc>
          <w:tcPr>
            <w:tcW w:type="dxa" w:w="1133"/>
          </w:tcPr>
          <w:p>
            <w:pPr>
              <w:jc w:val="center"/>
            </w:pPr>
            <w:r/>
            <w:r>
              <w:rPr>
                <w:rFonts w:ascii="Times New Roman" w:hAnsi="Times New Roman" w:eastAsia="宋体"/>
                <w:b w:val="0"/>
                <w:sz w:val="21"/>
              </w:rPr>
              <w:t>0</w:t>
            </w:r>
          </w:p>
        </w:tc>
        <w:tc>
          <w:tcPr>
            <w:tcW w:type="dxa" w:w="1133"/>
          </w:tcPr>
          <w:p>
            <w:pPr>
              <w:jc w:val="center"/>
            </w:pPr>
            <w:r/>
            <w:r>
              <w:rPr>
                <w:rFonts w:ascii="Times New Roman" w:hAnsi="Times New Roman" w:eastAsia="宋体"/>
                <w:b w:val="0"/>
                <w:sz w:val="21"/>
              </w:rPr>
              <w:t>13</w:t>
            </w:r>
          </w:p>
        </w:tc>
        <w:tc>
          <w:tcPr>
            <w:tcW w:type="dxa" w:w="1133"/>
          </w:tcPr>
          <w:p>
            <w:pPr>
              <w:jc w:val="center"/>
            </w:pPr>
            <w:r/>
            <w:r>
              <w:rPr>
                <w:rFonts w:ascii="Times New Roman" w:hAnsi="Times New Roman" w:eastAsia="宋体"/>
                <w:b w:val="0"/>
                <w:sz w:val="21"/>
              </w:rPr>
              <w:t>—</w:t>
            </w:r>
          </w:p>
        </w:tc>
        <w:tc>
          <w:tcPr>
            <w:tcW w:type="dxa" w:w="1133"/>
          </w:tcPr>
          <w:p>
            <w:pPr>
              <w:jc w:val="center"/>
            </w:pPr>
            <w:r/>
            <w:r>
              <w:rPr>
                <w:rFonts w:ascii="Times New Roman" w:hAnsi="Times New Roman" w:eastAsia="宋体"/>
                <w:b w:val="0"/>
                <w:sz w:val="21"/>
              </w:rPr>
              <w:t>—</w:t>
            </w:r>
          </w:p>
        </w:tc>
        <w:tc>
          <w:tcPr>
            <w:tcW w:type="dxa" w:w="1133"/>
          </w:tcPr>
          <w:p>
            <w:pPr>
              <w:jc w:val="center"/>
            </w:pPr>
            <w:r/>
            <w:r>
              <w:rPr>
                <w:rFonts w:ascii="Times New Roman" w:hAnsi="Times New Roman" w:eastAsia="宋体"/>
                <w:b w:val="0"/>
                <w:sz w:val="21"/>
              </w:rPr>
              <w:t>—</w:t>
            </w:r>
          </w:p>
        </w:tc>
        <w:tc>
          <w:tcPr>
            <w:tcW w:type="dxa" w:w="1133"/>
          </w:tcPr>
          <w:p>
            <w:pPr>
              <w:jc w:val="center"/>
            </w:pPr>
            <w:r/>
            <w:r>
              <w:rPr>
                <w:rFonts w:ascii="Times New Roman" w:hAnsi="Times New Roman" w:eastAsia="宋体"/>
                <w:b w:val="0"/>
                <w:sz w:val="21"/>
              </w:rPr>
              <w:t>—</w:t>
            </w:r>
          </w:p>
        </w:tc>
      </w:tr>
      <w:tr>
        <w:tc>
          <w:tcPr>
            <w:tcW w:type="dxa" w:w="1133"/>
          </w:tcPr>
          <w:p>
            <w:pPr>
              <w:jc w:val="center"/>
            </w:pPr>
            <w:r/>
            <w:r>
              <w:rPr>
                <w:rFonts w:ascii="Times New Roman" w:hAnsi="Times New Roman" w:eastAsia="宋体"/>
                <w:b w:val="0"/>
                <w:sz w:val="21"/>
              </w:rPr>
              <w:t>丹灶镇</w:t>
            </w:r>
          </w:p>
        </w:tc>
        <w:tc>
          <w:tcPr>
            <w:tcW w:type="dxa" w:w="1133"/>
          </w:tcPr>
          <w:p>
            <w:pPr>
              <w:jc w:val="center"/>
            </w:pPr>
            <w:r/>
            <w:r>
              <w:rPr>
                <w:rFonts w:ascii="Times New Roman" w:hAnsi="Times New Roman" w:eastAsia="宋体"/>
                <w:b w:val="0"/>
                <w:sz w:val="21"/>
              </w:rPr>
              <w:t>1,086</w:t>
            </w:r>
          </w:p>
        </w:tc>
        <w:tc>
          <w:tcPr>
            <w:tcW w:type="dxa" w:w="1133"/>
          </w:tcPr>
          <w:p>
            <w:pPr>
              <w:jc w:val="center"/>
            </w:pPr>
            <w:r/>
            <w:r>
              <w:rPr>
                <w:rFonts w:ascii="Times New Roman" w:hAnsi="Times New Roman" w:eastAsia="宋体"/>
                <w:b w:val="0"/>
                <w:sz w:val="21"/>
              </w:rPr>
              <w:t>11</w:t>
            </w:r>
          </w:p>
        </w:tc>
        <w:tc>
          <w:tcPr>
            <w:tcW w:type="dxa" w:w="1133"/>
          </w:tcPr>
          <w:p>
            <w:pPr>
              <w:jc w:val="center"/>
            </w:pPr>
            <w:r/>
            <w:r>
              <w:rPr>
                <w:rFonts w:ascii="Times New Roman" w:hAnsi="Times New Roman" w:eastAsia="宋体"/>
                <w:b w:val="0"/>
                <w:sz w:val="21"/>
              </w:rPr>
              <w:t>10</w:t>
            </w:r>
          </w:p>
        </w:tc>
        <w:tc>
          <w:tcPr>
            <w:tcW w:type="dxa" w:w="1133"/>
          </w:tcPr>
          <w:p>
            <w:pPr>
              <w:jc w:val="center"/>
            </w:pPr>
            <w:r/>
            <w:r>
              <w:rPr>
                <w:rFonts w:ascii="Times New Roman" w:hAnsi="Times New Roman" w:eastAsia="宋体"/>
                <w:b w:val="0"/>
                <w:sz w:val="21"/>
              </w:rPr>
              <w:t>39.84</w:t>
            </w:r>
          </w:p>
        </w:tc>
        <w:tc>
          <w:tcPr>
            <w:tcW w:type="dxa" w:w="1133"/>
          </w:tcPr>
          <w:p>
            <w:pPr>
              <w:jc w:val="center"/>
            </w:pPr>
            <w:r/>
            <w:r>
              <w:rPr>
                <w:rFonts w:ascii="Times New Roman" w:hAnsi="Times New Roman" w:eastAsia="宋体"/>
                <w:b w:val="0"/>
                <w:sz w:val="21"/>
              </w:rPr>
              <w:t>29.55</w:t>
            </w:r>
          </w:p>
        </w:tc>
        <w:tc>
          <w:tcPr>
            <w:tcW w:type="dxa" w:w="1133"/>
          </w:tcPr>
          <w:p>
            <w:pPr>
              <w:jc w:val="center"/>
            </w:pPr>
            <w:r/>
            <w:r>
              <w:rPr>
                <w:rFonts w:ascii="Times New Roman" w:hAnsi="Times New Roman" w:eastAsia="宋体"/>
                <w:b w:val="0"/>
                <w:sz w:val="21"/>
              </w:rPr>
              <w:t>37.96</w:t>
            </w:r>
          </w:p>
        </w:tc>
        <w:tc>
          <w:tcPr>
            <w:tcW w:type="dxa" w:w="1133"/>
          </w:tcPr>
          <w:p>
            <w:pPr>
              <w:jc w:val="center"/>
            </w:pPr>
            <w:r/>
            <w:r>
              <w:rPr>
                <w:rFonts w:ascii="Times New Roman" w:hAnsi="Times New Roman" w:eastAsia="宋体"/>
                <w:b w:val="0"/>
                <w:sz w:val="21"/>
              </w:rPr>
              <w:t>3.27</w:t>
            </w:r>
          </w:p>
        </w:tc>
      </w:tr>
      <w:tr>
        <w:tc>
          <w:tcPr>
            <w:tcW w:type="dxa" w:w="1133"/>
          </w:tcPr>
          <w:p>
            <w:pPr>
              <w:jc w:val="center"/>
            </w:pPr>
            <w:r/>
            <w:r>
              <w:rPr>
                <w:rFonts w:ascii="Times New Roman" w:hAnsi="Times New Roman" w:eastAsia="宋体"/>
                <w:b w:val="0"/>
                <w:sz w:val="21"/>
              </w:rPr>
              <w:t>西樵镇</w:t>
            </w:r>
          </w:p>
        </w:tc>
        <w:tc>
          <w:tcPr>
            <w:tcW w:type="dxa" w:w="1133"/>
          </w:tcPr>
          <w:p>
            <w:pPr>
              <w:jc w:val="center"/>
            </w:pPr>
            <w:r/>
            <w:r>
              <w:rPr>
                <w:rFonts w:ascii="Times New Roman" w:hAnsi="Times New Roman" w:eastAsia="宋体"/>
                <w:b w:val="0"/>
                <w:sz w:val="21"/>
              </w:rPr>
              <w:t>1,055</w:t>
            </w:r>
          </w:p>
        </w:tc>
        <w:tc>
          <w:tcPr>
            <w:tcW w:type="dxa" w:w="1133"/>
          </w:tcPr>
          <w:p>
            <w:pPr>
              <w:jc w:val="center"/>
            </w:pPr>
            <w:r/>
            <w:r>
              <w:rPr>
                <w:rFonts w:ascii="Times New Roman" w:hAnsi="Times New Roman" w:eastAsia="宋体"/>
                <w:b w:val="0"/>
                <w:sz w:val="21"/>
              </w:rPr>
              <w:t>26</w:t>
            </w:r>
          </w:p>
        </w:tc>
        <w:tc>
          <w:tcPr>
            <w:tcW w:type="dxa" w:w="1133"/>
          </w:tcPr>
          <w:p>
            <w:pPr>
              <w:jc w:val="center"/>
            </w:pPr>
            <w:r/>
            <w:r>
              <w:rPr>
                <w:rFonts w:ascii="Times New Roman" w:hAnsi="Times New Roman" w:eastAsia="宋体"/>
                <w:b w:val="0"/>
                <w:sz w:val="21"/>
              </w:rPr>
              <w:t>11</w:t>
            </w:r>
          </w:p>
        </w:tc>
        <w:tc>
          <w:tcPr>
            <w:tcW w:type="dxa" w:w="1133"/>
          </w:tcPr>
          <w:p>
            <w:pPr>
              <w:jc w:val="center"/>
            </w:pPr>
            <w:r/>
            <w:r>
              <w:rPr>
                <w:rFonts w:ascii="Times New Roman" w:hAnsi="Times New Roman" w:eastAsia="宋体"/>
                <w:b w:val="0"/>
                <w:sz w:val="21"/>
              </w:rPr>
              <w:t>52.71</w:t>
            </w:r>
          </w:p>
        </w:tc>
        <w:tc>
          <w:tcPr>
            <w:tcW w:type="dxa" w:w="1133"/>
          </w:tcPr>
          <w:p>
            <w:pPr>
              <w:jc w:val="center"/>
            </w:pPr>
            <w:r/>
            <w:r>
              <w:rPr>
                <w:rFonts w:ascii="Times New Roman" w:hAnsi="Times New Roman" w:eastAsia="宋体"/>
                <w:b w:val="0"/>
                <w:sz w:val="21"/>
              </w:rPr>
              <w:t>27.88</w:t>
            </w:r>
          </w:p>
        </w:tc>
        <w:tc>
          <w:tcPr>
            <w:tcW w:type="dxa" w:w="1133"/>
          </w:tcPr>
          <w:p>
            <w:pPr>
              <w:jc w:val="center"/>
            </w:pPr>
            <w:r/>
            <w:r>
              <w:rPr>
                <w:rFonts w:ascii="Times New Roman" w:hAnsi="Times New Roman" w:eastAsia="宋体"/>
                <w:b w:val="0"/>
                <w:sz w:val="21"/>
              </w:rPr>
              <w:t>34.95</w:t>
            </w:r>
          </w:p>
        </w:tc>
        <w:tc>
          <w:tcPr>
            <w:tcW w:type="dxa" w:w="1133"/>
          </w:tcPr>
          <w:p>
            <w:pPr>
              <w:jc w:val="center"/>
            </w:pPr>
            <w:r/>
            <w:r>
              <w:rPr>
                <w:rFonts w:ascii="Times New Roman" w:hAnsi="Times New Roman" w:eastAsia="宋体"/>
                <w:b w:val="0"/>
                <w:sz w:val="21"/>
              </w:rPr>
              <w:t>−5.35</w:t>
            </w:r>
          </w:p>
        </w:tc>
      </w:tr>
      <w:tr>
        <w:tc>
          <w:tcPr>
            <w:tcW w:type="dxa" w:w="1133"/>
          </w:tcPr>
          <w:p>
            <w:pPr>
              <w:jc w:val="center"/>
            </w:pPr>
            <w:r/>
            <w:r>
              <w:rPr>
                <w:rFonts w:ascii="Times New Roman" w:hAnsi="Times New Roman" w:eastAsia="宋体"/>
                <w:b w:val="0"/>
                <w:sz w:val="21"/>
              </w:rPr>
              <w:t>九江镇</w:t>
            </w:r>
          </w:p>
        </w:tc>
        <w:tc>
          <w:tcPr>
            <w:tcW w:type="dxa" w:w="1133"/>
          </w:tcPr>
          <w:p>
            <w:pPr>
              <w:jc w:val="center"/>
            </w:pPr>
            <w:r/>
            <w:r>
              <w:rPr>
                <w:rFonts w:ascii="Times New Roman" w:hAnsi="Times New Roman" w:eastAsia="宋体"/>
                <w:b w:val="0"/>
                <w:sz w:val="21"/>
              </w:rPr>
              <w:t>259</w:t>
            </w:r>
          </w:p>
        </w:tc>
        <w:tc>
          <w:tcPr>
            <w:tcW w:type="dxa" w:w="1133"/>
          </w:tcPr>
          <w:p>
            <w:pPr>
              <w:jc w:val="center"/>
            </w:pPr>
            <w:r/>
            <w:r>
              <w:rPr>
                <w:rFonts w:ascii="Times New Roman" w:hAnsi="Times New Roman" w:eastAsia="宋体"/>
                <w:b w:val="0"/>
                <w:sz w:val="21"/>
              </w:rPr>
              <w:t>15</w:t>
            </w:r>
          </w:p>
        </w:tc>
        <w:tc>
          <w:tcPr>
            <w:tcW w:type="dxa" w:w="1133"/>
          </w:tcPr>
          <w:p>
            <w:pPr>
              <w:jc w:val="center"/>
            </w:pPr>
            <w:r/>
            <w:r>
              <w:rPr>
                <w:rFonts w:ascii="Times New Roman" w:hAnsi="Times New Roman" w:eastAsia="宋体"/>
                <w:b w:val="0"/>
                <w:sz w:val="21"/>
              </w:rPr>
              <w:t>13</w:t>
            </w:r>
          </w:p>
        </w:tc>
        <w:tc>
          <w:tcPr>
            <w:tcW w:type="dxa" w:w="1133"/>
          </w:tcPr>
          <w:p>
            <w:pPr>
              <w:jc w:val="center"/>
            </w:pPr>
            <w:r/>
            <w:r>
              <w:rPr>
                <w:rFonts w:ascii="Times New Roman" w:hAnsi="Times New Roman" w:eastAsia="宋体"/>
                <w:b w:val="0"/>
                <w:sz w:val="21"/>
              </w:rPr>
              <w:t>36.71</w:t>
            </w:r>
          </w:p>
        </w:tc>
        <w:tc>
          <w:tcPr>
            <w:tcW w:type="dxa" w:w="1133"/>
          </w:tcPr>
          <w:p>
            <w:pPr>
              <w:jc w:val="center"/>
            </w:pPr>
            <w:r/>
            <w:r>
              <w:rPr>
                <w:rFonts w:ascii="Times New Roman" w:hAnsi="Times New Roman" w:eastAsia="宋体"/>
                <w:b w:val="0"/>
                <w:sz w:val="21"/>
              </w:rPr>
              <w:t>35.00</w:t>
            </w:r>
          </w:p>
        </w:tc>
        <w:tc>
          <w:tcPr>
            <w:tcW w:type="dxa" w:w="1133"/>
          </w:tcPr>
          <w:p>
            <w:pPr>
              <w:jc w:val="center"/>
            </w:pPr>
            <w:r/>
            <w:r>
              <w:rPr>
                <w:rFonts w:ascii="Times New Roman" w:hAnsi="Times New Roman" w:eastAsia="宋体"/>
                <w:b w:val="0"/>
                <w:sz w:val="21"/>
              </w:rPr>
              <w:t>35.85</w:t>
            </w:r>
          </w:p>
        </w:tc>
        <w:tc>
          <w:tcPr>
            <w:tcW w:type="dxa" w:w="1133"/>
          </w:tcPr>
          <w:p>
            <w:pPr>
              <w:jc w:val="center"/>
            </w:pPr>
            <w:r/>
            <w:r>
              <w:rPr>
                <w:rFonts w:ascii="Times New Roman" w:hAnsi="Times New Roman" w:eastAsia="宋体"/>
                <w:b w:val="0"/>
                <w:sz w:val="21"/>
              </w:rPr>
              <w:t>0.00</w:t>
            </w:r>
          </w:p>
        </w:tc>
      </w:tr>
    </w:tbl>
    <w:p/>
    <w:p/>
    <w:p>
      <w:pPr>
        <w:spacing w:line="400" w:lineRule="exact" w:before="0" w:after="0"/>
        <w:ind w:firstLine="480"/>
      </w:pPr>
      <w:r>
        <w:rPr>
          <w:rFonts w:ascii="Times New Roman" w:hAnsi="Times New Roman" w:eastAsia="宋体"/>
          <w:b w:val="0"/>
          <w:sz w:val="24"/>
        </w:rPr>
        <w:t>数据来源：output/tables/indices_town_summary.csv。大沥镇的物质载体锚点为 0，其在本分析中缺失 CMI 等均值；"未标注"类载体（80 条）分布广泛，主要是无 town 字段的不可移动文物，其 MI 均值为 −0.47，基本中性。</w:t>
      </w:r>
    </w:p>
    <w:p/>
    <w:p>
      <w:pPr>
        <w:spacing w:line="400" w:lineRule="exact" w:before="0" w:after="0"/>
        <w:ind w:firstLine="480"/>
      </w:pPr>
      <w:r>
        <w:rPr>
          <w:rFonts w:ascii="Times New Roman" w:hAnsi="Times New Roman" w:eastAsia="宋体"/>
          <w:b w:val="0"/>
          <w:sz w:val="24"/>
        </w:rPr>
        <w:t>表 6.1 揭示了三点规律：第一，桂城街道的 POI 总量最高（4,174），MI 均值显著为正（+21.12），表现为典型的"有形无魂"倾向；第二，九江镇虽物质载体与非遗数量均位居前列，但 POI 仅为 259，MI 均值接近 0（与其缓冲内少量 POI 构成的 THI 较低相互对冲）；第三，里水镇在当前数据下仅匹配到 1 个物质载体锚点，其 MI 均值为 −39.11 参考价值有限，提示后续需补充里水段载体数据。</w:t>
      </w:r>
    </w:p>
    <w:p/>
    <w:p>
      <w:pPr>
        <w:spacing w:line="400" w:lineRule="exact" w:before="0" w:after="0"/>
        <w:jc w:val="center"/>
      </w:pPr>
      <w:r>
        <w:rPr>
          <w:rFonts w:ascii="Times New Roman" w:hAnsi="Times New Roman" w:eastAsia="宋体"/>
          <w:b/>
          <w:sz w:val="24"/>
        </w:rPr>
        <w:t>图 6.3　镇街尺度文化厚度、旅游热度与错位类型对比</w:t>
      </w:r>
    </w:p>
    <w:p/>
    <w:p>
      <w:pPr>
        <w:jc w:val="center"/>
      </w:pPr>
      <w:r>
        <w:drawing>
          <wp:inline xmlns:a="http://schemas.openxmlformats.org/drawingml/2006/main" xmlns:pic="http://schemas.openxmlformats.org/drawingml/2006/picture">
            <wp:extent cx="5669280" cy="2491006"/>
            <wp:docPr id="9" name="Picture 9"/>
            <wp:cNvGraphicFramePr>
              <a:graphicFrameLocks noChangeAspect="1"/>
            </wp:cNvGraphicFramePr>
            <a:graphic>
              <a:graphicData uri="http://schemas.openxmlformats.org/drawingml/2006/picture">
                <pic:pic>
                  <pic:nvPicPr>
                    <pic:cNvPr id="0" name="fig3_town_bar.png"/>
                    <pic:cNvPicPr/>
                  </pic:nvPicPr>
                  <pic:blipFill>
                    <a:blip r:embed="rId17"/>
                    <a:stretch>
                      <a:fillRect/>
                    </a:stretch>
                  </pic:blipFill>
                  <pic:spPr>
                    <a:xfrm>
                      <a:off x="0" y="0"/>
                      <a:ext cx="5669280" cy="2491006"/>
                    </a:xfrm>
                    <a:prstGeom prst="rect"/>
                  </pic:spPr>
                </pic:pic>
              </a:graphicData>
            </a:graphic>
          </wp:inline>
        </w:drawing>
      </w:r>
    </w:p>
    <w:p/>
    <w:p>
      <w:pPr>
        <w:pStyle w:val="Heading3"/>
        <w:spacing w:line="400" w:lineRule="exact" w:before="240" w:after="80"/>
        <w:jc w:val="left"/>
      </w:pPr>
      <w:r>
        <w:rPr>
          <w:rFonts w:ascii="Times New Roman" w:hAnsi="Times New Roman" w:eastAsia="宋体"/>
          <w:b/>
          <w:sz w:val="26"/>
        </w:rPr>
        <w:t>6.2.3 知识图谱 0 跳 / 1 跳口径复核</w:t>
      </w:r>
    </w:p>
    <w:p/>
    <w:p>
      <w:pPr>
        <w:spacing w:line="400" w:lineRule="exact" w:before="0" w:after="0"/>
        <w:ind w:firstLine="480"/>
      </w:pPr>
      <w:r>
        <w:rPr>
          <w:rFonts w:ascii="Times New Roman" w:hAnsi="Times New Roman" w:eastAsia="宋体"/>
          <w:b w:val="0"/>
          <w:sz w:val="24"/>
        </w:rPr>
        <w:t>为回应"结论是否只是常识性判断"的问题，本研究在 500 m 网格尺度上进一步引入知识图谱路径复核。0 跳口径表示 POI → anchor → entity 能直接触达的种子实体集合；1 跳口径在此基础上沿关系图扩展一步，把与种子实体直接相邻的人物、事件、地点、文献和技艺纳入文化厚度计算。旅游热度 T 仍由 POI 密度、平均评分与评论量构成，来源独立于文化侧；错位值定义为 M = T - C。</w:t>
      </w:r>
    </w:p>
    <w:p/>
    <w:p>
      <w:pPr>
        <w:spacing w:line="400" w:lineRule="exact" w:before="0" w:after="0"/>
        <w:jc w:val="center"/>
      </w:pPr>
      <w:r>
        <w:rPr>
          <w:rFonts w:ascii="Times New Roman" w:hAnsi="Times New Roman" w:eastAsia="宋体"/>
          <w:b/>
          <w:sz w:val="24"/>
        </w:rPr>
        <w:t>表 6.2　500 m 网格 0 跳 / 1 跳错位分类对比</w:t>
      </w:r>
    </w:p>
    <w:p/>
    <w:tbl>
      <w:tblPr>
        <w:tblStyle w:val="TableGrid"/>
        <w:tblW w:type="auto" w:w="0"/>
        <w:tblLayout w:type="autofit"/>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1"/>
              </w:rPr>
              <w:t>口径</w:t>
            </w:r>
          </w:p>
        </w:tc>
        <w:tc>
          <w:tcPr>
            <w:tcW w:type="dxa" w:w="1511"/>
          </w:tcPr>
          <w:p>
            <w:pPr>
              <w:jc w:val="center"/>
            </w:pPr>
            <w:r/>
            <w:r>
              <w:rPr>
                <w:rFonts w:ascii="Times New Roman" w:hAnsi="Times New Roman" w:eastAsia="宋体"/>
                <w:b/>
                <w:sz w:val="21"/>
              </w:rPr>
              <w:t>双低空白</w:t>
            </w:r>
          </w:p>
        </w:tc>
        <w:tc>
          <w:tcPr>
            <w:tcW w:type="dxa" w:w="1511"/>
          </w:tcPr>
          <w:p>
            <w:pPr>
              <w:jc w:val="center"/>
            </w:pPr>
            <w:r/>
            <w:r>
              <w:rPr>
                <w:rFonts w:ascii="Times New Roman" w:hAnsi="Times New Roman" w:eastAsia="宋体"/>
                <w:b/>
                <w:sz w:val="21"/>
              </w:rPr>
              <w:t>一般地带</w:t>
            </w:r>
          </w:p>
        </w:tc>
        <w:tc>
          <w:tcPr>
            <w:tcW w:type="dxa" w:w="1511"/>
          </w:tcPr>
          <w:p>
            <w:pPr>
              <w:jc w:val="center"/>
            </w:pPr>
            <w:r/>
            <w:r>
              <w:rPr>
                <w:rFonts w:ascii="Times New Roman" w:hAnsi="Times New Roman" w:eastAsia="宋体"/>
                <w:b/>
                <w:sz w:val="21"/>
              </w:rPr>
              <w:t>沉睡潜力</w:t>
            </w:r>
          </w:p>
        </w:tc>
        <w:tc>
          <w:tcPr>
            <w:tcW w:type="dxa" w:w="1511"/>
          </w:tcPr>
          <w:p>
            <w:pPr>
              <w:jc w:val="center"/>
            </w:pPr>
            <w:r/>
            <w:r>
              <w:rPr>
                <w:rFonts w:ascii="Times New Roman" w:hAnsi="Times New Roman" w:eastAsia="宋体"/>
                <w:b/>
                <w:sz w:val="21"/>
              </w:rPr>
              <w:t>空心景点</w:t>
            </w:r>
          </w:p>
        </w:tc>
        <w:tc>
          <w:tcPr>
            <w:tcW w:type="dxa" w:w="1511"/>
          </w:tcPr>
          <w:p>
            <w:pPr>
              <w:jc w:val="center"/>
            </w:pPr>
            <w:r/>
            <w:r>
              <w:rPr>
                <w:rFonts w:ascii="Times New Roman" w:hAnsi="Times New Roman" w:eastAsia="宋体"/>
                <w:b/>
                <w:sz w:val="21"/>
              </w:rPr>
              <w:t>核心耦合</w:t>
            </w:r>
          </w:p>
        </w:tc>
      </w:tr>
      <w:tr>
        <w:tc>
          <w:tcPr>
            <w:tcW w:type="dxa" w:w="1511"/>
          </w:tcPr>
          <w:p>
            <w:pPr>
              <w:jc w:val="center"/>
            </w:pPr>
            <w:r/>
            <w:r>
              <w:rPr>
                <w:rFonts w:ascii="Times New Roman" w:hAnsi="Times New Roman" w:eastAsia="宋体"/>
                <w:b w:val="0"/>
                <w:sz w:val="21"/>
              </w:rPr>
              <w:t>0 跳</w:t>
            </w:r>
          </w:p>
        </w:tc>
        <w:tc>
          <w:tcPr>
            <w:tcW w:type="dxa" w:w="1511"/>
          </w:tcPr>
          <w:p>
            <w:pPr>
              <w:jc w:val="center"/>
            </w:pPr>
            <w:r/>
            <w:r>
              <w:rPr>
                <w:rFonts w:ascii="Times New Roman" w:hAnsi="Times New Roman" w:eastAsia="宋体"/>
                <w:b w:val="0"/>
                <w:sz w:val="21"/>
              </w:rPr>
              <w:t>3,870</w:t>
            </w:r>
          </w:p>
        </w:tc>
        <w:tc>
          <w:tcPr>
            <w:tcW w:type="dxa" w:w="1511"/>
          </w:tcPr>
          <w:p>
            <w:pPr>
              <w:jc w:val="center"/>
            </w:pPr>
            <w:r/>
            <w:r>
              <w:rPr>
                <w:rFonts w:ascii="Times New Roman" w:hAnsi="Times New Roman" w:eastAsia="宋体"/>
                <w:b w:val="0"/>
                <w:sz w:val="21"/>
              </w:rPr>
              <w:t>651</w:t>
            </w:r>
          </w:p>
        </w:tc>
        <w:tc>
          <w:tcPr>
            <w:tcW w:type="dxa" w:w="1511"/>
          </w:tcPr>
          <w:p>
            <w:pPr>
              <w:jc w:val="center"/>
            </w:pPr>
            <w:r/>
            <w:r>
              <w:rPr>
                <w:rFonts w:ascii="Times New Roman" w:hAnsi="Times New Roman" w:eastAsia="宋体"/>
                <w:b w:val="0"/>
                <w:sz w:val="21"/>
              </w:rPr>
              <w:t>99</w:t>
            </w:r>
          </w:p>
        </w:tc>
        <w:tc>
          <w:tcPr>
            <w:tcW w:type="dxa" w:w="1511"/>
          </w:tcPr>
          <w:p>
            <w:pPr>
              <w:jc w:val="center"/>
            </w:pPr>
            <w:r/>
            <w:r>
              <w:rPr>
                <w:rFonts w:ascii="Times New Roman" w:hAnsi="Times New Roman" w:eastAsia="宋体"/>
                <w:b w:val="0"/>
                <w:sz w:val="21"/>
              </w:rPr>
              <w:t>36</w:t>
            </w:r>
          </w:p>
        </w:tc>
        <w:tc>
          <w:tcPr>
            <w:tcW w:type="dxa" w:w="1511"/>
          </w:tcPr>
          <w:p>
            <w:pPr>
              <w:jc w:val="center"/>
            </w:pPr>
            <w:r/>
            <w:r>
              <w:rPr>
                <w:rFonts w:ascii="Times New Roman" w:hAnsi="Times New Roman" w:eastAsia="宋体"/>
                <w:b w:val="0"/>
                <w:sz w:val="21"/>
              </w:rPr>
              <w:t>6</w:t>
            </w:r>
          </w:p>
        </w:tc>
      </w:tr>
      <w:tr>
        <w:tc>
          <w:tcPr>
            <w:tcW w:type="dxa" w:w="1511"/>
          </w:tcPr>
          <w:p>
            <w:pPr>
              <w:jc w:val="center"/>
            </w:pPr>
            <w:r/>
            <w:r>
              <w:rPr>
                <w:rFonts w:ascii="Times New Roman" w:hAnsi="Times New Roman" w:eastAsia="宋体"/>
                <w:b w:val="0"/>
                <w:sz w:val="21"/>
              </w:rPr>
              <w:t>1 跳</w:t>
            </w:r>
          </w:p>
        </w:tc>
        <w:tc>
          <w:tcPr>
            <w:tcW w:type="dxa" w:w="1511"/>
          </w:tcPr>
          <w:p>
            <w:pPr>
              <w:jc w:val="center"/>
            </w:pPr>
            <w:r/>
            <w:r>
              <w:rPr>
                <w:rFonts w:ascii="Times New Roman" w:hAnsi="Times New Roman" w:eastAsia="宋体"/>
                <w:b w:val="0"/>
                <w:sz w:val="21"/>
              </w:rPr>
              <w:t>3,841</w:t>
            </w:r>
          </w:p>
        </w:tc>
        <w:tc>
          <w:tcPr>
            <w:tcW w:type="dxa" w:w="1511"/>
          </w:tcPr>
          <w:p>
            <w:pPr>
              <w:jc w:val="center"/>
            </w:pPr>
            <w:r/>
            <w:r>
              <w:rPr>
                <w:rFonts w:ascii="Times New Roman" w:hAnsi="Times New Roman" w:eastAsia="宋体"/>
                <w:b w:val="0"/>
                <w:sz w:val="21"/>
              </w:rPr>
              <w:t>609</w:t>
            </w:r>
          </w:p>
        </w:tc>
        <w:tc>
          <w:tcPr>
            <w:tcW w:type="dxa" w:w="1511"/>
          </w:tcPr>
          <w:p>
            <w:pPr>
              <w:jc w:val="center"/>
            </w:pPr>
            <w:r/>
            <w:r>
              <w:rPr>
                <w:rFonts w:ascii="Times New Roman" w:hAnsi="Times New Roman" w:eastAsia="宋体"/>
                <w:b w:val="0"/>
                <w:sz w:val="21"/>
              </w:rPr>
              <w:t>170</w:t>
            </w:r>
          </w:p>
        </w:tc>
        <w:tc>
          <w:tcPr>
            <w:tcW w:type="dxa" w:w="1511"/>
          </w:tcPr>
          <w:p>
            <w:pPr>
              <w:jc w:val="center"/>
            </w:pPr>
            <w:r/>
            <w:r>
              <w:rPr>
                <w:rFonts w:ascii="Times New Roman" w:hAnsi="Times New Roman" w:eastAsia="宋体"/>
                <w:b w:val="0"/>
                <w:sz w:val="21"/>
              </w:rPr>
              <w:t>34</w:t>
            </w:r>
          </w:p>
        </w:tc>
        <w:tc>
          <w:tcPr>
            <w:tcW w:type="dxa" w:w="1511"/>
          </w:tcPr>
          <w:p>
            <w:pPr>
              <w:jc w:val="center"/>
            </w:pPr>
            <w:r/>
            <w:r>
              <w:rPr>
                <w:rFonts w:ascii="Times New Roman" w:hAnsi="Times New Roman" w:eastAsia="宋体"/>
                <w:b w:val="0"/>
                <w:sz w:val="21"/>
              </w:rPr>
              <w:t>8</w:t>
            </w:r>
          </w:p>
        </w:tc>
      </w:tr>
    </w:tbl>
    <w:p/>
    <w:p/>
    <w:p>
      <w:pPr>
        <w:spacing w:line="400" w:lineRule="exact" w:before="0" w:after="0"/>
        <w:ind w:firstLine="480"/>
      </w:pPr>
      <w:r>
        <w:rPr>
          <w:rFonts w:ascii="Times New Roman" w:hAnsi="Times New Roman" w:eastAsia="宋体"/>
          <w:b w:val="0"/>
          <w:sz w:val="24"/>
        </w:rPr>
        <w:t>数据来源：output/tables/grid_overview_kg.json，区内有效网格共 4,662 个。</w:t>
      </w:r>
    </w:p>
    <w:p/>
    <w:p>
      <w:pPr>
        <w:spacing w:line="400" w:lineRule="exact" w:before="0" w:after="0"/>
        <w:ind w:firstLine="480"/>
      </w:pPr>
      <w:r>
        <w:rPr>
          <w:rFonts w:ascii="Times New Roman" w:hAnsi="Times New Roman" w:eastAsia="宋体"/>
          <w:b w:val="0"/>
          <w:sz w:val="24"/>
        </w:rPr>
        <w:t>表 6.2 显示，知识图谱从 0 跳扩展到 1 跳后，沉睡潜力网格由 99 个增加到 170 个，核心耦合网格由 6 个增加到 8 个，而空心景点网格略降为 34 个。其含义是：一些地点本身未能直接命中文化实体，但通过图谱的一步关系可以连接到相关人物、事件、技艺与文献，从而显化出原先被低估的文化厚度。这个结果不是简单增加文化权重，而是利用实体关系结构识别"有文化网络支撑但旅游转化不足"的潜力空间。</w:t>
      </w:r>
    </w:p>
    <w:p/>
    <w:p>
      <w:pPr>
        <w:spacing w:line="400" w:lineRule="exact" w:before="0" w:after="0"/>
        <w:jc w:val="center"/>
      </w:pPr>
      <w:r>
        <w:rPr>
          <w:rFonts w:ascii="Times New Roman" w:hAnsi="Times New Roman" w:eastAsia="宋体"/>
          <w:b/>
          <w:sz w:val="24"/>
        </w:rPr>
        <w:t>表 6.3　镇街尺度 1 跳知识图谱口径摘要</w:t>
      </w:r>
    </w:p>
    <w:p/>
    <w:tbl>
      <w:tblPr>
        <w:tblStyle w:val="TableGrid"/>
        <w:tblW w:type="auto" w:w="0"/>
        <w:tblLayout w:type="autofit"/>
        <w:tblLook w:firstColumn="1" w:firstRow="1" w:lastColumn="0" w:lastRow="0" w:noHBand="0" w:noVBand="1" w:val="04A0"/>
      </w:tblPr>
      <w:tblGrid>
        <w:gridCol w:w="906"/>
        <w:gridCol w:w="906"/>
        <w:gridCol w:w="906"/>
        <w:gridCol w:w="906"/>
        <w:gridCol w:w="906"/>
        <w:gridCol w:w="906"/>
        <w:gridCol w:w="906"/>
        <w:gridCol w:w="906"/>
        <w:gridCol w:w="906"/>
        <w:gridCol w:w="906"/>
      </w:tblGrid>
      <w:tr>
        <w:tc>
          <w:tcPr>
            <w:tcW w:type="dxa" w:w="906"/>
          </w:tcPr>
          <w:p>
            <w:pPr>
              <w:jc w:val="center"/>
            </w:pPr>
            <w:r/>
            <w:r>
              <w:rPr>
                <w:rFonts w:ascii="Times New Roman" w:hAnsi="Times New Roman" w:eastAsia="宋体"/>
                <w:b/>
                <w:sz w:val="21"/>
              </w:rPr>
              <w:t>镇街</w:t>
            </w:r>
          </w:p>
        </w:tc>
        <w:tc>
          <w:tcPr>
            <w:tcW w:type="dxa" w:w="906"/>
          </w:tcPr>
          <w:p>
            <w:pPr>
              <w:jc w:val="center"/>
            </w:pPr>
            <w:r/>
            <w:r>
              <w:rPr>
                <w:rFonts w:ascii="Times New Roman" w:hAnsi="Times New Roman" w:eastAsia="宋体"/>
                <w:b/>
                <w:sz w:val="21"/>
              </w:rPr>
              <w:t>网格数</w:t>
            </w:r>
          </w:p>
        </w:tc>
        <w:tc>
          <w:tcPr>
            <w:tcW w:type="dxa" w:w="906"/>
          </w:tcPr>
          <w:p>
            <w:pPr>
              <w:jc w:val="center"/>
            </w:pPr>
            <w:r/>
            <w:r>
              <w:rPr>
                <w:rFonts w:ascii="Times New Roman" w:hAnsi="Times New Roman" w:eastAsia="宋体"/>
                <w:b/>
                <w:sz w:val="21"/>
              </w:rPr>
              <w:t>anchor 数</w:t>
            </w:r>
          </w:p>
        </w:tc>
        <w:tc>
          <w:tcPr>
            <w:tcW w:type="dxa" w:w="906"/>
          </w:tcPr>
          <w:p>
            <w:pPr>
              <w:jc w:val="center"/>
            </w:pPr>
            <w:r/>
            <w:r>
              <w:rPr>
                <w:rFonts w:ascii="Times New Roman" w:hAnsi="Times New Roman" w:eastAsia="宋体"/>
                <w:b/>
                <w:sz w:val="21"/>
              </w:rPr>
              <w:t>POI 数</w:t>
            </w:r>
          </w:p>
        </w:tc>
        <w:tc>
          <w:tcPr>
            <w:tcW w:type="dxa" w:w="906"/>
          </w:tcPr>
          <w:p>
            <w:pPr>
              <w:jc w:val="center"/>
            </w:pPr>
            <w:r/>
            <w:r>
              <w:rPr>
                <w:rFonts w:ascii="Times New Roman" w:hAnsi="Times New Roman" w:eastAsia="宋体"/>
                <w:b/>
                <w:sz w:val="21"/>
              </w:rPr>
              <w:t>C_1hop 均值</w:t>
            </w:r>
          </w:p>
        </w:tc>
        <w:tc>
          <w:tcPr>
            <w:tcW w:type="dxa" w:w="906"/>
          </w:tcPr>
          <w:p>
            <w:pPr>
              <w:jc w:val="center"/>
            </w:pPr>
            <w:r/>
            <w:r>
              <w:rPr>
                <w:rFonts w:ascii="Times New Roman" w:hAnsi="Times New Roman" w:eastAsia="宋体"/>
                <w:b/>
                <w:sz w:val="21"/>
              </w:rPr>
              <w:t>T 均值</w:t>
            </w:r>
          </w:p>
        </w:tc>
        <w:tc>
          <w:tcPr>
            <w:tcW w:type="dxa" w:w="906"/>
          </w:tcPr>
          <w:p>
            <w:pPr>
              <w:jc w:val="center"/>
            </w:pPr>
            <w:r/>
            <w:r>
              <w:rPr>
                <w:rFonts w:ascii="Times New Roman" w:hAnsi="Times New Roman" w:eastAsia="宋体"/>
                <w:b/>
                <w:sz w:val="21"/>
              </w:rPr>
              <w:t>M_1hop 均值</w:t>
            </w:r>
          </w:p>
        </w:tc>
        <w:tc>
          <w:tcPr>
            <w:tcW w:type="dxa" w:w="906"/>
          </w:tcPr>
          <w:p>
            <w:pPr>
              <w:jc w:val="center"/>
            </w:pPr>
            <w:r/>
            <w:r>
              <w:rPr>
                <w:rFonts w:ascii="Times New Roman" w:hAnsi="Times New Roman" w:eastAsia="宋体"/>
                <w:b/>
                <w:sz w:val="21"/>
              </w:rPr>
              <w:t>1 跳沉睡</w:t>
            </w:r>
          </w:p>
        </w:tc>
        <w:tc>
          <w:tcPr>
            <w:tcW w:type="dxa" w:w="906"/>
          </w:tcPr>
          <w:p>
            <w:pPr>
              <w:jc w:val="center"/>
            </w:pPr>
            <w:r/>
            <w:r>
              <w:rPr>
                <w:rFonts w:ascii="Times New Roman" w:hAnsi="Times New Roman" w:eastAsia="宋体"/>
                <w:b/>
                <w:sz w:val="21"/>
              </w:rPr>
              <w:t>1 跳空心</w:t>
            </w:r>
          </w:p>
        </w:tc>
        <w:tc>
          <w:tcPr>
            <w:tcW w:type="dxa" w:w="906"/>
          </w:tcPr>
          <w:p>
            <w:pPr>
              <w:jc w:val="center"/>
            </w:pPr>
            <w:r/>
            <w:r>
              <w:rPr>
                <w:rFonts w:ascii="Times New Roman" w:hAnsi="Times New Roman" w:eastAsia="宋体"/>
                <w:b/>
                <w:sz w:val="21"/>
              </w:rPr>
              <w:t>1 跳核心</w:t>
            </w:r>
          </w:p>
        </w:tc>
      </w:tr>
      <w:tr>
        <w:tc>
          <w:tcPr>
            <w:tcW w:type="dxa" w:w="906"/>
          </w:tcPr>
          <w:p>
            <w:pPr>
              <w:jc w:val="center"/>
            </w:pPr>
            <w:r/>
            <w:r>
              <w:rPr>
                <w:rFonts w:ascii="Times New Roman" w:hAnsi="Times New Roman" w:eastAsia="宋体"/>
                <w:b w:val="0"/>
                <w:sz w:val="21"/>
              </w:rPr>
              <w:t>西樵镇</w:t>
            </w:r>
          </w:p>
        </w:tc>
        <w:tc>
          <w:tcPr>
            <w:tcW w:type="dxa" w:w="906"/>
          </w:tcPr>
          <w:p>
            <w:pPr>
              <w:jc w:val="center"/>
            </w:pPr>
            <w:r/>
            <w:r>
              <w:rPr>
                <w:rFonts w:ascii="Times New Roman" w:hAnsi="Times New Roman" w:eastAsia="宋体"/>
                <w:b w:val="0"/>
                <w:sz w:val="21"/>
              </w:rPr>
              <w:t>715</w:t>
            </w:r>
          </w:p>
        </w:tc>
        <w:tc>
          <w:tcPr>
            <w:tcW w:type="dxa" w:w="906"/>
          </w:tcPr>
          <w:p>
            <w:pPr>
              <w:jc w:val="center"/>
            </w:pPr>
            <w:r/>
            <w:r>
              <w:rPr>
                <w:rFonts w:ascii="Times New Roman" w:hAnsi="Times New Roman" w:eastAsia="宋体"/>
                <w:b w:val="0"/>
                <w:sz w:val="21"/>
              </w:rPr>
              <w:t>95</w:t>
            </w:r>
          </w:p>
        </w:tc>
        <w:tc>
          <w:tcPr>
            <w:tcW w:type="dxa" w:w="906"/>
          </w:tcPr>
          <w:p>
            <w:pPr>
              <w:jc w:val="center"/>
            </w:pPr>
            <w:r/>
            <w:r>
              <w:rPr>
                <w:rFonts w:ascii="Times New Roman" w:hAnsi="Times New Roman" w:eastAsia="宋体"/>
                <w:b w:val="0"/>
                <w:sz w:val="21"/>
              </w:rPr>
              <w:t>1,310</w:t>
            </w:r>
          </w:p>
        </w:tc>
        <w:tc>
          <w:tcPr>
            <w:tcW w:type="dxa" w:w="906"/>
          </w:tcPr>
          <w:p>
            <w:pPr>
              <w:jc w:val="center"/>
            </w:pPr>
            <w:r/>
            <w:r>
              <w:rPr>
                <w:rFonts w:ascii="Times New Roman" w:hAnsi="Times New Roman" w:eastAsia="宋体"/>
                <w:b w:val="0"/>
                <w:sz w:val="21"/>
              </w:rPr>
              <w:t>11.78</w:t>
            </w:r>
          </w:p>
        </w:tc>
        <w:tc>
          <w:tcPr>
            <w:tcW w:type="dxa" w:w="906"/>
          </w:tcPr>
          <w:p>
            <w:pPr>
              <w:jc w:val="center"/>
            </w:pPr>
            <w:r/>
            <w:r>
              <w:rPr>
                <w:rFonts w:ascii="Times New Roman" w:hAnsi="Times New Roman" w:eastAsia="宋体"/>
                <w:b w:val="0"/>
                <w:sz w:val="21"/>
              </w:rPr>
              <w:t>6.55</w:t>
            </w:r>
          </w:p>
        </w:tc>
        <w:tc>
          <w:tcPr>
            <w:tcW w:type="dxa" w:w="906"/>
          </w:tcPr>
          <w:p>
            <w:pPr>
              <w:jc w:val="center"/>
            </w:pPr>
            <w:r/>
            <w:r>
              <w:rPr>
                <w:rFonts w:ascii="Times New Roman" w:hAnsi="Times New Roman" w:eastAsia="宋体"/>
                <w:b w:val="0"/>
                <w:sz w:val="21"/>
              </w:rPr>
              <w:t>−5.23</w:t>
            </w:r>
          </w:p>
        </w:tc>
        <w:tc>
          <w:tcPr>
            <w:tcW w:type="dxa" w:w="906"/>
          </w:tcPr>
          <w:p>
            <w:pPr>
              <w:jc w:val="center"/>
            </w:pPr>
            <w:r/>
            <w:r>
              <w:rPr>
                <w:rFonts w:ascii="Times New Roman" w:hAnsi="Times New Roman" w:eastAsia="宋体"/>
                <w:b w:val="0"/>
                <w:sz w:val="21"/>
              </w:rPr>
              <w:t>89</w:t>
            </w:r>
          </w:p>
        </w:tc>
        <w:tc>
          <w:tcPr>
            <w:tcW w:type="dxa" w:w="906"/>
          </w:tcPr>
          <w:p>
            <w:pPr>
              <w:jc w:val="center"/>
            </w:pPr>
            <w:r/>
            <w:r>
              <w:rPr>
                <w:rFonts w:ascii="Times New Roman" w:hAnsi="Times New Roman" w:eastAsia="宋体"/>
                <w:b w:val="0"/>
                <w:sz w:val="21"/>
              </w:rPr>
              <w:t>4</w:t>
            </w:r>
          </w:p>
        </w:tc>
        <w:tc>
          <w:tcPr>
            <w:tcW w:type="dxa" w:w="906"/>
          </w:tcPr>
          <w:p>
            <w:pPr>
              <w:jc w:val="center"/>
            </w:pPr>
            <w:r/>
            <w:r>
              <w:rPr>
                <w:rFonts w:ascii="Times New Roman" w:hAnsi="Times New Roman" w:eastAsia="宋体"/>
                <w:b w:val="0"/>
                <w:sz w:val="21"/>
              </w:rPr>
              <w:t>6</w:t>
            </w:r>
          </w:p>
        </w:tc>
      </w:tr>
      <w:tr>
        <w:tc>
          <w:tcPr>
            <w:tcW w:type="dxa" w:w="906"/>
          </w:tcPr>
          <w:p>
            <w:pPr>
              <w:jc w:val="center"/>
            </w:pPr>
            <w:r/>
            <w:r>
              <w:rPr>
                <w:rFonts w:ascii="Times New Roman" w:hAnsi="Times New Roman" w:eastAsia="宋体"/>
                <w:b w:val="0"/>
                <w:sz w:val="21"/>
              </w:rPr>
              <w:t>九江镇</w:t>
            </w:r>
          </w:p>
        </w:tc>
        <w:tc>
          <w:tcPr>
            <w:tcW w:type="dxa" w:w="906"/>
          </w:tcPr>
          <w:p>
            <w:pPr>
              <w:jc w:val="center"/>
            </w:pPr>
            <w:r/>
            <w:r>
              <w:rPr>
                <w:rFonts w:ascii="Times New Roman" w:hAnsi="Times New Roman" w:eastAsia="宋体"/>
                <w:b w:val="0"/>
                <w:sz w:val="21"/>
              </w:rPr>
              <w:t>386</w:t>
            </w:r>
          </w:p>
        </w:tc>
        <w:tc>
          <w:tcPr>
            <w:tcW w:type="dxa" w:w="906"/>
          </w:tcPr>
          <w:p>
            <w:pPr>
              <w:jc w:val="center"/>
            </w:pPr>
            <w:r/>
            <w:r>
              <w:rPr>
                <w:rFonts w:ascii="Times New Roman" w:hAnsi="Times New Roman" w:eastAsia="宋体"/>
                <w:b w:val="0"/>
                <w:sz w:val="21"/>
              </w:rPr>
              <w:t>34</w:t>
            </w:r>
          </w:p>
        </w:tc>
        <w:tc>
          <w:tcPr>
            <w:tcW w:type="dxa" w:w="906"/>
          </w:tcPr>
          <w:p>
            <w:pPr>
              <w:jc w:val="center"/>
            </w:pPr>
            <w:r/>
            <w:r>
              <w:rPr>
                <w:rFonts w:ascii="Times New Roman" w:hAnsi="Times New Roman" w:eastAsia="宋体"/>
                <w:b w:val="0"/>
                <w:sz w:val="21"/>
              </w:rPr>
              <w:t>531</w:t>
            </w:r>
          </w:p>
        </w:tc>
        <w:tc>
          <w:tcPr>
            <w:tcW w:type="dxa" w:w="906"/>
          </w:tcPr>
          <w:p>
            <w:pPr>
              <w:jc w:val="center"/>
            </w:pPr>
            <w:r/>
            <w:r>
              <w:rPr>
                <w:rFonts w:ascii="Times New Roman" w:hAnsi="Times New Roman" w:eastAsia="宋体"/>
                <w:b w:val="0"/>
                <w:sz w:val="21"/>
              </w:rPr>
              <w:t>6.17</w:t>
            </w:r>
          </w:p>
        </w:tc>
        <w:tc>
          <w:tcPr>
            <w:tcW w:type="dxa" w:w="906"/>
          </w:tcPr>
          <w:p>
            <w:pPr>
              <w:jc w:val="center"/>
            </w:pPr>
            <w:r/>
            <w:r>
              <w:rPr>
                <w:rFonts w:ascii="Times New Roman" w:hAnsi="Times New Roman" w:eastAsia="宋体"/>
                <w:b w:val="0"/>
                <w:sz w:val="21"/>
              </w:rPr>
              <w:t>5.70</w:t>
            </w:r>
          </w:p>
        </w:tc>
        <w:tc>
          <w:tcPr>
            <w:tcW w:type="dxa" w:w="906"/>
          </w:tcPr>
          <w:p>
            <w:pPr>
              <w:jc w:val="center"/>
            </w:pPr>
            <w:r/>
            <w:r>
              <w:rPr>
                <w:rFonts w:ascii="Times New Roman" w:hAnsi="Times New Roman" w:eastAsia="宋体"/>
                <w:b w:val="0"/>
                <w:sz w:val="21"/>
              </w:rPr>
              <w:t>−0.47</w:t>
            </w:r>
          </w:p>
        </w:tc>
        <w:tc>
          <w:tcPr>
            <w:tcW w:type="dxa" w:w="906"/>
          </w:tcPr>
          <w:p>
            <w:pPr>
              <w:jc w:val="center"/>
            </w:pPr>
            <w:r/>
            <w:r>
              <w:rPr>
                <w:rFonts w:ascii="Times New Roman" w:hAnsi="Times New Roman" w:eastAsia="宋体"/>
                <w:b w:val="0"/>
                <w:sz w:val="21"/>
              </w:rPr>
              <w:t>23</w:t>
            </w:r>
          </w:p>
        </w:tc>
        <w:tc>
          <w:tcPr>
            <w:tcW w:type="dxa" w:w="906"/>
          </w:tcPr>
          <w:p>
            <w:pPr>
              <w:jc w:val="center"/>
            </w:pPr>
            <w:r/>
            <w:r>
              <w:rPr>
                <w:rFonts w:ascii="Times New Roman" w:hAnsi="Times New Roman" w:eastAsia="宋体"/>
                <w:b w:val="0"/>
                <w:sz w:val="21"/>
              </w:rPr>
              <w:t>0</w:t>
            </w:r>
          </w:p>
        </w:tc>
        <w:tc>
          <w:tcPr>
            <w:tcW w:type="dxa" w:w="906"/>
          </w:tcPr>
          <w:p>
            <w:pPr>
              <w:jc w:val="center"/>
            </w:pPr>
            <w:r/>
            <w:r>
              <w:rPr>
                <w:rFonts w:ascii="Times New Roman" w:hAnsi="Times New Roman" w:eastAsia="宋体"/>
                <w:b w:val="0"/>
                <w:sz w:val="21"/>
              </w:rPr>
              <w:t>1</w:t>
            </w:r>
          </w:p>
        </w:tc>
      </w:tr>
      <w:tr>
        <w:tc>
          <w:tcPr>
            <w:tcW w:type="dxa" w:w="906"/>
          </w:tcPr>
          <w:p>
            <w:pPr>
              <w:jc w:val="center"/>
            </w:pPr>
            <w:r/>
            <w:r>
              <w:rPr>
                <w:rFonts w:ascii="Times New Roman" w:hAnsi="Times New Roman" w:eastAsia="宋体"/>
                <w:b w:val="0"/>
                <w:sz w:val="21"/>
              </w:rPr>
              <w:t>丹灶镇</w:t>
            </w:r>
          </w:p>
        </w:tc>
        <w:tc>
          <w:tcPr>
            <w:tcW w:type="dxa" w:w="906"/>
          </w:tcPr>
          <w:p>
            <w:pPr>
              <w:jc w:val="center"/>
            </w:pPr>
            <w:r/>
            <w:r>
              <w:rPr>
                <w:rFonts w:ascii="Times New Roman" w:hAnsi="Times New Roman" w:eastAsia="宋体"/>
                <w:b w:val="0"/>
                <w:sz w:val="21"/>
              </w:rPr>
              <w:t>580</w:t>
            </w:r>
          </w:p>
        </w:tc>
        <w:tc>
          <w:tcPr>
            <w:tcW w:type="dxa" w:w="906"/>
          </w:tcPr>
          <w:p>
            <w:pPr>
              <w:jc w:val="center"/>
            </w:pPr>
            <w:r/>
            <w:r>
              <w:rPr>
                <w:rFonts w:ascii="Times New Roman" w:hAnsi="Times New Roman" w:eastAsia="宋体"/>
                <w:b w:val="0"/>
                <w:sz w:val="21"/>
              </w:rPr>
              <w:t>32</w:t>
            </w:r>
          </w:p>
        </w:tc>
        <w:tc>
          <w:tcPr>
            <w:tcW w:type="dxa" w:w="906"/>
          </w:tcPr>
          <w:p>
            <w:pPr>
              <w:jc w:val="center"/>
            </w:pPr>
            <w:r/>
            <w:r>
              <w:rPr>
                <w:rFonts w:ascii="Times New Roman" w:hAnsi="Times New Roman" w:eastAsia="宋体"/>
                <w:b w:val="0"/>
                <w:sz w:val="21"/>
              </w:rPr>
              <w:t>715</w:t>
            </w:r>
          </w:p>
        </w:tc>
        <w:tc>
          <w:tcPr>
            <w:tcW w:type="dxa" w:w="906"/>
          </w:tcPr>
          <w:p>
            <w:pPr>
              <w:jc w:val="center"/>
            </w:pPr>
            <w:r/>
            <w:r>
              <w:rPr>
                <w:rFonts w:ascii="Times New Roman" w:hAnsi="Times New Roman" w:eastAsia="宋体"/>
                <w:b w:val="0"/>
                <w:sz w:val="21"/>
              </w:rPr>
              <w:t>4.36</w:t>
            </w:r>
          </w:p>
        </w:tc>
        <w:tc>
          <w:tcPr>
            <w:tcW w:type="dxa" w:w="906"/>
          </w:tcPr>
          <w:p>
            <w:pPr>
              <w:jc w:val="center"/>
            </w:pPr>
            <w:r/>
            <w:r>
              <w:rPr>
                <w:rFonts w:ascii="Times New Roman" w:hAnsi="Times New Roman" w:eastAsia="宋体"/>
                <w:b w:val="0"/>
                <w:sz w:val="21"/>
              </w:rPr>
              <w:t>5.07</w:t>
            </w:r>
          </w:p>
        </w:tc>
        <w:tc>
          <w:tcPr>
            <w:tcW w:type="dxa" w:w="906"/>
          </w:tcPr>
          <w:p>
            <w:pPr>
              <w:jc w:val="center"/>
            </w:pPr>
            <w:r/>
            <w:r>
              <w:rPr>
                <w:rFonts w:ascii="Times New Roman" w:hAnsi="Times New Roman" w:eastAsia="宋体"/>
                <w:b w:val="0"/>
                <w:sz w:val="21"/>
              </w:rPr>
              <w:t>0.71</w:t>
            </w:r>
          </w:p>
        </w:tc>
        <w:tc>
          <w:tcPr>
            <w:tcW w:type="dxa" w:w="906"/>
          </w:tcPr>
          <w:p>
            <w:pPr>
              <w:jc w:val="center"/>
            </w:pPr>
            <w:r/>
            <w:r>
              <w:rPr>
                <w:rFonts w:ascii="Times New Roman" w:hAnsi="Times New Roman" w:eastAsia="宋体"/>
                <w:b w:val="0"/>
                <w:sz w:val="21"/>
              </w:rPr>
              <w:t>35</w:t>
            </w:r>
          </w:p>
        </w:tc>
        <w:tc>
          <w:tcPr>
            <w:tcW w:type="dxa" w:w="906"/>
          </w:tcPr>
          <w:p>
            <w:pPr>
              <w:jc w:val="center"/>
            </w:pPr>
            <w:r/>
            <w:r>
              <w:rPr>
                <w:rFonts w:ascii="Times New Roman" w:hAnsi="Times New Roman" w:eastAsia="宋体"/>
                <w:b w:val="0"/>
                <w:sz w:val="21"/>
              </w:rPr>
              <w:t>0</w:t>
            </w:r>
          </w:p>
        </w:tc>
        <w:tc>
          <w:tcPr>
            <w:tcW w:type="dxa" w:w="906"/>
          </w:tcPr>
          <w:p>
            <w:pPr>
              <w:jc w:val="center"/>
            </w:pPr>
            <w:r/>
            <w:r>
              <w:rPr>
                <w:rFonts w:ascii="Times New Roman" w:hAnsi="Times New Roman" w:eastAsia="宋体"/>
                <w:b w:val="0"/>
                <w:sz w:val="21"/>
              </w:rPr>
              <w:t>0</w:t>
            </w:r>
          </w:p>
        </w:tc>
      </w:tr>
      <w:tr>
        <w:tc>
          <w:tcPr>
            <w:tcW w:type="dxa" w:w="906"/>
          </w:tcPr>
          <w:p>
            <w:pPr>
              <w:jc w:val="center"/>
            </w:pPr>
            <w:r/>
            <w:r>
              <w:rPr>
                <w:rFonts w:ascii="Times New Roman" w:hAnsi="Times New Roman" w:eastAsia="宋体"/>
                <w:b w:val="0"/>
                <w:sz w:val="21"/>
              </w:rPr>
              <w:t>桂城街道</w:t>
            </w:r>
          </w:p>
        </w:tc>
        <w:tc>
          <w:tcPr>
            <w:tcW w:type="dxa" w:w="906"/>
          </w:tcPr>
          <w:p>
            <w:pPr>
              <w:jc w:val="center"/>
            </w:pPr>
            <w:r/>
            <w:r>
              <w:rPr>
                <w:rFonts w:ascii="Times New Roman" w:hAnsi="Times New Roman" w:eastAsia="宋体"/>
                <w:b w:val="0"/>
                <w:sz w:val="21"/>
              </w:rPr>
              <w:t>333</w:t>
            </w:r>
          </w:p>
        </w:tc>
        <w:tc>
          <w:tcPr>
            <w:tcW w:type="dxa" w:w="906"/>
          </w:tcPr>
          <w:p>
            <w:pPr>
              <w:jc w:val="center"/>
            </w:pPr>
            <w:r/>
            <w:r>
              <w:rPr>
                <w:rFonts w:ascii="Times New Roman" w:hAnsi="Times New Roman" w:eastAsia="宋体"/>
                <w:b w:val="0"/>
                <w:sz w:val="21"/>
              </w:rPr>
              <w:t>29</w:t>
            </w:r>
          </w:p>
        </w:tc>
        <w:tc>
          <w:tcPr>
            <w:tcW w:type="dxa" w:w="906"/>
          </w:tcPr>
          <w:p>
            <w:pPr>
              <w:jc w:val="center"/>
            </w:pPr>
            <w:r/>
            <w:r>
              <w:rPr>
                <w:rFonts w:ascii="Times New Roman" w:hAnsi="Times New Roman" w:eastAsia="宋体"/>
                <w:b w:val="0"/>
                <w:sz w:val="21"/>
              </w:rPr>
              <w:t>3,859</w:t>
            </w:r>
          </w:p>
        </w:tc>
        <w:tc>
          <w:tcPr>
            <w:tcW w:type="dxa" w:w="906"/>
          </w:tcPr>
          <w:p>
            <w:pPr>
              <w:jc w:val="center"/>
            </w:pPr>
            <w:r/>
            <w:r>
              <w:rPr>
                <w:rFonts w:ascii="Times New Roman" w:hAnsi="Times New Roman" w:eastAsia="宋体"/>
                <w:b w:val="0"/>
                <w:sz w:val="21"/>
              </w:rPr>
              <w:t>2.15</w:t>
            </w:r>
          </w:p>
        </w:tc>
        <w:tc>
          <w:tcPr>
            <w:tcW w:type="dxa" w:w="906"/>
          </w:tcPr>
          <w:p>
            <w:pPr>
              <w:jc w:val="center"/>
            </w:pPr>
            <w:r/>
            <w:r>
              <w:rPr>
                <w:rFonts w:ascii="Times New Roman" w:hAnsi="Times New Roman" w:eastAsia="宋体"/>
                <w:b w:val="0"/>
                <w:sz w:val="21"/>
              </w:rPr>
              <w:t>22.28</w:t>
            </w:r>
          </w:p>
        </w:tc>
        <w:tc>
          <w:tcPr>
            <w:tcW w:type="dxa" w:w="906"/>
          </w:tcPr>
          <w:p>
            <w:pPr>
              <w:jc w:val="center"/>
            </w:pPr>
            <w:r/>
            <w:r>
              <w:rPr>
                <w:rFonts w:ascii="Times New Roman" w:hAnsi="Times New Roman" w:eastAsia="宋体"/>
                <w:b w:val="0"/>
                <w:sz w:val="21"/>
              </w:rPr>
              <w:t>20.13</w:t>
            </w:r>
          </w:p>
        </w:tc>
        <w:tc>
          <w:tcPr>
            <w:tcW w:type="dxa" w:w="906"/>
          </w:tcPr>
          <w:p>
            <w:pPr>
              <w:jc w:val="center"/>
            </w:pPr>
            <w:r/>
            <w:r>
              <w:rPr>
                <w:rFonts w:ascii="Times New Roman" w:hAnsi="Times New Roman" w:eastAsia="宋体"/>
                <w:b w:val="0"/>
                <w:sz w:val="21"/>
              </w:rPr>
              <w:t>7</w:t>
            </w:r>
          </w:p>
        </w:tc>
        <w:tc>
          <w:tcPr>
            <w:tcW w:type="dxa" w:w="906"/>
          </w:tcPr>
          <w:p>
            <w:pPr>
              <w:jc w:val="center"/>
            </w:pPr>
            <w:r/>
            <w:r>
              <w:rPr>
                <w:rFonts w:ascii="Times New Roman" w:hAnsi="Times New Roman" w:eastAsia="宋体"/>
                <w:b w:val="0"/>
                <w:sz w:val="21"/>
              </w:rPr>
              <w:t>16</w:t>
            </w:r>
          </w:p>
        </w:tc>
        <w:tc>
          <w:tcPr>
            <w:tcW w:type="dxa" w:w="906"/>
          </w:tcPr>
          <w:p>
            <w:pPr>
              <w:jc w:val="center"/>
            </w:pPr>
            <w:r/>
            <w:r>
              <w:rPr>
                <w:rFonts w:ascii="Times New Roman" w:hAnsi="Times New Roman" w:eastAsia="宋体"/>
                <w:b w:val="0"/>
                <w:sz w:val="21"/>
              </w:rPr>
              <w:t>0</w:t>
            </w:r>
          </w:p>
        </w:tc>
      </w:tr>
      <w:tr>
        <w:tc>
          <w:tcPr>
            <w:tcW w:type="dxa" w:w="906"/>
          </w:tcPr>
          <w:p>
            <w:pPr>
              <w:jc w:val="center"/>
            </w:pPr>
            <w:r/>
            <w:r>
              <w:rPr>
                <w:rFonts w:ascii="Times New Roman" w:hAnsi="Times New Roman" w:eastAsia="宋体"/>
                <w:b w:val="0"/>
                <w:sz w:val="21"/>
              </w:rPr>
              <w:t>大沥镇</w:t>
            </w:r>
          </w:p>
        </w:tc>
        <w:tc>
          <w:tcPr>
            <w:tcW w:type="dxa" w:w="906"/>
          </w:tcPr>
          <w:p>
            <w:pPr>
              <w:jc w:val="center"/>
            </w:pPr>
            <w:r/>
            <w:r>
              <w:rPr>
                <w:rFonts w:ascii="Times New Roman" w:hAnsi="Times New Roman" w:eastAsia="宋体"/>
                <w:b w:val="0"/>
                <w:sz w:val="21"/>
              </w:rPr>
              <w:t>397</w:t>
            </w:r>
          </w:p>
        </w:tc>
        <w:tc>
          <w:tcPr>
            <w:tcW w:type="dxa" w:w="906"/>
          </w:tcPr>
          <w:p>
            <w:pPr>
              <w:jc w:val="center"/>
            </w:pPr>
            <w:r/>
            <w:r>
              <w:rPr>
                <w:rFonts w:ascii="Times New Roman" w:hAnsi="Times New Roman" w:eastAsia="宋体"/>
                <w:b w:val="0"/>
                <w:sz w:val="21"/>
              </w:rPr>
              <w:t>14</w:t>
            </w:r>
          </w:p>
        </w:tc>
        <w:tc>
          <w:tcPr>
            <w:tcW w:type="dxa" w:w="906"/>
          </w:tcPr>
          <w:p>
            <w:pPr>
              <w:jc w:val="center"/>
            </w:pPr>
            <w:r/>
            <w:r>
              <w:rPr>
                <w:rFonts w:ascii="Times New Roman" w:hAnsi="Times New Roman" w:eastAsia="宋体"/>
                <w:b w:val="0"/>
                <w:sz w:val="21"/>
              </w:rPr>
              <w:t>2,593</w:t>
            </w:r>
          </w:p>
        </w:tc>
        <w:tc>
          <w:tcPr>
            <w:tcW w:type="dxa" w:w="906"/>
          </w:tcPr>
          <w:p>
            <w:pPr>
              <w:jc w:val="center"/>
            </w:pPr>
            <w:r/>
            <w:r>
              <w:rPr>
                <w:rFonts w:ascii="Times New Roman" w:hAnsi="Times New Roman" w:eastAsia="宋体"/>
                <w:b w:val="0"/>
                <w:sz w:val="21"/>
              </w:rPr>
              <w:t>1.73</w:t>
            </w:r>
          </w:p>
        </w:tc>
        <w:tc>
          <w:tcPr>
            <w:tcW w:type="dxa" w:w="906"/>
          </w:tcPr>
          <w:p>
            <w:pPr>
              <w:jc w:val="center"/>
            </w:pPr>
            <w:r/>
            <w:r>
              <w:rPr>
                <w:rFonts w:ascii="Times New Roman" w:hAnsi="Times New Roman" w:eastAsia="宋体"/>
                <w:b w:val="0"/>
                <w:sz w:val="21"/>
              </w:rPr>
              <w:t>17.18</w:t>
            </w:r>
          </w:p>
        </w:tc>
        <w:tc>
          <w:tcPr>
            <w:tcW w:type="dxa" w:w="906"/>
          </w:tcPr>
          <w:p>
            <w:pPr>
              <w:jc w:val="center"/>
            </w:pPr>
            <w:r/>
            <w:r>
              <w:rPr>
                <w:rFonts w:ascii="Times New Roman" w:hAnsi="Times New Roman" w:eastAsia="宋体"/>
                <w:b w:val="0"/>
                <w:sz w:val="21"/>
              </w:rPr>
              <w:t>15.45</w:t>
            </w:r>
          </w:p>
        </w:tc>
        <w:tc>
          <w:tcPr>
            <w:tcW w:type="dxa" w:w="906"/>
          </w:tcPr>
          <w:p>
            <w:pPr>
              <w:jc w:val="center"/>
            </w:pPr>
            <w:r/>
            <w:r>
              <w:rPr>
                <w:rFonts w:ascii="Times New Roman" w:hAnsi="Times New Roman" w:eastAsia="宋体"/>
                <w:b w:val="0"/>
                <w:sz w:val="21"/>
              </w:rPr>
              <w:t>7</w:t>
            </w:r>
          </w:p>
        </w:tc>
        <w:tc>
          <w:tcPr>
            <w:tcW w:type="dxa" w:w="906"/>
          </w:tcPr>
          <w:p>
            <w:pPr>
              <w:jc w:val="center"/>
            </w:pPr>
            <w:r/>
            <w:r>
              <w:rPr>
                <w:rFonts w:ascii="Times New Roman" w:hAnsi="Times New Roman" w:eastAsia="宋体"/>
                <w:b w:val="0"/>
                <w:sz w:val="21"/>
              </w:rPr>
              <w:t>6</w:t>
            </w:r>
          </w:p>
        </w:tc>
        <w:tc>
          <w:tcPr>
            <w:tcW w:type="dxa" w:w="906"/>
          </w:tcPr>
          <w:p>
            <w:pPr>
              <w:jc w:val="center"/>
            </w:pPr>
            <w:r/>
            <w:r>
              <w:rPr>
                <w:rFonts w:ascii="Times New Roman" w:hAnsi="Times New Roman" w:eastAsia="宋体"/>
                <w:b w:val="0"/>
                <w:sz w:val="21"/>
              </w:rPr>
              <w:t>1</w:t>
            </w:r>
          </w:p>
        </w:tc>
      </w:tr>
      <w:tr>
        <w:tc>
          <w:tcPr>
            <w:tcW w:type="dxa" w:w="906"/>
          </w:tcPr>
          <w:p>
            <w:pPr>
              <w:jc w:val="center"/>
            </w:pPr>
            <w:r/>
            <w:r>
              <w:rPr>
                <w:rFonts w:ascii="Times New Roman" w:hAnsi="Times New Roman" w:eastAsia="宋体"/>
                <w:b w:val="0"/>
                <w:sz w:val="21"/>
              </w:rPr>
              <w:t>狮山镇</w:t>
            </w:r>
          </w:p>
        </w:tc>
        <w:tc>
          <w:tcPr>
            <w:tcW w:type="dxa" w:w="906"/>
          </w:tcPr>
          <w:p>
            <w:pPr>
              <w:jc w:val="center"/>
            </w:pPr>
            <w:r/>
            <w:r>
              <w:rPr>
                <w:rFonts w:ascii="Times New Roman" w:hAnsi="Times New Roman" w:eastAsia="宋体"/>
                <w:b w:val="0"/>
                <w:sz w:val="21"/>
              </w:rPr>
              <w:t>1,403</w:t>
            </w:r>
          </w:p>
        </w:tc>
        <w:tc>
          <w:tcPr>
            <w:tcW w:type="dxa" w:w="906"/>
          </w:tcPr>
          <w:p>
            <w:pPr>
              <w:jc w:val="center"/>
            </w:pPr>
            <w:r/>
            <w:r>
              <w:rPr>
                <w:rFonts w:ascii="Times New Roman" w:hAnsi="Times New Roman" w:eastAsia="宋体"/>
                <w:b w:val="0"/>
                <w:sz w:val="21"/>
              </w:rPr>
              <w:t>3</w:t>
            </w:r>
          </w:p>
        </w:tc>
        <w:tc>
          <w:tcPr>
            <w:tcW w:type="dxa" w:w="906"/>
          </w:tcPr>
          <w:p>
            <w:pPr>
              <w:jc w:val="center"/>
            </w:pPr>
            <w:r/>
            <w:r>
              <w:rPr>
                <w:rFonts w:ascii="Times New Roman" w:hAnsi="Times New Roman" w:eastAsia="宋体"/>
                <w:b w:val="0"/>
                <w:sz w:val="21"/>
              </w:rPr>
              <w:t>2,567</w:t>
            </w:r>
          </w:p>
        </w:tc>
        <w:tc>
          <w:tcPr>
            <w:tcW w:type="dxa" w:w="906"/>
          </w:tcPr>
          <w:p>
            <w:pPr>
              <w:jc w:val="center"/>
            </w:pPr>
            <w:r/>
            <w:r>
              <w:rPr>
                <w:rFonts w:ascii="Times New Roman" w:hAnsi="Times New Roman" w:eastAsia="宋体"/>
                <w:b w:val="0"/>
                <w:sz w:val="21"/>
              </w:rPr>
              <w:t>0.32</w:t>
            </w:r>
          </w:p>
        </w:tc>
        <w:tc>
          <w:tcPr>
            <w:tcW w:type="dxa" w:w="906"/>
          </w:tcPr>
          <w:p>
            <w:pPr>
              <w:jc w:val="center"/>
            </w:pPr>
            <w:r/>
            <w:r>
              <w:rPr>
                <w:rFonts w:ascii="Times New Roman" w:hAnsi="Times New Roman" w:eastAsia="宋体"/>
                <w:b w:val="0"/>
                <w:sz w:val="21"/>
              </w:rPr>
              <w:t>5.72</w:t>
            </w:r>
          </w:p>
        </w:tc>
        <w:tc>
          <w:tcPr>
            <w:tcW w:type="dxa" w:w="906"/>
          </w:tcPr>
          <w:p>
            <w:pPr>
              <w:jc w:val="center"/>
            </w:pPr>
            <w:r/>
            <w:r>
              <w:rPr>
                <w:rFonts w:ascii="Times New Roman" w:hAnsi="Times New Roman" w:eastAsia="宋体"/>
                <w:b w:val="0"/>
                <w:sz w:val="21"/>
              </w:rPr>
              <w:t>5.40</w:t>
            </w:r>
          </w:p>
        </w:tc>
        <w:tc>
          <w:tcPr>
            <w:tcW w:type="dxa" w:w="906"/>
          </w:tcPr>
          <w:p>
            <w:pPr>
              <w:jc w:val="center"/>
            </w:pPr>
            <w:r/>
            <w:r>
              <w:rPr>
                <w:rFonts w:ascii="Times New Roman" w:hAnsi="Times New Roman" w:eastAsia="宋体"/>
                <w:b w:val="0"/>
                <w:sz w:val="21"/>
              </w:rPr>
              <w:t>6</w:t>
            </w:r>
          </w:p>
        </w:tc>
        <w:tc>
          <w:tcPr>
            <w:tcW w:type="dxa" w:w="906"/>
          </w:tcPr>
          <w:p>
            <w:pPr>
              <w:jc w:val="center"/>
            </w:pPr>
            <w:r/>
            <w:r>
              <w:rPr>
                <w:rFonts w:ascii="Times New Roman" w:hAnsi="Times New Roman" w:eastAsia="宋体"/>
                <w:b w:val="0"/>
                <w:sz w:val="21"/>
              </w:rPr>
              <w:t>4</w:t>
            </w:r>
          </w:p>
        </w:tc>
        <w:tc>
          <w:tcPr>
            <w:tcW w:type="dxa" w:w="906"/>
          </w:tcPr>
          <w:p>
            <w:pPr>
              <w:jc w:val="center"/>
            </w:pPr>
            <w:r/>
            <w:r>
              <w:rPr>
                <w:rFonts w:ascii="Times New Roman" w:hAnsi="Times New Roman" w:eastAsia="宋体"/>
                <w:b w:val="0"/>
                <w:sz w:val="21"/>
              </w:rPr>
              <w:t>0</w:t>
            </w:r>
          </w:p>
        </w:tc>
      </w:tr>
      <w:tr>
        <w:tc>
          <w:tcPr>
            <w:tcW w:type="dxa" w:w="906"/>
          </w:tcPr>
          <w:p>
            <w:pPr>
              <w:jc w:val="center"/>
            </w:pPr>
            <w:r/>
            <w:r>
              <w:rPr>
                <w:rFonts w:ascii="Times New Roman" w:hAnsi="Times New Roman" w:eastAsia="宋体"/>
                <w:b w:val="0"/>
                <w:sz w:val="21"/>
              </w:rPr>
              <w:t>里水镇</w:t>
            </w:r>
          </w:p>
        </w:tc>
        <w:tc>
          <w:tcPr>
            <w:tcW w:type="dxa" w:w="906"/>
          </w:tcPr>
          <w:p>
            <w:pPr>
              <w:jc w:val="center"/>
            </w:pPr>
            <w:r/>
            <w:r>
              <w:rPr>
                <w:rFonts w:ascii="Times New Roman" w:hAnsi="Times New Roman" w:eastAsia="宋体"/>
                <w:b w:val="0"/>
                <w:sz w:val="21"/>
              </w:rPr>
              <w:t>619</w:t>
            </w:r>
          </w:p>
        </w:tc>
        <w:tc>
          <w:tcPr>
            <w:tcW w:type="dxa" w:w="906"/>
          </w:tcPr>
          <w:p>
            <w:pPr>
              <w:jc w:val="center"/>
            </w:pPr>
            <w:r/>
            <w:r>
              <w:rPr>
                <w:rFonts w:ascii="Times New Roman" w:hAnsi="Times New Roman" w:eastAsia="宋体"/>
                <w:b w:val="0"/>
                <w:sz w:val="21"/>
              </w:rPr>
              <w:t>4</w:t>
            </w:r>
          </w:p>
        </w:tc>
        <w:tc>
          <w:tcPr>
            <w:tcW w:type="dxa" w:w="906"/>
          </w:tcPr>
          <w:p>
            <w:pPr>
              <w:jc w:val="center"/>
            </w:pPr>
            <w:r/>
            <w:r>
              <w:rPr>
                <w:rFonts w:ascii="Times New Roman" w:hAnsi="Times New Roman" w:eastAsia="宋体"/>
                <w:b w:val="0"/>
                <w:sz w:val="21"/>
              </w:rPr>
              <w:t>1,449</w:t>
            </w:r>
          </w:p>
        </w:tc>
        <w:tc>
          <w:tcPr>
            <w:tcW w:type="dxa" w:w="906"/>
          </w:tcPr>
          <w:p>
            <w:pPr>
              <w:jc w:val="center"/>
            </w:pPr>
            <w:r/>
            <w:r>
              <w:rPr>
                <w:rFonts w:ascii="Times New Roman" w:hAnsi="Times New Roman" w:eastAsia="宋体"/>
                <w:b w:val="0"/>
                <w:sz w:val="21"/>
              </w:rPr>
              <w:t>0.37</w:t>
            </w:r>
          </w:p>
        </w:tc>
        <w:tc>
          <w:tcPr>
            <w:tcW w:type="dxa" w:w="906"/>
          </w:tcPr>
          <w:p>
            <w:pPr>
              <w:jc w:val="center"/>
            </w:pPr>
            <w:r/>
            <w:r>
              <w:rPr>
                <w:rFonts w:ascii="Times New Roman" w:hAnsi="Times New Roman" w:eastAsia="宋体"/>
                <w:b w:val="0"/>
                <w:sz w:val="21"/>
              </w:rPr>
              <w:t>7.59</w:t>
            </w:r>
          </w:p>
        </w:tc>
        <w:tc>
          <w:tcPr>
            <w:tcW w:type="dxa" w:w="906"/>
          </w:tcPr>
          <w:p>
            <w:pPr>
              <w:jc w:val="center"/>
            </w:pPr>
            <w:r/>
            <w:r>
              <w:rPr>
                <w:rFonts w:ascii="Times New Roman" w:hAnsi="Times New Roman" w:eastAsia="宋体"/>
                <w:b w:val="0"/>
                <w:sz w:val="21"/>
              </w:rPr>
              <w:t>7.22</w:t>
            </w:r>
          </w:p>
        </w:tc>
        <w:tc>
          <w:tcPr>
            <w:tcW w:type="dxa" w:w="906"/>
          </w:tcPr>
          <w:p>
            <w:pPr>
              <w:jc w:val="center"/>
            </w:pPr>
            <w:r/>
            <w:r>
              <w:rPr>
                <w:rFonts w:ascii="Times New Roman" w:hAnsi="Times New Roman" w:eastAsia="宋体"/>
                <w:b w:val="0"/>
                <w:sz w:val="21"/>
              </w:rPr>
              <w:t>3</w:t>
            </w:r>
          </w:p>
        </w:tc>
        <w:tc>
          <w:tcPr>
            <w:tcW w:type="dxa" w:w="906"/>
          </w:tcPr>
          <w:p>
            <w:pPr>
              <w:jc w:val="center"/>
            </w:pPr>
            <w:r/>
            <w:r>
              <w:rPr>
                <w:rFonts w:ascii="Times New Roman" w:hAnsi="Times New Roman" w:eastAsia="宋体"/>
                <w:b w:val="0"/>
                <w:sz w:val="21"/>
              </w:rPr>
              <w:t>3</w:t>
            </w:r>
          </w:p>
        </w:tc>
        <w:tc>
          <w:tcPr>
            <w:tcW w:type="dxa" w:w="906"/>
          </w:tcPr>
          <w:p>
            <w:pPr>
              <w:jc w:val="center"/>
            </w:pPr>
            <w:r/>
            <w:r>
              <w:rPr>
                <w:rFonts w:ascii="Times New Roman" w:hAnsi="Times New Roman" w:eastAsia="宋体"/>
                <w:b w:val="0"/>
                <w:sz w:val="21"/>
              </w:rPr>
              <w:t>0</w:t>
            </w:r>
          </w:p>
        </w:tc>
      </w:tr>
    </w:tbl>
    <w:p/>
    <w:p/>
    <w:p>
      <w:pPr>
        <w:spacing w:line="400" w:lineRule="exact" w:before="0" w:after="0"/>
        <w:ind w:firstLine="480"/>
      </w:pPr>
      <w:r>
        <w:rPr>
          <w:rFonts w:ascii="Times New Roman" w:hAnsi="Times New Roman" w:eastAsia="宋体"/>
          <w:b w:val="0"/>
          <w:sz w:val="24"/>
        </w:rPr>
        <w:t>数据来源：output/tables/grid_town_summary_kg.csv。</w:t>
      </w:r>
    </w:p>
    <w:p/>
    <w:p>
      <w:pPr>
        <w:spacing w:line="400" w:lineRule="exact" w:before="0" w:after="0"/>
        <w:ind w:firstLine="480"/>
      </w:pPr>
      <w:r>
        <w:rPr>
          <w:rFonts w:ascii="Times New Roman" w:hAnsi="Times New Roman" w:eastAsia="宋体"/>
          <w:b w:val="0"/>
          <w:sz w:val="24"/>
        </w:rPr>
        <w:t>镇街层面进一步说明了两点。第一，西樵—九江—丹灶仍是 1 跳沉睡潜力的主体，三镇合计 147 个沉睡网格，占全区 1 跳沉睡潜力网格的 86.5%；其中西樵镇同时拥有 6 个核心耦合网格，是当前文化与旅游高值少数重叠的区域。第二，桂城街道虽然旅游热度最高，但 1 跳后仍有 16 个空心景点网格和 7 个沉睡潜力网格，说明其问题并非单一的"文化缺失"，而是现代旅游供给、零散文化记忆与可体验文化载体之间尚未形成稳定转化链条。</w:t>
      </w:r>
    </w:p>
    <w:p/>
    <w:p>
      <w:pPr>
        <w:pStyle w:val="Heading2"/>
        <w:spacing w:line="400" w:lineRule="exact" w:before="240" w:after="80"/>
        <w:jc w:val="left"/>
      </w:pPr>
      <w:r>
        <w:rPr>
          <w:rFonts w:ascii="Times New Roman" w:hAnsi="Times New Roman" w:eastAsia="宋体"/>
          <w:b/>
          <w:sz w:val="28"/>
        </w:rPr>
        <w:t>6.3 潜力释放条件的相关性分析</w:t>
      </w:r>
    </w:p>
    <w:p/>
    <w:p>
      <w:pPr>
        <w:pStyle w:val="Heading3"/>
        <w:spacing w:line="400" w:lineRule="exact" w:before="240" w:after="80"/>
        <w:jc w:val="left"/>
      </w:pPr>
      <w:r>
        <w:rPr>
          <w:rFonts w:ascii="Times New Roman" w:hAnsi="Times New Roman" w:eastAsia="宋体"/>
          <w:b/>
          <w:sz w:val="26"/>
        </w:rPr>
        <w:t>6.3.1 载体级相关矩阵（n = 165）</w:t>
      </w:r>
    </w:p>
    <w:p/>
    <w:p>
      <w:pPr>
        <w:spacing w:line="400" w:lineRule="exact" w:before="0" w:after="0"/>
        <w:jc w:val="center"/>
      </w:pPr>
      <w:r>
        <w:rPr>
          <w:rFonts w:ascii="Times New Roman" w:hAnsi="Times New Roman" w:eastAsia="宋体"/>
          <w:b/>
          <w:sz w:val="24"/>
        </w:rPr>
        <w:t>表 6.4　载体级指标相关矩阵（Pearson, n = 165）</w:t>
      </w:r>
    </w:p>
    <w:p/>
    <w:tbl>
      <w:tblPr>
        <w:tblStyle w:val="TableGrid"/>
        <w:tblW w:type="auto" w:w="0"/>
        <w:tblLayout w:type="autofit"/>
        <w:tblLook w:firstColumn="1" w:firstRow="1" w:lastColumn="0" w:lastRow="0" w:noHBand="0" w:noVBand="1" w:val="04A0"/>
      </w:tblPr>
      <w:tblGrid>
        <w:gridCol w:w="1133"/>
        <w:gridCol w:w="1133"/>
        <w:gridCol w:w="1133"/>
        <w:gridCol w:w="1133"/>
        <w:gridCol w:w="1133"/>
        <w:gridCol w:w="1133"/>
        <w:gridCol w:w="1133"/>
        <w:gridCol w:w="1133"/>
      </w:tblGrid>
      <w:tr>
        <w:tc>
          <w:tcPr>
            <w:tcW w:type="dxa" w:w="1133"/>
          </w:tcPr>
          <w:p>
            <w:pPr>
              <w:jc w:val="center"/>
            </w:pPr>
            <w:r/>
            <w:r>
              <w:rPr>
                <w:rFonts w:ascii="Times New Roman" w:hAnsi="Times New Roman" w:eastAsia="宋体"/>
                <w:b/>
                <w:sz w:val="21"/>
              </w:rPr>
            </w:r>
          </w:p>
        </w:tc>
        <w:tc>
          <w:tcPr>
            <w:tcW w:type="dxa" w:w="1133"/>
          </w:tcPr>
          <w:p>
            <w:pPr>
              <w:jc w:val="center"/>
            </w:pPr>
            <w:r/>
            <w:r>
              <w:rPr>
                <w:rFonts w:ascii="Times New Roman" w:hAnsi="Times New Roman" w:eastAsia="宋体"/>
                <w:b/>
                <w:sz w:val="21"/>
              </w:rPr>
              <w:t>CMI</w:t>
            </w:r>
          </w:p>
        </w:tc>
        <w:tc>
          <w:tcPr>
            <w:tcW w:type="dxa" w:w="1133"/>
          </w:tcPr>
          <w:p>
            <w:pPr>
              <w:jc w:val="center"/>
            </w:pPr>
            <w:r/>
            <w:r>
              <w:rPr>
                <w:rFonts w:ascii="Times New Roman" w:hAnsi="Times New Roman" w:eastAsia="宋体"/>
                <w:b/>
                <w:sz w:val="21"/>
              </w:rPr>
              <w:t>OAI</w:t>
            </w:r>
          </w:p>
        </w:tc>
        <w:tc>
          <w:tcPr>
            <w:tcW w:type="dxa" w:w="1133"/>
          </w:tcPr>
          <w:p>
            <w:pPr>
              <w:jc w:val="center"/>
            </w:pPr>
            <w:r/>
            <w:r>
              <w:rPr>
                <w:rFonts w:ascii="Times New Roman" w:hAnsi="Times New Roman" w:eastAsia="宋体"/>
                <w:b/>
                <w:sz w:val="21"/>
              </w:rPr>
              <w:t>THI</w:t>
            </w:r>
          </w:p>
        </w:tc>
        <w:tc>
          <w:tcPr>
            <w:tcW w:type="dxa" w:w="1133"/>
          </w:tcPr>
          <w:p>
            <w:pPr>
              <w:jc w:val="center"/>
            </w:pPr>
            <w:r/>
            <w:r>
              <w:rPr>
                <w:rFonts w:ascii="Times New Roman" w:hAnsi="Times New Roman" w:eastAsia="宋体"/>
                <w:b/>
                <w:sz w:val="21"/>
              </w:rPr>
              <w:t>MI</w:t>
            </w:r>
          </w:p>
        </w:tc>
        <w:tc>
          <w:tcPr>
            <w:tcW w:type="dxa" w:w="1133"/>
          </w:tcPr>
          <w:p>
            <w:pPr>
              <w:jc w:val="center"/>
            </w:pPr>
            <w:r/>
            <w:r>
              <w:rPr>
                <w:rFonts w:ascii="Times New Roman" w:hAnsi="Times New Roman" w:eastAsia="宋体"/>
                <w:b/>
                <w:sz w:val="21"/>
              </w:rPr>
              <w:t>POI_500m</w:t>
            </w:r>
          </w:p>
        </w:tc>
        <w:tc>
          <w:tcPr>
            <w:tcW w:type="dxa" w:w="1133"/>
          </w:tcPr>
          <w:p>
            <w:pPr>
              <w:jc w:val="center"/>
            </w:pPr>
            <w:r/>
            <w:r>
              <w:rPr>
                <w:rFonts w:ascii="Times New Roman" w:hAnsi="Times New Roman" w:eastAsia="宋体"/>
                <w:b/>
                <w:sz w:val="21"/>
              </w:rPr>
              <w:t>Rating_500m</w:t>
            </w:r>
          </w:p>
        </w:tc>
        <w:tc>
          <w:tcPr>
            <w:tcW w:type="dxa" w:w="1133"/>
          </w:tcPr>
          <w:p>
            <w:pPr>
              <w:jc w:val="center"/>
            </w:pPr>
            <w:r/>
            <w:r>
              <w:rPr>
                <w:rFonts w:ascii="Times New Roman" w:hAnsi="Times New Roman" w:eastAsia="宋体"/>
                <w:b/>
                <w:sz w:val="21"/>
              </w:rPr>
              <w:t>Review_500m</w:t>
            </w:r>
          </w:p>
        </w:tc>
      </w:tr>
      <w:tr>
        <w:tc>
          <w:tcPr>
            <w:tcW w:type="dxa" w:w="1133"/>
          </w:tcPr>
          <w:p>
            <w:pPr>
              <w:jc w:val="center"/>
            </w:pPr>
            <w:r/>
            <w:r>
              <w:rPr>
                <w:rFonts w:ascii="Times New Roman" w:hAnsi="Times New Roman" w:eastAsia="宋体"/>
                <w:b w:val="0"/>
                <w:sz w:val="21"/>
              </w:rPr>
              <w:t>CMI</w:t>
            </w:r>
          </w:p>
        </w:tc>
        <w:tc>
          <w:tcPr>
            <w:tcW w:type="dxa" w:w="1133"/>
          </w:tcPr>
          <w:p>
            <w:pPr>
              <w:jc w:val="center"/>
            </w:pPr>
            <w:r/>
            <w:r>
              <w:rPr>
                <w:rFonts w:ascii="Times New Roman" w:hAnsi="Times New Roman" w:eastAsia="宋体"/>
                <w:b w:val="0"/>
                <w:sz w:val="21"/>
              </w:rPr>
              <w:t>1.000</w:t>
            </w:r>
          </w:p>
        </w:tc>
        <w:tc>
          <w:tcPr>
            <w:tcW w:type="dxa" w:w="1133"/>
          </w:tcPr>
          <w:p>
            <w:pPr>
              <w:jc w:val="center"/>
            </w:pPr>
            <w:r/>
            <w:r>
              <w:rPr>
                <w:rFonts w:ascii="Times New Roman" w:hAnsi="Times New Roman" w:eastAsia="宋体"/>
                <w:b w:val="0"/>
                <w:sz w:val="21"/>
              </w:rPr>
              <w:t>0.173</w:t>
            </w:r>
          </w:p>
        </w:tc>
        <w:tc>
          <w:tcPr>
            <w:tcW w:type="dxa" w:w="1133"/>
          </w:tcPr>
          <w:p>
            <w:pPr>
              <w:jc w:val="center"/>
            </w:pPr>
            <w:r/>
            <w:r>
              <w:rPr>
                <w:rFonts w:ascii="Times New Roman" w:hAnsi="Times New Roman" w:eastAsia="宋体"/>
                <w:b w:val="0"/>
                <w:sz w:val="21"/>
              </w:rPr>
              <w:t>0.086</w:t>
            </w:r>
          </w:p>
        </w:tc>
        <w:tc>
          <w:tcPr>
            <w:tcW w:type="dxa" w:w="1133"/>
          </w:tcPr>
          <w:p>
            <w:pPr>
              <w:jc w:val="center"/>
            </w:pPr>
            <w:r/>
            <w:r>
              <w:rPr>
                <w:rFonts w:ascii="Times New Roman" w:hAnsi="Times New Roman" w:eastAsia="宋体"/>
                <w:b w:val="0"/>
                <w:sz w:val="21"/>
              </w:rPr>
              <w:t>−0.495</w:t>
            </w:r>
          </w:p>
        </w:tc>
        <w:tc>
          <w:tcPr>
            <w:tcW w:type="dxa" w:w="1133"/>
          </w:tcPr>
          <w:p>
            <w:pPr>
              <w:jc w:val="center"/>
            </w:pPr>
            <w:r/>
            <w:r>
              <w:rPr>
                <w:rFonts w:ascii="Times New Roman" w:hAnsi="Times New Roman" w:eastAsia="宋体"/>
                <w:b w:val="0"/>
                <w:sz w:val="21"/>
              </w:rPr>
              <w:t>−0.031</w:t>
            </w:r>
          </w:p>
        </w:tc>
        <w:tc>
          <w:tcPr>
            <w:tcW w:type="dxa" w:w="1133"/>
          </w:tcPr>
          <w:p>
            <w:pPr>
              <w:jc w:val="center"/>
            </w:pPr>
            <w:r/>
            <w:r>
              <w:rPr>
                <w:rFonts w:ascii="Times New Roman" w:hAnsi="Times New Roman" w:eastAsia="宋体"/>
                <w:b w:val="0"/>
                <w:sz w:val="21"/>
              </w:rPr>
              <w:t>0.048</w:t>
            </w:r>
          </w:p>
        </w:tc>
        <w:tc>
          <w:tcPr>
            <w:tcW w:type="dxa" w:w="1133"/>
          </w:tcPr>
          <w:p>
            <w:pPr>
              <w:jc w:val="center"/>
            </w:pPr>
            <w:r/>
            <w:r>
              <w:rPr>
                <w:rFonts w:ascii="Times New Roman" w:hAnsi="Times New Roman" w:eastAsia="宋体"/>
                <w:b w:val="0"/>
                <w:sz w:val="21"/>
              </w:rPr>
              <w:t>0.114</w:t>
            </w:r>
          </w:p>
        </w:tc>
      </w:tr>
      <w:tr>
        <w:tc>
          <w:tcPr>
            <w:tcW w:type="dxa" w:w="1133"/>
          </w:tcPr>
          <w:p>
            <w:pPr>
              <w:jc w:val="center"/>
            </w:pPr>
            <w:r/>
            <w:r>
              <w:rPr>
                <w:rFonts w:ascii="Times New Roman" w:hAnsi="Times New Roman" w:eastAsia="宋体"/>
                <w:b w:val="0"/>
                <w:sz w:val="21"/>
              </w:rPr>
              <w:t>OAI</w:t>
            </w:r>
          </w:p>
        </w:tc>
        <w:tc>
          <w:tcPr>
            <w:tcW w:type="dxa" w:w="1133"/>
          </w:tcPr>
          <w:p>
            <w:pPr>
              <w:jc w:val="center"/>
            </w:pPr>
            <w:r/>
            <w:r>
              <w:rPr>
                <w:rFonts w:ascii="Times New Roman" w:hAnsi="Times New Roman" w:eastAsia="宋体"/>
                <w:b w:val="0"/>
                <w:sz w:val="21"/>
              </w:rPr>
              <w:t>0.173</w:t>
            </w:r>
          </w:p>
        </w:tc>
        <w:tc>
          <w:tcPr>
            <w:tcW w:type="dxa" w:w="1133"/>
          </w:tcPr>
          <w:p>
            <w:pPr>
              <w:jc w:val="center"/>
            </w:pPr>
            <w:r/>
            <w:r>
              <w:rPr>
                <w:rFonts w:ascii="Times New Roman" w:hAnsi="Times New Roman" w:eastAsia="宋体"/>
                <w:b w:val="0"/>
                <w:sz w:val="21"/>
              </w:rPr>
              <w:t>1.000</w:t>
            </w:r>
          </w:p>
        </w:tc>
        <w:tc>
          <w:tcPr>
            <w:tcW w:type="dxa" w:w="1133"/>
          </w:tcPr>
          <w:p>
            <w:pPr>
              <w:jc w:val="center"/>
            </w:pPr>
            <w:r/>
            <w:r>
              <w:rPr>
                <w:rFonts w:ascii="Times New Roman" w:hAnsi="Times New Roman" w:eastAsia="宋体"/>
                <w:b w:val="0"/>
                <w:sz w:val="21"/>
              </w:rPr>
              <w:t>0.165</w:t>
            </w:r>
          </w:p>
        </w:tc>
        <w:tc>
          <w:tcPr>
            <w:tcW w:type="dxa" w:w="1133"/>
          </w:tcPr>
          <w:p>
            <w:pPr>
              <w:jc w:val="center"/>
            </w:pPr>
            <w:r/>
            <w:r>
              <w:rPr>
                <w:rFonts w:ascii="Times New Roman" w:hAnsi="Times New Roman" w:eastAsia="宋体"/>
                <w:b w:val="0"/>
                <w:sz w:val="21"/>
              </w:rPr>
              <w:t>−0.440</w:t>
            </w:r>
          </w:p>
        </w:tc>
        <w:tc>
          <w:tcPr>
            <w:tcW w:type="dxa" w:w="1133"/>
          </w:tcPr>
          <w:p>
            <w:pPr>
              <w:jc w:val="center"/>
            </w:pPr>
            <w:r/>
            <w:r>
              <w:rPr>
                <w:rFonts w:ascii="Times New Roman" w:hAnsi="Times New Roman" w:eastAsia="宋体"/>
                <w:b w:val="0"/>
                <w:sz w:val="21"/>
              </w:rPr>
              <w:t>0.069</w:t>
            </w:r>
          </w:p>
        </w:tc>
        <w:tc>
          <w:tcPr>
            <w:tcW w:type="dxa" w:w="1133"/>
          </w:tcPr>
          <w:p>
            <w:pPr>
              <w:jc w:val="center"/>
            </w:pPr>
            <w:r/>
            <w:r>
              <w:rPr>
                <w:rFonts w:ascii="Times New Roman" w:hAnsi="Times New Roman" w:eastAsia="宋体"/>
                <w:b w:val="0"/>
                <w:sz w:val="21"/>
              </w:rPr>
              <w:t>0.145</w:t>
            </w:r>
          </w:p>
        </w:tc>
        <w:tc>
          <w:tcPr>
            <w:tcW w:type="dxa" w:w="1133"/>
          </w:tcPr>
          <w:p>
            <w:pPr>
              <w:jc w:val="center"/>
            </w:pPr>
            <w:r/>
            <w:r>
              <w:rPr>
                <w:rFonts w:ascii="Times New Roman" w:hAnsi="Times New Roman" w:eastAsia="宋体"/>
                <w:b w:val="0"/>
                <w:sz w:val="21"/>
              </w:rPr>
              <w:t>0.041</w:t>
            </w:r>
          </w:p>
        </w:tc>
      </w:tr>
      <w:tr>
        <w:tc>
          <w:tcPr>
            <w:tcW w:type="dxa" w:w="1133"/>
          </w:tcPr>
          <w:p>
            <w:pPr>
              <w:jc w:val="center"/>
            </w:pPr>
            <w:r/>
            <w:r>
              <w:rPr>
                <w:rFonts w:ascii="Times New Roman" w:hAnsi="Times New Roman" w:eastAsia="宋体"/>
                <w:b w:val="0"/>
                <w:sz w:val="21"/>
              </w:rPr>
              <w:t>THI</w:t>
            </w:r>
          </w:p>
        </w:tc>
        <w:tc>
          <w:tcPr>
            <w:tcW w:type="dxa" w:w="1133"/>
          </w:tcPr>
          <w:p>
            <w:pPr>
              <w:jc w:val="center"/>
            </w:pPr>
            <w:r/>
            <w:r>
              <w:rPr>
                <w:rFonts w:ascii="Times New Roman" w:hAnsi="Times New Roman" w:eastAsia="宋体"/>
                <w:b w:val="0"/>
                <w:sz w:val="21"/>
              </w:rPr>
              <w:t>0.086</w:t>
            </w:r>
          </w:p>
        </w:tc>
        <w:tc>
          <w:tcPr>
            <w:tcW w:type="dxa" w:w="1133"/>
          </w:tcPr>
          <w:p>
            <w:pPr>
              <w:jc w:val="center"/>
            </w:pPr>
            <w:r/>
            <w:r>
              <w:rPr>
                <w:rFonts w:ascii="Times New Roman" w:hAnsi="Times New Roman" w:eastAsia="宋体"/>
                <w:b w:val="0"/>
                <w:sz w:val="21"/>
              </w:rPr>
              <w:t>0.165</w:t>
            </w:r>
          </w:p>
        </w:tc>
        <w:tc>
          <w:tcPr>
            <w:tcW w:type="dxa" w:w="1133"/>
          </w:tcPr>
          <w:p>
            <w:pPr>
              <w:jc w:val="center"/>
            </w:pPr>
            <w:r/>
            <w:r>
              <w:rPr>
                <w:rFonts w:ascii="Times New Roman" w:hAnsi="Times New Roman" w:eastAsia="宋体"/>
                <w:b w:val="0"/>
                <w:sz w:val="21"/>
              </w:rPr>
              <w:t>1.000</w:t>
            </w:r>
          </w:p>
        </w:tc>
        <w:tc>
          <w:tcPr>
            <w:tcW w:type="dxa" w:w="1133"/>
          </w:tcPr>
          <w:p>
            <w:pPr>
              <w:jc w:val="center"/>
            </w:pPr>
            <w:r/>
            <w:r>
              <w:rPr>
                <w:rFonts w:ascii="Times New Roman" w:hAnsi="Times New Roman" w:eastAsia="宋体"/>
                <w:b w:val="0"/>
                <w:sz w:val="21"/>
              </w:rPr>
              <w:t>0.682</w:t>
            </w:r>
          </w:p>
        </w:tc>
        <w:tc>
          <w:tcPr>
            <w:tcW w:type="dxa" w:w="1133"/>
          </w:tcPr>
          <w:p>
            <w:pPr>
              <w:jc w:val="center"/>
            </w:pPr>
            <w:r/>
            <w:r>
              <w:rPr>
                <w:rFonts w:ascii="Times New Roman" w:hAnsi="Times New Roman" w:eastAsia="宋体"/>
                <w:b w:val="0"/>
                <w:sz w:val="21"/>
              </w:rPr>
              <w:t>0.693</w:t>
            </w:r>
          </w:p>
        </w:tc>
        <w:tc>
          <w:tcPr>
            <w:tcW w:type="dxa" w:w="1133"/>
          </w:tcPr>
          <w:p>
            <w:pPr>
              <w:jc w:val="center"/>
            </w:pPr>
            <w:r/>
            <w:r>
              <w:rPr>
                <w:rFonts w:ascii="Times New Roman" w:hAnsi="Times New Roman" w:eastAsia="宋体"/>
                <w:b w:val="0"/>
                <w:sz w:val="21"/>
              </w:rPr>
              <w:t>0.859</w:t>
            </w:r>
          </w:p>
        </w:tc>
        <w:tc>
          <w:tcPr>
            <w:tcW w:type="dxa" w:w="1133"/>
          </w:tcPr>
          <w:p>
            <w:pPr>
              <w:jc w:val="center"/>
            </w:pPr>
            <w:r/>
            <w:r>
              <w:rPr>
                <w:rFonts w:ascii="Times New Roman" w:hAnsi="Times New Roman" w:eastAsia="宋体"/>
                <w:b w:val="0"/>
                <w:sz w:val="21"/>
              </w:rPr>
              <w:t>0.506</w:t>
            </w:r>
          </w:p>
        </w:tc>
      </w:tr>
      <w:tr>
        <w:tc>
          <w:tcPr>
            <w:tcW w:type="dxa" w:w="1133"/>
          </w:tcPr>
          <w:p>
            <w:pPr>
              <w:jc w:val="center"/>
            </w:pPr>
            <w:r/>
            <w:r>
              <w:rPr>
                <w:rFonts w:ascii="Times New Roman" w:hAnsi="Times New Roman" w:eastAsia="宋体"/>
                <w:b w:val="0"/>
                <w:sz w:val="21"/>
              </w:rPr>
              <w:t>MI</w:t>
            </w:r>
          </w:p>
        </w:tc>
        <w:tc>
          <w:tcPr>
            <w:tcW w:type="dxa" w:w="1133"/>
          </w:tcPr>
          <w:p>
            <w:pPr>
              <w:jc w:val="center"/>
            </w:pPr>
            <w:r/>
            <w:r>
              <w:rPr>
                <w:rFonts w:ascii="Times New Roman" w:hAnsi="Times New Roman" w:eastAsia="宋体"/>
                <w:b w:val="0"/>
                <w:sz w:val="21"/>
              </w:rPr>
              <w:t>−0.495</w:t>
            </w:r>
          </w:p>
        </w:tc>
        <w:tc>
          <w:tcPr>
            <w:tcW w:type="dxa" w:w="1133"/>
          </w:tcPr>
          <w:p>
            <w:pPr>
              <w:jc w:val="center"/>
            </w:pPr>
            <w:r/>
            <w:r>
              <w:rPr>
                <w:rFonts w:ascii="Times New Roman" w:hAnsi="Times New Roman" w:eastAsia="宋体"/>
                <w:b w:val="0"/>
                <w:sz w:val="21"/>
              </w:rPr>
              <w:t>−0.440</w:t>
            </w:r>
          </w:p>
        </w:tc>
        <w:tc>
          <w:tcPr>
            <w:tcW w:type="dxa" w:w="1133"/>
          </w:tcPr>
          <w:p>
            <w:pPr>
              <w:jc w:val="center"/>
            </w:pPr>
            <w:r/>
            <w:r>
              <w:rPr>
                <w:rFonts w:ascii="Times New Roman" w:hAnsi="Times New Roman" w:eastAsia="宋体"/>
                <w:b w:val="0"/>
                <w:sz w:val="21"/>
              </w:rPr>
              <w:t>0.682</w:t>
            </w:r>
          </w:p>
        </w:tc>
        <w:tc>
          <w:tcPr>
            <w:tcW w:type="dxa" w:w="1133"/>
          </w:tcPr>
          <w:p>
            <w:pPr>
              <w:jc w:val="center"/>
            </w:pPr>
            <w:r/>
            <w:r>
              <w:rPr>
                <w:rFonts w:ascii="Times New Roman" w:hAnsi="Times New Roman" w:eastAsia="宋体"/>
                <w:b w:val="0"/>
                <w:sz w:val="21"/>
              </w:rPr>
              <w:t>1.000</w:t>
            </w:r>
          </w:p>
        </w:tc>
        <w:tc>
          <w:tcPr>
            <w:tcW w:type="dxa" w:w="1133"/>
          </w:tcPr>
          <w:p>
            <w:pPr>
              <w:jc w:val="center"/>
            </w:pPr>
            <w:r/>
            <w:r>
              <w:rPr>
                <w:rFonts w:ascii="Times New Roman" w:hAnsi="Times New Roman" w:eastAsia="宋体"/>
                <w:b w:val="0"/>
                <w:sz w:val="21"/>
              </w:rPr>
              <w:t>0.538</w:t>
            </w:r>
          </w:p>
        </w:tc>
        <w:tc>
          <w:tcPr>
            <w:tcW w:type="dxa" w:w="1133"/>
          </w:tcPr>
          <w:p>
            <w:pPr>
              <w:jc w:val="center"/>
            </w:pPr>
            <w:r/>
            <w:r>
              <w:rPr>
                <w:rFonts w:ascii="Times New Roman" w:hAnsi="Times New Roman" w:eastAsia="宋体"/>
                <w:b w:val="0"/>
                <w:sz w:val="21"/>
              </w:rPr>
              <w:t>0.597</w:t>
            </w:r>
          </w:p>
        </w:tc>
        <w:tc>
          <w:tcPr>
            <w:tcW w:type="dxa" w:w="1133"/>
          </w:tcPr>
          <w:p>
            <w:pPr>
              <w:jc w:val="center"/>
            </w:pPr>
            <w:r/>
            <w:r>
              <w:rPr>
                <w:rFonts w:ascii="Times New Roman" w:hAnsi="Times New Roman" w:eastAsia="宋体"/>
                <w:b w:val="0"/>
                <w:sz w:val="21"/>
              </w:rPr>
              <w:t>0.332</w:t>
            </w:r>
          </w:p>
        </w:tc>
      </w:tr>
      <w:tr>
        <w:tc>
          <w:tcPr>
            <w:tcW w:type="dxa" w:w="1133"/>
          </w:tcPr>
          <w:p>
            <w:pPr>
              <w:jc w:val="center"/>
            </w:pPr>
            <w:r/>
            <w:r>
              <w:rPr>
                <w:rFonts w:ascii="Times New Roman" w:hAnsi="Times New Roman" w:eastAsia="宋体"/>
                <w:b w:val="0"/>
                <w:sz w:val="21"/>
              </w:rPr>
              <w:t>POI_500m</w:t>
            </w:r>
          </w:p>
        </w:tc>
        <w:tc>
          <w:tcPr>
            <w:tcW w:type="dxa" w:w="1133"/>
          </w:tcPr>
          <w:p>
            <w:pPr>
              <w:jc w:val="center"/>
            </w:pPr>
            <w:r/>
            <w:r>
              <w:rPr>
                <w:rFonts w:ascii="Times New Roman" w:hAnsi="Times New Roman" w:eastAsia="宋体"/>
                <w:b w:val="0"/>
                <w:sz w:val="21"/>
              </w:rPr>
              <w:t>−0.031</w:t>
            </w:r>
          </w:p>
        </w:tc>
        <w:tc>
          <w:tcPr>
            <w:tcW w:type="dxa" w:w="1133"/>
          </w:tcPr>
          <w:p>
            <w:pPr>
              <w:jc w:val="center"/>
            </w:pPr>
            <w:r/>
            <w:r>
              <w:rPr>
                <w:rFonts w:ascii="Times New Roman" w:hAnsi="Times New Roman" w:eastAsia="宋体"/>
                <w:b w:val="0"/>
                <w:sz w:val="21"/>
              </w:rPr>
              <w:t>0.069</w:t>
            </w:r>
          </w:p>
        </w:tc>
        <w:tc>
          <w:tcPr>
            <w:tcW w:type="dxa" w:w="1133"/>
          </w:tcPr>
          <w:p>
            <w:pPr>
              <w:jc w:val="center"/>
            </w:pPr>
            <w:r/>
            <w:r>
              <w:rPr>
                <w:rFonts w:ascii="Times New Roman" w:hAnsi="Times New Roman" w:eastAsia="宋体"/>
                <w:b w:val="0"/>
                <w:sz w:val="21"/>
              </w:rPr>
              <w:t>0.693</w:t>
            </w:r>
          </w:p>
        </w:tc>
        <w:tc>
          <w:tcPr>
            <w:tcW w:type="dxa" w:w="1133"/>
          </w:tcPr>
          <w:p>
            <w:pPr>
              <w:jc w:val="center"/>
            </w:pPr>
            <w:r/>
            <w:r>
              <w:rPr>
                <w:rFonts w:ascii="Times New Roman" w:hAnsi="Times New Roman" w:eastAsia="宋体"/>
                <w:b w:val="0"/>
                <w:sz w:val="21"/>
              </w:rPr>
              <w:t>0.538</w:t>
            </w:r>
          </w:p>
        </w:tc>
        <w:tc>
          <w:tcPr>
            <w:tcW w:type="dxa" w:w="1133"/>
          </w:tcPr>
          <w:p>
            <w:pPr>
              <w:jc w:val="center"/>
            </w:pPr>
            <w:r/>
            <w:r>
              <w:rPr>
                <w:rFonts w:ascii="Times New Roman" w:hAnsi="Times New Roman" w:eastAsia="宋体"/>
                <w:b w:val="0"/>
                <w:sz w:val="21"/>
              </w:rPr>
              <w:t>1.000</w:t>
            </w:r>
          </w:p>
        </w:tc>
        <w:tc>
          <w:tcPr>
            <w:tcW w:type="dxa" w:w="1133"/>
          </w:tcPr>
          <w:p>
            <w:pPr>
              <w:jc w:val="center"/>
            </w:pPr>
            <w:r/>
            <w:r>
              <w:rPr>
                <w:rFonts w:ascii="Times New Roman" w:hAnsi="Times New Roman" w:eastAsia="宋体"/>
                <w:b w:val="0"/>
                <w:sz w:val="21"/>
              </w:rPr>
              <w:t>0.423</w:t>
            </w:r>
          </w:p>
        </w:tc>
        <w:tc>
          <w:tcPr>
            <w:tcW w:type="dxa" w:w="1133"/>
          </w:tcPr>
          <w:p>
            <w:pPr>
              <w:jc w:val="center"/>
            </w:pPr>
            <w:r/>
            <w:r>
              <w:rPr>
                <w:rFonts w:ascii="Times New Roman" w:hAnsi="Times New Roman" w:eastAsia="宋体"/>
                <w:b w:val="0"/>
                <w:sz w:val="21"/>
              </w:rPr>
              <w:t>0.360</w:t>
            </w:r>
          </w:p>
        </w:tc>
      </w:tr>
      <w:tr>
        <w:tc>
          <w:tcPr>
            <w:tcW w:type="dxa" w:w="1133"/>
          </w:tcPr>
          <w:p>
            <w:pPr>
              <w:jc w:val="center"/>
            </w:pPr>
            <w:r/>
            <w:r>
              <w:rPr>
                <w:rFonts w:ascii="Times New Roman" w:hAnsi="Times New Roman" w:eastAsia="宋体"/>
                <w:b w:val="0"/>
                <w:sz w:val="21"/>
              </w:rPr>
              <w:t>Rating_500m</w:t>
            </w:r>
          </w:p>
        </w:tc>
        <w:tc>
          <w:tcPr>
            <w:tcW w:type="dxa" w:w="1133"/>
          </w:tcPr>
          <w:p>
            <w:pPr>
              <w:jc w:val="center"/>
            </w:pPr>
            <w:r/>
            <w:r>
              <w:rPr>
                <w:rFonts w:ascii="Times New Roman" w:hAnsi="Times New Roman" w:eastAsia="宋体"/>
                <w:b w:val="0"/>
                <w:sz w:val="21"/>
              </w:rPr>
              <w:t>0.048</w:t>
            </w:r>
          </w:p>
        </w:tc>
        <w:tc>
          <w:tcPr>
            <w:tcW w:type="dxa" w:w="1133"/>
          </w:tcPr>
          <w:p>
            <w:pPr>
              <w:jc w:val="center"/>
            </w:pPr>
            <w:r/>
            <w:r>
              <w:rPr>
                <w:rFonts w:ascii="Times New Roman" w:hAnsi="Times New Roman" w:eastAsia="宋体"/>
                <w:b w:val="0"/>
                <w:sz w:val="21"/>
              </w:rPr>
              <w:t>0.145</w:t>
            </w:r>
          </w:p>
        </w:tc>
        <w:tc>
          <w:tcPr>
            <w:tcW w:type="dxa" w:w="1133"/>
          </w:tcPr>
          <w:p>
            <w:pPr>
              <w:jc w:val="center"/>
            </w:pPr>
            <w:r/>
            <w:r>
              <w:rPr>
                <w:rFonts w:ascii="Times New Roman" w:hAnsi="Times New Roman" w:eastAsia="宋体"/>
                <w:b w:val="0"/>
                <w:sz w:val="21"/>
              </w:rPr>
              <w:t>0.859</w:t>
            </w:r>
          </w:p>
        </w:tc>
        <w:tc>
          <w:tcPr>
            <w:tcW w:type="dxa" w:w="1133"/>
          </w:tcPr>
          <w:p>
            <w:pPr>
              <w:jc w:val="center"/>
            </w:pPr>
            <w:r/>
            <w:r>
              <w:rPr>
                <w:rFonts w:ascii="Times New Roman" w:hAnsi="Times New Roman" w:eastAsia="宋体"/>
                <w:b w:val="0"/>
                <w:sz w:val="21"/>
              </w:rPr>
              <w:t>0.597</w:t>
            </w:r>
          </w:p>
        </w:tc>
        <w:tc>
          <w:tcPr>
            <w:tcW w:type="dxa" w:w="1133"/>
          </w:tcPr>
          <w:p>
            <w:pPr>
              <w:jc w:val="center"/>
            </w:pPr>
            <w:r/>
            <w:r>
              <w:rPr>
                <w:rFonts w:ascii="Times New Roman" w:hAnsi="Times New Roman" w:eastAsia="宋体"/>
                <w:b w:val="0"/>
                <w:sz w:val="21"/>
              </w:rPr>
              <w:t>0.423</w:t>
            </w:r>
          </w:p>
        </w:tc>
        <w:tc>
          <w:tcPr>
            <w:tcW w:type="dxa" w:w="1133"/>
          </w:tcPr>
          <w:p>
            <w:pPr>
              <w:jc w:val="center"/>
            </w:pPr>
            <w:r/>
            <w:r>
              <w:rPr>
                <w:rFonts w:ascii="Times New Roman" w:hAnsi="Times New Roman" w:eastAsia="宋体"/>
                <w:b w:val="0"/>
                <w:sz w:val="21"/>
              </w:rPr>
              <w:t>1.000</w:t>
            </w:r>
          </w:p>
        </w:tc>
        <w:tc>
          <w:tcPr>
            <w:tcW w:type="dxa" w:w="1133"/>
          </w:tcPr>
          <w:p>
            <w:pPr>
              <w:jc w:val="center"/>
            </w:pPr>
            <w:r/>
            <w:r>
              <w:rPr>
                <w:rFonts w:ascii="Times New Roman" w:hAnsi="Times New Roman" w:eastAsia="宋体"/>
                <w:b w:val="0"/>
                <w:sz w:val="21"/>
              </w:rPr>
              <w:t>0.266</w:t>
            </w:r>
          </w:p>
        </w:tc>
      </w:tr>
      <w:tr>
        <w:tc>
          <w:tcPr>
            <w:tcW w:type="dxa" w:w="1133"/>
          </w:tcPr>
          <w:p>
            <w:pPr>
              <w:jc w:val="center"/>
            </w:pPr>
            <w:r/>
            <w:r>
              <w:rPr>
                <w:rFonts w:ascii="Times New Roman" w:hAnsi="Times New Roman" w:eastAsia="宋体"/>
                <w:b w:val="0"/>
                <w:sz w:val="21"/>
              </w:rPr>
              <w:t>Review_500m</w:t>
            </w:r>
          </w:p>
        </w:tc>
        <w:tc>
          <w:tcPr>
            <w:tcW w:type="dxa" w:w="1133"/>
          </w:tcPr>
          <w:p>
            <w:pPr>
              <w:jc w:val="center"/>
            </w:pPr>
            <w:r/>
            <w:r>
              <w:rPr>
                <w:rFonts w:ascii="Times New Roman" w:hAnsi="Times New Roman" w:eastAsia="宋体"/>
                <w:b w:val="0"/>
                <w:sz w:val="21"/>
              </w:rPr>
              <w:t>0.114</w:t>
            </w:r>
          </w:p>
        </w:tc>
        <w:tc>
          <w:tcPr>
            <w:tcW w:type="dxa" w:w="1133"/>
          </w:tcPr>
          <w:p>
            <w:pPr>
              <w:jc w:val="center"/>
            </w:pPr>
            <w:r/>
            <w:r>
              <w:rPr>
                <w:rFonts w:ascii="Times New Roman" w:hAnsi="Times New Roman" w:eastAsia="宋体"/>
                <w:b w:val="0"/>
                <w:sz w:val="21"/>
              </w:rPr>
              <w:t>0.041</w:t>
            </w:r>
          </w:p>
        </w:tc>
        <w:tc>
          <w:tcPr>
            <w:tcW w:type="dxa" w:w="1133"/>
          </w:tcPr>
          <w:p>
            <w:pPr>
              <w:jc w:val="center"/>
            </w:pPr>
            <w:r/>
            <w:r>
              <w:rPr>
                <w:rFonts w:ascii="Times New Roman" w:hAnsi="Times New Roman" w:eastAsia="宋体"/>
                <w:b w:val="0"/>
                <w:sz w:val="21"/>
              </w:rPr>
              <w:t>0.506</w:t>
            </w:r>
          </w:p>
        </w:tc>
        <w:tc>
          <w:tcPr>
            <w:tcW w:type="dxa" w:w="1133"/>
          </w:tcPr>
          <w:p>
            <w:pPr>
              <w:jc w:val="center"/>
            </w:pPr>
            <w:r/>
            <w:r>
              <w:rPr>
                <w:rFonts w:ascii="Times New Roman" w:hAnsi="Times New Roman" w:eastAsia="宋体"/>
                <w:b w:val="0"/>
                <w:sz w:val="21"/>
              </w:rPr>
              <w:t>0.332</w:t>
            </w:r>
          </w:p>
        </w:tc>
        <w:tc>
          <w:tcPr>
            <w:tcW w:type="dxa" w:w="1133"/>
          </w:tcPr>
          <w:p>
            <w:pPr>
              <w:jc w:val="center"/>
            </w:pPr>
            <w:r/>
            <w:r>
              <w:rPr>
                <w:rFonts w:ascii="Times New Roman" w:hAnsi="Times New Roman" w:eastAsia="宋体"/>
                <w:b w:val="0"/>
                <w:sz w:val="21"/>
              </w:rPr>
              <w:t>0.360</w:t>
            </w:r>
          </w:p>
        </w:tc>
        <w:tc>
          <w:tcPr>
            <w:tcW w:type="dxa" w:w="1133"/>
          </w:tcPr>
          <w:p>
            <w:pPr>
              <w:jc w:val="center"/>
            </w:pPr>
            <w:r/>
            <w:r>
              <w:rPr>
                <w:rFonts w:ascii="Times New Roman" w:hAnsi="Times New Roman" w:eastAsia="宋体"/>
                <w:b w:val="0"/>
                <w:sz w:val="21"/>
              </w:rPr>
              <w:t>0.266</w:t>
            </w:r>
          </w:p>
        </w:tc>
        <w:tc>
          <w:tcPr>
            <w:tcW w:type="dxa" w:w="1133"/>
          </w:tcPr>
          <w:p>
            <w:pPr>
              <w:jc w:val="center"/>
            </w:pPr>
            <w:r/>
            <w:r>
              <w:rPr>
                <w:rFonts w:ascii="Times New Roman" w:hAnsi="Times New Roman" w:eastAsia="宋体"/>
                <w:b w:val="0"/>
                <w:sz w:val="21"/>
              </w:rPr>
              <w:t>1.000</w:t>
            </w:r>
          </w:p>
        </w:tc>
      </w:tr>
    </w:tbl>
    <w:p/>
    <w:p/>
    <w:p>
      <w:pPr>
        <w:spacing w:line="400" w:lineRule="exact" w:before="0" w:after="0"/>
        <w:ind w:firstLine="480"/>
      </w:pPr>
      <w:r>
        <w:rPr>
          <w:rFonts w:ascii="Times New Roman" w:hAnsi="Times New Roman" w:eastAsia="宋体"/>
          <w:b w:val="0"/>
          <w:sz w:val="24"/>
        </w:rPr>
        <w:t>数据来源：output/tables/potential_correlation_anchor.csv。</w:t>
      </w:r>
    </w:p>
    <w:p/>
    <w:p>
      <w:pPr>
        <w:spacing w:line="400" w:lineRule="exact" w:before="0" w:after="0"/>
        <w:jc w:val="center"/>
      </w:pPr>
      <w:r>
        <w:rPr>
          <w:rFonts w:ascii="Times New Roman" w:hAnsi="Times New Roman" w:eastAsia="宋体"/>
          <w:b/>
          <w:sz w:val="24"/>
        </w:rPr>
        <w:t>图 6.4　载体级相关矩阵热图（7 变量 × 7 变量）</w:t>
      </w:r>
    </w:p>
    <w:p/>
    <w:p>
      <w:pPr>
        <w:jc w:val="center"/>
      </w:pPr>
      <w:r>
        <w:drawing>
          <wp:inline xmlns:a="http://schemas.openxmlformats.org/drawingml/2006/main" xmlns:pic="http://schemas.openxmlformats.org/drawingml/2006/picture">
            <wp:extent cx="5669280" cy="4835062"/>
            <wp:docPr id="10" name="Picture 10"/>
            <wp:cNvGraphicFramePr>
              <a:graphicFrameLocks noChangeAspect="1"/>
            </wp:cNvGraphicFramePr>
            <a:graphic>
              <a:graphicData uri="http://schemas.openxmlformats.org/drawingml/2006/picture">
                <pic:pic>
                  <pic:nvPicPr>
                    <pic:cNvPr id="0" name="thesis_anchor_correlation_heatmap.png"/>
                    <pic:cNvPicPr/>
                  </pic:nvPicPr>
                  <pic:blipFill>
                    <a:blip r:embed="rId18"/>
                    <a:stretch>
                      <a:fillRect/>
                    </a:stretch>
                  </pic:blipFill>
                  <pic:spPr>
                    <a:xfrm>
                      <a:off x="0" y="0"/>
                      <a:ext cx="5669280" cy="4835062"/>
                    </a:xfrm>
                    <a:prstGeom prst="rect"/>
                  </pic:spPr>
                </pic:pic>
              </a:graphicData>
            </a:graphic>
          </wp:inline>
        </w:drawing>
      </w:r>
    </w:p>
    <w:p/>
    <w:p>
      <w:pPr>
        <w:spacing w:line="400" w:lineRule="exact" w:before="0" w:after="0"/>
        <w:ind w:firstLine="480"/>
      </w:pPr>
      <w:r>
        <w:rPr>
          <w:rFonts w:ascii="Times New Roman" w:hAnsi="Times New Roman" w:eastAsia="宋体"/>
          <w:b w:val="0"/>
          <w:sz w:val="24"/>
        </w:rPr>
        <w:t>载体级结果给出三点关键观察：</w:t>
      </w:r>
    </w:p>
    <w:p/>
    <w:p>
      <w:pPr>
        <w:spacing w:line="400" w:lineRule="exact" w:before="0" w:after="0"/>
        <w:ind w:firstLine="480"/>
      </w:pPr>
      <w:r>
        <w:rPr>
          <w:rFonts w:ascii="Times New Roman" w:hAnsi="Times New Roman" w:eastAsia="宋体"/>
          <w:b w:val="0"/>
          <w:sz w:val="24"/>
        </w:rPr>
        <w:t>（1）CMI × MI = −0.495、OAI × MI = −0.440，均为中等负相关。其经济学含义是：文化记忆越深、官方认证越高的载体，错位指数越负（即旅游热度相对越低），这在量化层面支撑了"文化—旅游错位"的本质假设。</w:t>
      </w:r>
    </w:p>
    <w:p/>
    <w:p>
      <w:pPr>
        <w:spacing w:line="400" w:lineRule="exact" w:before="0" w:after="0"/>
        <w:ind w:firstLine="480"/>
      </w:pPr>
      <w:r>
        <w:rPr>
          <w:rFonts w:ascii="Times New Roman" w:hAnsi="Times New Roman" w:eastAsia="宋体"/>
          <w:b w:val="0"/>
          <w:sz w:val="24"/>
        </w:rPr>
        <w:t>（2）POI_500m × CMI = −0.031、POI_500m × OAI = 0.069，二者的皮尔森相关系数几乎为零。这意味着 POI 的空间密度与载体的文化记忆、官方认证基本无关——这本身就是错位的量化证据，亦构成第 7 章建议中"需要通过规划介入显著改善这一相关性"的出发点。</w:t>
      </w:r>
    </w:p>
    <w:p/>
    <w:p>
      <w:pPr>
        <w:spacing w:line="400" w:lineRule="exact" w:before="0" w:after="0"/>
        <w:ind w:firstLine="480"/>
      </w:pPr>
      <w:r>
        <w:rPr>
          <w:rFonts w:ascii="Times New Roman" w:hAnsi="Times New Roman" w:eastAsia="宋体"/>
          <w:b w:val="0"/>
          <w:sz w:val="24"/>
        </w:rPr>
        <w:t>（3）THI × Rating = 0.859、THI × POI = 0.693、THI × Review = 0.506，三个组件之间的相关性与 THI 的权重设计（0.4/0.2/0.4）基本匹配，说明 THI 构造合理、无明显组件失衡。</w:t>
      </w:r>
    </w:p>
    <w:p/>
    <w:p>
      <w:pPr>
        <w:pStyle w:val="Heading3"/>
        <w:spacing w:line="400" w:lineRule="exact" w:before="240" w:after="80"/>
        <w:jc w:val="left"/>
      </w:pPr>
      <w:r>
        <w:rPr>
          <w:rFonts w:ascii="Times New Roman" w:hAnsi="Times New Roman" w:eastAsia="宋体"/>
          <w:b/>
          <w:sz w:val="26"/>
        </w:rPr>
        <w:t>6.3.2 镇街级相关矩阵（n = 7）</w:t>
      </w:r>
    </w:p>
    <w:p/>
    <w:p>
      <w:pPr>
        <w:spacing w:line="400" w:lineRule="exact" w:before="0" w:after="0"/>
        <w:jc w:val="center"/>
      </w:pPr>
      <w:r>
        <w:rPr>
          <w:rFonts w:ascii="Times New Roman" w:hAnsi="Times New Roman" w:eastAsia="宋体"/>
          <w:b/>
          <w:sz w:val="24"/>
        </w:rPr>
        <w:t>表 6.5　镇街级指标相关矩阵（Pearson, n = 7）</w:t>
      </w:r>
    </w:p>
    <w:p/>
    <w:tbl>
      <w:tblPr>
        <w:tblStyle w:val="TableGrid"/>
        <w:tblW w:type="auto" w:w="0"/>
        <w:tblLayout w:type="autofit"/>
        <w:tblLook w:firstColumn="1" w:firstRow="1" w:lastColumn="0" w:lastRow="0" w:noHBand="0" w:noVBand="1" w:val="04A0"/>
      </w:tblPr>
      <w:tblGrid>
        <w:gridCol w:w="1133"/>
        <w:gridCol w:w="1133"/>
        <w:gridCol w:w="1133"/>
        <w:gridCol w:w="1133"/>
        <w:gridCol w:w="1133"/>
        <w:gridCol w:w="1133"/>
        <w:gridCol w:w="1133"/>
        <w:gridCol w:w="1133"/>
      </w:tblGrid>
      <w:tr>
        <w:tc>
          <w:tcPr>
            <w:tcW w:type="dxa" w:w="1133"/>
          </w:tcPr>
          <w:p>
            <w:pPr>
              <w:jc w:val="center"/>
            </w:pPr>
            <w:r/>
            <w:r>
              <w:rPr>
                <w:rFonts w:ascii="Times New Roman" w:hAnsi="Times New Roman" w:eastAsia="宋体"/>
                <w:b/>
                <w:sz w:val="21"/>
              </w:rPr>
            </w:r>
          </w:p>
        </w:tc>
        <w:tc>
          <w:tcPr>
            <w:tcW w:type="dxa" w:w="1133"/>
          </w:tcPr>
          <w:p>
            <w:pPr>
              <w:jc w:val="center"/>
            </w:pPr>
            <w:r/>
            <w:r>
              <w:rPr>
                <w:rFonts w:ascii="Times New Roman" w:hAnsi="Times New Roman" w:eastAsia="宋体"/>
                <w:b/>
                <w:sz w:val="21"/>
              </w:rPr>
              <w:t>POI_Total</w:t>
            </w:r>
          </w:p>
        </w:tc>
        <w:tc>
          <w:tcPr>
            <w:tcW w:type="dxa" w:w="1133"/>
          </w:tcPr>
          <w:p>
            <w:pPr>
              <w:jc w:val="center"/>
            </w:pPr>
            <w:r/>
            <w:r>
              <w:rPr>
                <w:rFonts w:ascii="Times New Roman" w:hAnsi="Times New Roman" w:eastAsia="宋体"/>
                <w:b/>
                <w:sz w:val="21"/>
              </w:rPr>
              <w:t>Material_Count</w:t>
            </w:r>
          </w:p>
        </w:tc>
        <w:tc>
          <w:tcPr>
            <w:tcW w:type="dxa" w:w="1133"/>
          </w:tcPr>
          <w:p>
            <w:pPr>
              <w:jc w:val="center"/>
            </w:pPr>
            <w:r/>
            <w:r>
              <w:rPr>
                <w:rFonts w:ascii="Times New Roman" w:hAnsi="Times New Roman" w:eastAsia="宋体"/>
                <w:b/>
                <w:sz w:val="21"/>
              </w:rPr>
              <w:t>NH_Total</w:t>
            </w:r>
          </w:p>
        </w:tc>
        <w:tc>
          <w:tcPr>
            <w:tcW w:type="dxa" w:w="1133"/>
          </w:tcPr>
          <w:p>
            <w:pPr>
              <w:jc w:val="center"/>
            </w:pPr>
            <w:r/>
            <w:r>
              <w:rPr>
                <w:rFonts w:ascii="Times New Roman" w:hAnsi="Times New Roman" w:eastAsia="宋体"/>
                <w:b/>
                <w:sz w:val="21"/>
              </w:rPr>
              <w:t>CMI_mean</w:t>
            </w:r>
          </w:p>
        </w:tc>
        <w:tc>
          <w:tcPr>
            <w:tcW w:type="dxa" w:w="1133"/>
          </w:tcPr>
          <w:p>
            <w:pPr>
              <w:jc w:val="center"/>
            </w:pPr>
            <w:r/>
            <w:r>
              <w:rPr>
                <w:rFonts w:ascii="Times New Roman" w:hAnsi="Times New Roman" w:eastAsia="宋体"/>
                <w:b/>
                <w:sz w:val="21"/>
              </w:rPr>
              <w:t>OAI_mean</w:t>
            </w:r>
          </w:p>
        </w:tc>
        <w:tc>
          <w:tcPr>
            <w:tcW w:type="dxa" w:w="1133"/>
          </w:tcPr>
          <w:p>
            <w:pPr>
              <w:jc w:val="center"/>
            </w:pPr>
            <w:r/>
            <w:r>
              <w:rPr>
                <w:rFonts w:ascii="Times New Roman" w:hAnsi="Times New Roman" w:eastAsia="宋体"/>
                <w:b/>
                <w:sz w:val="21"/>
              </w:rPr>
              <w:t>THI_mean</w:t>
            </w:r>
          </w:p>
        </w:tc>
        <w:tc>
          <w:tcPr>
            <w:tcW w:type="dxa" w:w="1133"/>
          </w:tcPr>
          <w:p>
            <w:pPr>
              <w:jc w:val="center"/>
            </w:pPr>
            <w:r/>
            <w:r>
              <w:rPr>
                <w:rFonts w:ascii="Times New Roman" w:hAnsi="Times New Roman" w:eastAsia="宋体"/>
                <w:b/>
                <w:sz w:val="21"/>
              </w:rPr>
              <w:t>MI_mean</w:t>
            </w:r>
          </w:p>
        </w:tc>
      </w:tr>
      <w:tr>
        <w:tc>
          <w:tcPr>
            <w:tcW w:type="dxa" w:w="1133"/>
          </w:tcPr>
          <w:p>
            <w:pPr>
              <w:jc w:val="center"/>
            </w:pPr>
            <w:r/>
            <w:r>
              <w:rPr>
                <w:rFonts w:ascii="Times New Roman" w:hAnsi="Times New Roman" w:eastAsia="宋体"/>
                <w:b w:val="0"/>
                <w:sz w:val="21"/>
              </w:rPr>
              <w:t>POI_Total</w:t>
            </w:r>
          </w:p>
        </w:tc>
        <w:tc>
          <w:tcPr>
            <w:tcW w:type="dxa" w:w="1133"/>
          </w:tcPr>
          <w:p>
            <w:pPr>
              <w:jc w:val="center"/>
            </w:pPr>
            <w:r/>
            <w:r>
              <w:rPr>
                <w:rFonts w:ascii="Times New Roman" w:hAnsi="Times New Roman" w:eastAsia="宋体"/>
                <w:b w:val="0"/>
                <w:sz w:val="21"/>
              </w:rPr>
              <w:t>1.000</w:t>
            </w:r>
          </w:p>
        </w:tc>
        <w:tc>
          <w:tcPr>
            <w:tcW w:type="dxa" w:w="1133"/>
          </w:tcPr>
          <w:p>
            <w:pPr>
              <w:jc w:val="center"/>
            </w:pPr>
            <w:r/>
            <w:r>
              <w:rPr>
                <w:rFonts w:ascii="Times New Roman" w:hAnsi="Times New Roman" w:eastAsia="宋体"/>
                <w:b w:val="0"/>
                <w:sz w:val="21"/>
              </w:rPr>
              <w:t>−0.475</w:t>
            </w:r>
          </w:p>
        </w:tc>
        <w:tc>
          <w:tcPr>
            <w:tcW w:type="dxa" w:w="1133"/>
          </w:tcPr>
          <w:p>
            <w:pPr>
              <w:jc w:val="center"/>
            </w:pPr>
            <w:r/>
            <w:r>
              <w:rPr>
                <w:rFonts w:ascii="Times New Roman" w:hAnsi="Times New Roman" w:eastAsia="宋体"/>
                <w:b w:val="0"/>
                <w:sz w:val="21"/>
              </w:rPr>
              <w:t>0.372</w:t>
            </w:r>
          </w:p>
        </w:tc>
        <w:tc>
          <w:tcPr>
            <w:tcW w:type="dxa" w:w="1133"/>
          </w:tcPr>
          <w:p>
            <w:pPr>
              <w:jc w:val="center"/>
            </w:pPr>
            <w:r/>
            <w:r>
              <w:rPr>
                <w:rFonts w:ascii="Times New Roman" w:hAnsi="Times New Roman" w:eastAsia="宋体"/>
                <w:b w:val="0"/>
                <w:sz w:val="21"/>
              </w:rPr>
              <w:t>0.040</w:t>
            </w:r>
          </w:p>
        </w:tc>
        <w:tc>
          <w:tcPr>
            <w:tcW w:type="dxa" w:w="1133"/>
          </w:tcPr>
          <w:p>
            <w:pPr>
              <w:jc w:val="center"/>
            </w:pPr>
            <w:r/>
            <w:r>
              <w:rPr>
                <w:rFonts w:ascii="Times New Roman" w:hAnsi="Times New Roman" w:eastAsia="宋体"/>
                <w:b w:val="0"/>
                <w:sz w:val="21"/>
              </w:rPr>
              <w:t>0.693</w:t>
            </w:r>
          </w:p>
        </w:tc>
        <w:tc>
          <w:tcPr>
            <w:tcW w:type="dxa" w:w="1133"/>
          </w:tcPr>
          <w:p>
            <w:pPr>
              <w:jc w:val="center"/>
            </w:pPr>
            <w:r/>
            <w:r>
              <w:rPr>
                <w:rFonts w:ascii="Times New Roman" w:hAnsi="Times New Roman" w:eastAsia="宋体"/>
                <w:b w:val="0"/>
                <w:sz w:val="21"/>
              </w:rPr>
              <w:t>0.314</w:t>
            </w:r>
          </w:p>
        </w:tc>
        <w:tc>
          <w:tcPr>
            <w:tcW w:type="dxa" w:w="1133"/>
          </w:tcPr>
          <w:p>
            <w:pPr>
              <w:jc w:val="center"/>
            </w:pPr>
            <w:r/>
            <w:r>
              <w:rPr>
                <w:rFonts w:ascii="Times New Roman" w:hAnsi="Times New Roman" w:eastAsia="宋体"/>
                <w:b w:val="0"/>
                <w:sz w:val="21"/>
              </w:rPr>
              <w:t>0.037</w:t>
            </w:r>
          </w:p>
        </w:tc>
      </w:tr>
      <w:tr>
        <w:tc>
          <w:tcPr>
            <w:tcW w:type="dxa" w:w="1133"/>
          </w:tcPr>
          <w:p>
            <w:pPr>
              <w:jc w:val="center"/>
            </w:pPr>
            <w:r/>
            <w:r>
              <w:rPr>
                <w:rFonts w:ascii="Times New Roman" w:hAnsi="Times New Roman" w:eastAsia="宋体"/>
                <w:b w:val="0"/>
                <w:sz w:val="21"/>
              </w:rPr>
              <w:t>Material_Count</w:t>
            </w:r>
          </w:p>
        </w:tc>
        <w:tc>
          <w:tcPr>
            <w:tcW w:type="dxa" w:w="1133"/>
          </w:tcPr>
          <w:p>
            <w:pPr>
              <w:jc w:val="center"/>
            </w:pPr>
            <w:r/>
            <w:r>
              <w:rPr>
                <w:rFonts w:ascii="Times New Roman" w:hAnsi="Times New Roman" w:eastAsia="宋体"/>
                <w:b w:val="0"/>
                <w:sz w:val="21"/>
              </w:rPr>
              <w:t>−0.475</w:t>
            </w:r>
          </w:p>
        </w:tc>
        <w:tc>
          <w:tcPr>
            <w:tcW w:type="dxa" w:w="1133"/>
          </w:tcPr>
          <w:p>
            <w:pPr>
              <w:jc w:val="center"/>
            </w:pPr>
            <w:r/>
            <w:r>
              <w:rPr>
                <w:rFonts w:ascii="Times New Roman" w:hAnsi="Times New Roman" w:eastAsia="宋体"/>
                <w:b w:val="0"/>
                <w:sz w:val="21"/>
              </w:rPr>
              <w:t>1.000</w:t>
            </w:r>
          </w:p>
        </w:tc>
        <w:tc>
          <w:tcPr>
            <w:tcW w:type="dxa" w:w="1133"/>
          </w:tcPr>
          <w:p>
            <w:pPr>
              <w:jc w:val="center"/>
            </w:pPr>
            <w:r/>
            <w:r>
              <w:rPr>
                <w:rFonts w:ascii="Times New Roman" w:hAnsi="Times New Roman" w:eastAsia="宋体"/>
                <w:b w:val="0"/>
                <w:sz w:val="21"/>
              </w:rPr>
              <w:t>0.065</w:t>
            </w:r>
          </w:p>
        </w:tc>
        <w:tc>
          <w:tcPr>
            <w:tcW w:type="dxa" w:w="1133"/>
          </w:tcPr>
          <w:p>
            <w:pPr>
              <w:jc w:val="center"/>
            </w:pPr>
            <w:r/>
            <w:r>
              <w:rPr>
                <w:rFonts w:ascii="Times New Roman" w:hAnsi="Times New Roman" w:eastAsia="宋体"/>
                <w:b w:val="0"/>
                <w:sz w:val="21"/>
              </w:rPr>
              <w:t>0.584</w:t>
            </w:r>
          </w:p>
        </w:tc>
        <w:tc>
          <w:tcPr>
            <w:tcW w:type="dxa" w:w="1133"/>
          </w:tcPr>
          <w:p>
            <w:pPr>
              <w:jc w:val="center"/>
            </w:pPr>
            <w:r/>
            <w:r>
              <w:rPr>
                <w:rFonts w:ascii="Times New Roman" w:hAnsi="Times New Roman" w:eastAsia="宋体"/>
                <w:b w:val="0"/>
                <w:sz w:val="21"/>
              </w:rPr>
              <w:t>0.029</w:t>
            </w:r>
          </w:p>
        </w:tc>
        <w:tc>
          <w:tcPr>
            <w:tcW w:type="dxa" w:w="1133"/>
          </w:tcPr>
          <w:p>
            <w:pPr>
              <w:jc w:val="center"/>
            </w:pPr>
            <w:r/>
            <w:r>
              <w:rPr>
                <w:rFonts w:ascii="Times New Roman" w:hAnsi="Times New Roman" w:eastAsia="宋体"/>
                <w:b w:val="0"/>
                <w:sz w:val="21"/>
              </w:rPr>
              <w:t>0.426</w:t>
            </w:r>
          </w:p>
        </w:tc>
        <w:tc>
          <w:tcPr>
            <w:tcW w:type="dxa" w:w="1133"/>
          </w:tcPr>
          <w:p>
            <w:pPr>
              <w:jc w:val="center"/>
            </w:pPr>
            <w:r/>
            <w:r>
              <w:rPr>
                <w:rFonts w:ascii="Times New Roman" w:hAnsi="Times New Roman" w:eastAsia="宋体"/>
                <w:b w:val="0"/>
                <w:sz w:val="21"/>
              </w:rPr>
              <w:t>0.157</w:t>
            </w:r>
          </w:p>
        </w:tc>
      </w:tr>
      <w:tr>
        <w:tc>
          <w:tcPr>
            <w:tcW w:type="dxa" w:w="1133"/>
          </w:tcPr>
          <w:p>
            <w:pPr>
              <w:jc w:val="center"/>
            </w:pPr>
            <w:r/>
            <w:r>
              <w:rPr>
                <w:rFonts w:ascii="Times New Roman" w:hAnsi="Times New Roman" w:eastAsia="宋体"/>
                <w:b w:val="0"/>
                <w:sz w:val="21"/>
              </w:rPr>
              <w:t>NH_Total</w:t>
            </w:r>
          </w:p>
        </w:tc>
        <w:tc>
          <w:tcPr>
            <w:tcW w:type="dxa" w:w="1133"/>
          </w:tcPr>
          <w:p>
            <w:pPr>
              <w:jc w:val="center"/>
            </w:pPr>
            <w:r/>
            <w:r>
              <w:rPr>
                <w:rFonts w:ascii="Times New Roman" w:hAnsi="Times New Roman" w:eastAsia="宋体"/>
                <w:b w:val="0"/>
                <w:sz w:val="21"/>
              </w:rPr>
              <w:t>0.372</w:t>
            </w:r>
          </w:p>
        </w:tc>
        <w:tc>
          <w:tcPr>
            <w:tcW w:type="dxa" w:w="1133"/>
          </w:tcPr>
          <w:p>
            <w:pPr>
              <w:jc w:val="center"/>
            </w:pPr>
            <w:r/>
            <w:r>
              <w:rPr>
                <w:rFonts w:ascii="Times New Roman" w:hAnsi="Times New Roman" w:eastAsia="宋体"/>
                <w:b w:val="0"/>
                <w:sz w:val="21"/>
              </w:rPr>
              <w:t>0.065</w:t>
            </w:r>
          </w:p>
        </w:tc>
        <w:tc>
          <w:tcPr>
            <w:tcW w:type="dxa" w:w="1133"/>
          </w:tcPr>
          <w:p>
            <w:pPr>
              <w:jc w:val="center"/>
            </w:pPr>
            <w:r/>
            <w:r>
              <w:rPr>
                <w:rFonts w:ascii="Times New Roman" w:hAnsi="Times New Roman" w:eastAsia="宋体"/>
                <w:b w:val="0"/>
                <w:sz w:val="21"/>
              </w:rPr>
              <w:t>1.000</w:t>
            </w:r>
          </w:p>
        </w:tc>
        <w:tc>
          <w:tcPr>
            <w:tcW w:type="dxa" w:w="1133"/>
          </w:tcPr>
          <w:p>
            <w:pPr>
              <w:jc w:val="center"/>
            </w:pPr>
            <w:r/>
            <w:r>
              <w:rPr>
                <w:rFonts w:ascii="Times New Roman" w:hAnsi="Times New Roman" w:eastAsia="宋体"/>
                <w:b w:val="0"/>
                <w:sz w:val="21"/>
              </w:rPr>
              <w:t>−0.323</w:t>
            </w:r>
          </w:p>
        </w:tc>
        <w:tc>
          <w:tcPr>
            <w:tcW w:type="dxa" w:w="1133"/>
          </w:tcPr>
          <w:p>
            <w:pPr>
              <w:jc w:val="center"/>
            </w:pPr>
            <w:r/>
            <w:r>
              <w:rPr>
                <w:rFonts w:ascii="Times New Roman" w:hAnsi="Times New Roman" w:eastAsia="宋体"/>
                <w:b w:val="0"/>
                <w:sz w:val="21"/>
              </w:rPr>
              <w:t>0.289</w:t>
            </w:r>
          </w:p>
        </w:tc>
        <w:tc>
          <w:tcPr>
            <w:tcW w:type="dxa" w:w="1133"/>
          </w:tcPr>
          <w:p>
            <w:pPr>
              <w:jc w:val="center"/>
            </w:pPr>
            <w:r/>
            <w:r>
              <w:rPr>
                <w:rFonts w:ascii="Times New Roman" w:hAnsi="Times New Roman" w:eastAsia="宋体"/>
                <w:b w:val="0"/>
                <w:sz w:val="21"/>
              </w:rPr>
              <w:t>0.660</w:t>
            </w:r>
          </w:p>
        </w:tc>
        <w:tc>
          <w:tcPr>
            <w:tcW w:type="dxa" w:w="1133"/>
          </w:tcPr>
          <w:p>
            <w:pPr>
              <w:jc w:val="center"/>
            </w:pPr>
            <w:r/>
            <w:r>
              <w:rPr>
                <w:rFonts w:ascii="Times New Roman" w:hAnsi="Times New Roman" w:eastAsia="宋体"/>
                <w:b w:val="0"/>
                <w:sz w:val="21"/>
              </w:rPr>
              <w:t>0.782</w:t>
            </w:r>
          </w:p>
        </w:tc>
      </w:tr>
      <w:tr>
        <w:tc>
          <w:tcPr>
            <w:tcW w:type="dxa" w:w="1133"/>
          </w:tcPr>
          <w:p>
            <w:pPr>
              <w:jc w:val="center"/>
            </w:pPr>
            <w:r/>
            <w:r>
              <w:rPr>
                <w:rFonts w:ascii="Times New Roman" w:hAnsi="Times New Roman" w:eastAsia="宋体"/>
                <w:b w:val="0"/>
                <w:sz w:val="21"/>
              </w:rPr>
              <w:t>CMI_mean</w:t>
            </w:r>
          </w:p>
        </w:tc>
        <w:tc>
          <w:tcPr>
            <w:tcW w:type="dxa" w:w="1133"/>
          </w:tcPr>
          <w:p>
            <w:pPr>
              <w:jc w:val="center"/>
            </w:pPr>
            <w:r/>
            <w:r>
              <w:rPr>
                <w:rFonts w:ascii="Times New Roman" w:hAnsi="Times New Roman" w:eastAsia="宋体"/>
                <w:b w:val="0"/>
                <w:sz w:val="21"/>
              </w:rPr>
              <w:t>0.040</w:t>
            </w:r>
          </w:p>
        </w:tc>
        <w:tc>
          <w:tcPr>
            <w:tcW w:type="dxa" w:w="1133"/>
          </w:tcPr>
          <w:p>
            <w:pPr>
              <w:jc w:val="center"/>
            </w:pPr>
            <w:r/>
            <w:r>
              <w:rPr>
                <w:rFonts w:ascii="Times New Roman" w:hAnsi="Times New Roman" w:eastAsia="宋体"/>
                <w:b w:val="0"/>
                <w:sz w:val="21"/>
              </w:rPr>
              <w:t>0.584</w:t>
            </w:r>
          </w:p>
        </w:tc>
        <w:tc>
          <w:tcPr>
            <w:tcW w:type="dxa" w:w="1133"/>
          </w:tcPr>
          <w:p>
            <w:pPr>
              <w:jc w:val="center"/>
            </w:pPr>
            <w:r/>
            <w:r>
              <w:rPr>
                <w:rFonts w:ascii="Times New Roman" w:hAnsi="Times New Roman" w:eastAsia="宋体"/>
                <w:b w:val="0"/>
                <w:sz w:val="21"/>
              </w:rPr>
              <w:t>−0.323</w:t>
            </w:r>
          </w:p>
        </w:tc>
        <w:tc>
          <w:tcPr>
            <w:tcW w:type="dxa" w:w="1133"/>
          </w:tcPr>
          <w:p>
            <w:pPr>
              <w:jc w:val="center"/>
            </w:pPr>
            <w:r/>
            <w:r>
              <w:rPr>
                <w:rFonts w:ascii="Times New Roman" w:hAnsi="Times New Roman" w:eastAsia="宋体"/>
                <w:b w:val="0"/>
                <w:sz w:val="21"/>
              </w:rPr>
              <w:t>1.000</w:t>
            </w:r>
          </w:p>
        </w:tc>
        <w:tc>
          <w:tcPr>
            <w:tcW w:type="dxa" w:w="1133"/>
          </w:tcPr>
          <w:p>
            <w:pPr>
              <w:jc w:val="center"/>
            </w:pPr>
            <w:r/>
            <w:r>
              <w:rPr>
                <w:rFonts w:ascii="Times New Roman" w:hAnsi="Times New Roman" w:eastAsia="宋体"/>
                <w:b w:val="0"/>
                <w:sz w:val="21"/>
              </w:rPr>
              <w:t>0.227</w:t>
            </w:r>
          </w:p>
        </w:tc>
        <w:tc>
          <w:tcPr>
            <w:tcW w:type="dxa" w:w="1133"/>
          </w:tcPr>
          <w:p>
            <w:pPr>
              <w:jc w:val="center"/>
            </w:pPr>
            <w:r/>
            <w:r>
              <w:rPr>
                <w:rFonts w:ascii="Times New Roman" w:hAnsi="Times New Roman" w:eastAsia="宋体"/>
                <w:b w:val="0"/>
                <w:sz w:val="21"/>
              </w:rPr>
              <w:t>0.113</w:t>
            </w:r>
          </w:p>
        </w:tc>
        <w:tc>
          <w:tcPr>
            <w:tcW w:type="dxa" w:w="1133"/>
          </w:tcPr>
          <w:p>
            <w:pPr>
              <w:jc w:val="center"/>
            </w:pPr>
            <w:r/>
            <w:r>
              <w:rPr>
                <w:rFonts w:ascii="Times New Roman" w:hAnsi="Times New Roman" w:eastAsia="宋体"/>
                <w:b w:val="0"/>
                <w:sz w:val="21"/>
              </w:rPr>
              <w:t>−0.493</w:t>
            </w:r>
          </w:p>
        </w:tc>
      </w:tr>
      <w:tr>
        <w:tc>
          <w:tcPr>
            <w:tcW w:type="dxa" w:w="1133"/>
          </w:tcPr>
          <w:p>
            <w:pPr>
              <w:jc w:val="center"/>
            </w:pPr>
            <w:r/>
            <w:r>
              <w:rPr>
                <w:rFonts w:ascii="Times New Roman" w:hAnsi="Times New Roman" w:eastAsia="宋体"/>
                <w:b w:val="0"/>
                <w:sz w:val="21"/>
              </w:rPr>
              <w:t>OAI_mean</w:t>
            </w:r>
          </w:p>
        </w:tc>
        <w:tc>
          <w:tcPr>
            <w:tcW w:type="dxa" w:w="1133"/>
          </w:tcPr>
          <w:p>
            <w:pPr>
              <w:jc w:val="center"/>
            </w:pPr>
            <w:r/>
            <w:r>
              <w:rPr>
                <w:rFonts w:ascii="Times New Roman" w:hAnsi="Times New Roman" w:eastAsia="宋体"/>
                <w:b w:val="0"/>
                <w:sz w:val="21"/>
              </w:rPr>
              <w:t>0.693</w:t>
            </w:r>
          </w:p>
        </w:tc>
        <w:tc>
          <w:tcPr>
            <w:tcW w:type="dxa" w:w="1133"/>
          </w:tcPr>
          <w:p>
            <w:pPr>
              <w:jc w:val="center"/>
            </w:pPr>
            <w:r/>
            <w:r>
              <w:rPr>
                <w:rFonts w:ascii="Times New Roman" w:hAnsi="Times New Roman" w:eastAsia="宋体"/>
                <w:b w:val="0"/>
                <w:sz w:val="21"/>
              </w:rPr>
              <w:t>0.029</w:t>
            </w:r>
          </w:p>
        </w:tc>
        <w:tc>
          <w:tcPr>
            <w:tcW w:type="dxa" w:w="1133"/>
          </w:tcPr>
          <w:p>
            <w:pPr>
              <w:jc w:val="center"/>
            </w:pPr>
            <w:r/>
            <w:r>
              <w:rPr>
                <w:rFonts w:ascii="Times New Roman" w:hAnsi="Times New Roman" w:eastAsia="宋体"/>
                <w:b w:val="0"/>
                <w:sz w:val="21"/>
              </w:rPr>
              <w:t>0.289</w:t>
            </w:r>
          </w:p>
        </w:tc>
        <w:tc>
          <w:tcPr>
            <w:tcW w:type="dxa" w:w="1133"/>
          </w:tcPr>
          <w:p>
            <w:pPr>
              <w:jc w:val="center"/>
            </w:pPr>
            <w:r/>
            <w:r>
              <w:rPr>
                <w:rFonts w:ascii="Times New Roman" w:hAnsi="Times New Roman" w:eastAsia="宋体"/>
                <w:b w:val="0"/>
                <w:sz w:val="21"/>
              </w:rPr>
              <w:t>0.227</w:t>
            </w:r>
          </w:p>
        </w:tc>
        <w:tc>
          <w:tcPr>
            <w:tcW w:type="dxa" w:w="1133"/>
          </w:tcPr>
          <w:p>
            <w:pPr>
              <w:jc w:val="center"/>
            </w:pPr>
            <w:r/>
            <w:r>
              <w:rPr>
                <w:rFonts w:ascii="Times New Roman" w:hAnsi="Times New Roman" w:eastAsia="宋体"/>
                <w:b w:val="0"/>
                <w:sz w:val="21"/>
              </w:rPr>
              <w:t>1.000</w:t>
            </w:r>
          </w:p>
        </w:tc>
        <w:tc>
          <w:tcPr>
            <w:tcW w:type="dxa" w:w="1133"/>
          </w:tcPr>
          <w:p>
            <w:pPr>
              <w:jc w:val="center"/>
            </w:pPr>
            <w:r/>
            <w:r>
              <w:rPr>
                <w:rFonts w:ascii="Times New Roman" w:hAnsi="Times New Roman" w:eastAsia="宋体"/>
                <w:b w:val="0"/>
                <w:sz w:val="21"/>
              </w:rPr>
              <w:t>0.702</w:t>
            </w:r>
          </w:p>
        </w:tc>
        <w:tc>
          <w:tcPr>
            <w:tcW w:type="dxa" w:w="1133"/>
          </w:tcPr>
          <w:p>
            <w:pPr>
              <w:jc w:val="center"/>
            </w:pPr>
            <w:r/>
            <w:r>
              <w:rPr>
                <w:rFonts w:ascii="Times New Roman" w:hAnsi="Times New Roman" w:eastAsia="宋体"/>
                <w:b w:val="0"/>
                <w:sz w:val="21"/>
              </w:rPr>
              <w:t>0.242</w:t>
            </w:r>
          </w:p>
        </w:tc>
      </w:tr>
      <w:tr>
        <w:tc>
          <w:tcPr>
            <w:tcW w:type="dxa" w:w="1133"/>
          </w:tcPr>
          <w:p>
            <w:pPr>
              <w:jc w:val="center"/>
            </w:pPr>
            <w:r/>
            <w:r>
              <w:rPr>
                <w:rFonts w:ascii="Times New Roman" w:hAnsi="Times New Roman" w:eastAsia="宋体"/>
                <w:b w:val="0"/>
                <w:sz w:val="21"/>
              </w:rPr>
              <w:t>THI_mean</w:t>
            </w:r>
          </w:p>
        </w:tc>
        <w:tc>
          <w:tcPr>
            <w:tcW w:type="dxa" w:w="1133"/>
          </w:tcPr>
          <w:p>
            <w:pPr>
              <w:jc w:val="center"/>
            </w:pPr>
            <w:r/>
            <w:r>
              <w:rPr>
                <w:rFonts w:ascii="Times New Roman" w:hAnsi="Times New Roman" w:eastAsia="宋体"/>
                <w:b w:val="0"/>
                <w:sz w:val="21"/>
              </w:rPr>
              <w:t>0.314</w:t>
            </w:r>
          </w:p>
        </w:tc>
        <w:tc>
          <w:tcPr>
            <w:tcW w:type="dxa" w:w="1133"/>
          </w:tcPr>
          <w:p>
            <w:pPr>
              <w:jc w:val="center"/>
            </w:pPr>
            <w:r/>
            <w:r>
              <w:rPr>
                <w:rFonts w:ascii="Times New Roman" w:hAnsi="Times New Roman" w:eastAsia="宋体"/>
                <w:b w:val="0"/>
                <w:sz w:val="21"/>
              </w:rPr>
              <w:t>0.426</w:t>
            </w:r>
          </w:p>
        </w:tc>
        <w:tc>
          <w:tcPr>
            <w:tcW w:type="dxa" w:w="1133"/>
          </w:tcPr>
          <w:p>
            <w:pPr>
              <w:jc w:val="center"/>
            </w:pPr>
            <w:r/>
            <w:r>
              <w:rPr>
                <w:rFonts w:ascii="Times New Roman" w:hAnsi="Times New Roman" w:eastAsia="宋体"/>
                <w:b w:val="0"/>
                <w:sz w:val="21"/>
              </w:rPr>
              <w:t>0.660</w:t>
            </w:r>
          </w:p>
        </w:tc>
        <w:tc>
          <w:tcPr>
            <w:tcW w:type="dxa" w:w="1133"/>
          </w:tcPr>
          <w:p>
            <w:pPr>
              <w:jc w:val="center"/>
            </w:pPr>
            <w:r/>
            <w:r>
              <w:rPr>
                <w:rFonts w:ascii="Times New Roman" w:hAnsi="Times New Roman" w:eastAsia="宋体"/>
                <w:b w:val="0"/>
                <w:sz w:val="21"/>
              </w:rPr>
              <w:t>0.113</w:t>
            </w:r>
          </w:p>
        </w:tc>
        <w:tc>
          <w:tcPr>
            <w:tcW w:type="dxa" w:w="1133"/>
          </w:tcPr>
          <w:p>
            <w:pPr>
              <w:jc w:val="center"/>
            </w:pPr>
            <w:r/>
            <w:r>
              <w:rPr>
                <w:rFonts w:ascii="Times New Roman" w:hAnsi="Times New Roman" w:eastAsia="宋体"/>
                <w:b w:val="0"/>
                <w:sz w:val="21"/>
              </w:rPr>
              <w:t>0.702</w:t>
            </w:r>
          </w:p>
        </w:tc>
        <w:tc>
          <w:tcPr>
            <w:tcW w:type="dxa" w:w="1133"/>
          </w:tcPr>
          <w:p>
            <w:pPr>
              <w:jc w:val="center"/>
            </w:pPr>
            <w:r/>
            <w:r>
              <w:rPr>
                <w:rFonts w:ascii="Times New Roman" w:hAnsi="Times New Roman" w:eastAsia="宋体"/>
                <w:b w:val="0"/>
                <w:sz w:val="21"/>
              </w:rPr>
              <w:t>1.000</w:t>
            </w:r>
          </w:p>
        </w:tc>
        <w:tc>
          <w:tcPr>
            <w:tcW w:type="dxa" w:w="1133"/>
          </w:tcPr>
          <w:p>
            <w:pPr>
              <w:jc w:val="center"/>
            </w:pPr>
            <w:r/>
            <w:r>
              <w:rPr>
                <w:rFonts w:ascii="Times New Roman" w:hAnsi="Times New Roman" w:eastAsia="宋体"/>
                <w:b w:val="0"/>
                <w:sz w:val="21"/>
              </w:rPr>
              <w:t>0.758</w:t>
            </w:r>
          </w:p>
        </w:tc>
      </w:tr>
      <w:tr>
        <w:tc>
          <w:tcPr>
            <w:tcW w:type="dxa" w:w="1133"/>
          </w:tcPr>
          <w:p>
            <w:pPr>
              <w:jc w:val="center"/>
            </w:pPr>
            <w:r/>
            <w:r>
              <w:rPr>
                <w:rFonts w:ascii="Times New Roman" w:hAnsi="Times New Roman" w:eastAsia="宋体"/>
                <w:b w:val="0"/>
                <w:sz w:val="21"/>
              </w:rPr>
              <w:t>MI_mean</w:t>
            </w:r>
          </w:p>
        </w:tc>
        <w:tc>
          <w:tcPr>
            <w:tcW w:type="dxa" w:w="1133"/>
          </w:tcPr>
          <w:p>
            <w:pPr>
              <w:jc w:val="center"/>
            </w:pPr>
            <w:r/>
            <w:r>
              <w:rPr>
                <w:rFonts w:ascii="Times New Roman" w:hAnsi="Times New Roman" w:eastAsia="宋体"/>
                <w:b w:val="0"/>
                <w:sz w:val="21"/>
              </w:rPr>
              <w:t>0.037</w:t>
            </w:r>
          </w:p>
        </w:tc>
        <w:tc>
          <w:tcPr>
            <w:tcW w:type="dxa" w:w="1133"/>
          </w:tcPr>
          <w:p>
            <w:pPr>
              <w:jc w:val="center"/>
            </w:pPr>
            <w:r/>
            <w:r>
              <w:rPr>
                <w:rFonts w:ascii="Times New Roman" w:hAnsi="Times New Roman" w:eastAsia="宋体"/>
                <w:b w:val="0"/>
                <w:sz w:val="21"/>
              </w:rPr>
              <w:t>0.157</w:t>
            </w:r>
          </w:p>
        </w:tc>
        <w:tc>
          <w:tcPr>
            <w:tcW w:type="dxa" w:w="1133"/>
          </w:tcPr>
          <w:p>
            <w:pPr>
              <w:jc w:val="center"/>
            </w:pPr>
            <w:r/>
            <w:r>
              <w:rPr>
                <w:rFonts w:ascii="Times New Roman" w:hAnsi="Times New Roman" w:eastAsia="宋体"/>
                <w:b w:val="0"/>
                <w:sz w:val="21"/>
              </w:rPr>
              <w:t>0.782</w:t>
            </w:r>
          </w:p>
        </w:tc>
        <w:tc>
          <w:tcPr>
            <w:tcW w:type="dxa" w:w="1133"/>
          </w:tcPr>
          <w:p>
            <w:pPr>
              <w:jc w:val="center"/>
            </w:pPr>
            <w:r/>
            <w:r>
              <w:rPr>
                <w:rFonts w:ascii="Times New Roman" w:hAnsi="Times New Roman" w:eastAsia="宋体"/>
                <w:b w:val="0"/>
                <w:sz w:val="21"/>
              </w:rPr>
              <w:t>−0.493</w:t>
            </w:r>
          </w:p>
        </w:tc>
        <w:tc>
          <w:tcPr>
            <w:tcW w:type="dxa" w:w="1133"/>
          </w:tcPr>
          <w:p>
            <w:pPr>
              <w:jc w:val="center"/>
            </w:pPr>
            <w:r/>
            <w:r>
              <w:rPr>
                <w:rFonts w:ascii="Times New Roman" w:hAnsi="Times New Roman" w:eastAsia="宋体"/>
                <w:b w:val="0"/>
                <w:sz w:val="21"/>
              </w:rPr>
              <w:t>0.242</w:t>
            </w:r>
          </w:p>
        </w:tc>
        <w:tc>
          <w:tcPr>
            <w:tcW w:type="dxa" w:w="1133"/>
          </w:tcPr>
          <w:p>
            <w:pPr>
              <w:jc w:val="center"/>
            </w:pPr>
            <w:r/>
            <w:r>
              <w:rPr>
                <w:rFonts w:ascii="Times New Roman" w:hAnsi="Times New Roman" w:eastAsia="宋体"/>
                <w:b w:val="0"/>
                <w:sz w:val="21"/>
              </w:rPr>
              <w:t>0.758</w:t>
            </w:r>
          </w:p>
        </w:tc>
        <w:tc>
          <w:tcPr>
            <w:tcW w:type="dxa" w:w="1133"/>
          </w:tcPr>
          <w:p>
            <w:pPr>
              <w:jc w:val="center"/>
            </w:pPr>
            <w:r/>
            <w:r>
              <w:rPr>
                <w:rFonts w:ascii="Times New Roman" w:hAnsi="Times New Roman" w:eastAsia="宋体"/>
                <w:b w:val="0"/>
                <w:sz w:val="21"/>
              </w:rPr>
              <w:t>1.000</w:t>
            </w:r>
          </w:p>
        </w:tc>
      </w:tr>
    </w:tbl>
    <w:p/>
    <w:p/>
    <w:p>
      <w:pPr>
        <w:spacing w:line="400" w:lineRule="exact" w:before="0" w:after="0"/>
        <w:ind w:firstLine="480"/>
      </w:pPr>
      <w:r>
        <w:rPr>
          <w:rFonts w:ascii="Times New Roman" w:hAnsi="Times New Roman" w:eastAsia="宋体"/>
          <w:b w:val="0"/>
          <w:sz w:val="24"/>
        </w:rPr>
        <w:t>数据来源：output/tables/potential_correlation_town.csv。镇街样本仅 7 个，Pearson 系数仅具提示意义，不做统计显著性检验。</w:t>
      </w:r>
    </w:p>
    <w:p/>
    <w:p>
      <w:pPr>
        <w:spacing w:line="400" w:lineRule="exact" w:before="0" w:after="0"/>
        <w:ind w:firstLine="480"/>
      </w:pPr>
      <w:r>
        <w:rPr>
          <w:rFonts w:ascii="Times New Roman" w:hAnsi="Times New Roman" w:eastAsia="宋体"/>
          <w:b w:val="0"/>
          <w:sz w:val="24"/>
        </w:rPr>
        <w:t>镇街级结果需要结合空间背景来解读：</w:t>
      </w:r>
    </w:p>
    <w:p/>
    <w:p>
      <w:pPr>
        <w:spacing w:line="400" w:lineRule="exact" w:before="0" w:after="0"/>
        <w:ind w:firstLine="480"/>
      </w:pPr>
      <w:r>
        <w:rPr>
          <w:rFonts w:ascii="Times New Roman" w:hAnsi="Times New Roman" w:eastAsia="宋体"/>
          <w:b w:val="0"/>
          <w:sz w:val="24"/>
        </w:rPr>
        <w:t>（1）Material_Count × POI_Total = −0.475，呈中等负相关。这一反直觉结果恰恰体现了"东旅西文"的空间错位格局——物质文化载体集中在西樵、九江、丹灶等西南部镇街，而 POI 供给主要在桂城、大沥、狮山的东北部都市圈。该负相关不是否定"物质遗产为主桥梁"的方法选择，而是从宏观上再次验证了错位的存在，是本研究的核心发现之一。</w:t>
      </w:r>
    </w:p>
    <w:p/>
    <w:p>
      <w:pPr>
        <w:spacing w:line="400" w:lineRule="exact" w:before="0" w:after="0"/>
        <w:ind w:firstLine="480"/>
      </w:pPr>
      <w:r>
        <w:rPr>
          <w:rFonts w:ascii="Times New Roman" w:hAnsi="Times New Roman" w:eastAsia="宋体"/>
          <w:b w:val="0"/>
          <w:sz w:val="24"/>
        </w:rPr>
        <w:t>（2）NH_Total × THI_mean = 0.660、NH_Total × MI_mean = 0.782，说明非遗多的镇街，THI 平均值较高，MI 也偏向正值。究其原因，是九江、西樵这类非遗集中镇街本身拥有一定的中型景区（如九江双蒸博物馆、西樵山），在载体级的 THI 评估中得到了放大。</w:t>
      </w:r>
    </w:p>
    <w:p/>
    <w:p>
      <w:pPr>
        <w:spacing w:line="400" w:lineRule="exact" w:before="0" w:after="0"/>
        <w:ind w:firstLine="480"/>
      </w:pPr>
      <w:r>
        <w:rPr>
          <w:rFonts w:ascii="Times New Roman" w:hAnsi="Times New Roman" w:eastAsia="宋体"/>
          <w:b w:val="0"/>
          <w:sz w:val="24"/>
        </w:rPr>
        <w:t>（3）OAI_mean × POI_Total = 0.693、OAI_mean × THI_mean = 0.702，说明官方认证等级高的镇街，POI 与旅游热度也较高，这一正相关支持把评级申报纳入规划建议。</w:t>
      </w:r>
    </w:p>
    <w:p/>
    <w:p>
      <w:pPr>
        <w:pStyle w:val="Heading3"/>
        <w:spacing w:line="400" w:lineRule="exact" w:before="240" w:after="80"/>
        <w:jc w:val="left"/>
      </w:pPr>
      <w:r>
        <w:rPr>
          <w:rFonts w:ascii="Times New Roman" w:hAnsi="Times New Roman" w:eastAsia="宋体"/>
          <w:b/>
          <w:sz w:val="26"/>
        </w:rPr>
        <w:t>6.3.3 政策可干预条件与不可直接干预条件</w:t>
      </w:r>
    </w:p>
    <w:p/>
    <w:p>
      <w:pPr>
        <w:spacing w:line="400" w:lineRule="exact" w:before="0" w:after="0"/>
        <w:ind w:firstLine="480"/>
      </w:pPr>
      <w:r>
        <w:rPr>
          <w:rFonts w:ascii="Times New Roman" w:hAnsi="Times New Roman" w:eastAsia="宋体"/>
          <w:b w:val="0"/>
          <w:sz w:val="24"/>
        </w:rPr>
        <w:t>根据上述相关分析，本文将显著变量划分为两类（表 6.6）：</w:t>
      </w:r>
    </w:p>
    <w:p/>
    <w:p>
      <w:pPr>
        <w:spacing w:line="400" w:lineRule="exact" w:before="0" w:after="0"/>
        <w:jc w:val="center"/>
      </w:pPr>
      <w:r>
        <w:rPr>
          <w:rFonts w:ascii="Times New Roman" w:hAnsi="Times New Roman" w:eastAsia="宋体"/>
          <w:b/>
          <w:sz w:val="24"/>
        </w:rPr>
        <w:t>表 6.6　政策可干预条件与不可直接干预条件的划分</w:t>
      </w:r>
    </w:p>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pPr>
              <w:jc w:val="center"/>
            </w:pPr>
            <w:r/>
            <w:r>
              <w:rPr>
                <w:rFonts w:ascii="Times New Roman" w:hAnsi="Times New Roman" w:eastAsia="宋体"/>
                <w:b/>
                <w:sz w:val="21"/>
              </w:rPr>
              <w:t>条件类型</w:t>
            </w:r>
          </w:p>
        </w:tc>
        <w:tc>
          <w:tcPr>
            <w:tcW w:type="dxa" w:w="2266"/>
          </w:tcPr>
          <w:p>
            <w:pPr>
              <w:jc w:val="center"/>
            </w:pPr>
            <w:r/>
            <w:r>
              <w:rPr>
                <w:rFonts w:ascii="Times New Roman" w:hAnsi="Times New Roman" w:eastAsia="宋体"/>
                <w:b/>
                <w:sz w:val="21"/>
              </w:rPr>
              <w:t>典型变量</w:t>
            </w:r>
          </w:p>
        </w:tc>
        <w:tc>
          <w:tcPr>
            <w:tcW w:type="dxa" w:w="2266"/>
          </w:tcPr>
          <w:p>
            <w:pPr>
              <w:jc w:val="center"/>
            </w:pPr>
            <w:r/>
            <w:r>
              <w:rPr>
                <w:rFonts w:ascii="Times New Roman" w:hAnsi="Times New Roman" w:eastAsia="宋体"/>
                <w:b/>
                <w:sz w:val="21"/>
              </w:rPr>
              <w:t>对 THI/MI 的作用方向</w:t>
            </w:r>
          </w:p>
        </w:tc>
        <w:tc>
          <w:tcPr>
            <w:tcW w:type="dxa" w:w="2266"/>
          </w:tcPr>
          <w:p>
            <w:pPr>
              <w:jc w:val="center"/>
            </w:pPr>
            <w:r/>
            <w:r>
              <w:rPr>
                <w:rFonts w:ascii="Times New Roman" w:hAnsi="Times New Roman" w:eastAsia="宋体"/>
                <w:b/>
                <w:sz w:val="21"/>
              </w:rPr>
              <w:t>建议着力方向</w:t>
            </w:r>
          </w:p>
        </w:tc>
      </w:tr>
      <w:tr>
        <w:tc>
          <w:tcPr>
            <w:tcW w:type="dxa" w:w="2266"/>
          </w:tcPr>
          <w:p>
            <w:pPr>
              <w:jc w:val="center"/>
            </w:pPr>
            <w:r/>
            <w:r>
              <w:rPr>
                <w:rFonts w:ascii="Times New Roman" w:hAnsi="Times New Roman" w:eastAsia="宋体"/>
                <w:b w:val="0"/>
                <w:sz w:val="21"/>
              </w:rPr>
              <w:t>政策可干预</w:t>
            </w:r>
          </w:p>
        </w:tc>
        <w:tc>
          <w:tcPr>
            <w:tcW w:type="dxa" w:w="2266"/>
          </w:tcPr>
          <w:p>
            <w:pPr>
              <w:jc w:val="center"/>
            </w:pPr>
            <w:r/>
            <w:r>
              <w:rPr>
                <w:rFonts w:ascii="Times New Roman" w:hAnsi="Times New Roman" w:eastAsia="宋体"/>
                <w:b w:val="0"/>
                <w:sz w:val="21"/>
              </w:rPr>
              <w:t>官方评级申报（OAI）</w:t>
            </w:r>
          </w:p>
        </w:tc>
        <w:tc>
          <w:tcPr>
            <w:tcW w:type="dxa" w:w="2266"/>
          </w:tcPr>
          <w:p>
            <w:pPr>
              <w:jc w:val="center"/>
            </w:pPr>
            <w:r/>
            <w:r>
              <w:rPr>
                <w:rFonts w:ascii="Times New Roman" w:hAnsi="Times New Roman" w:eastAsia="宋体"/>
                <w:b w:val="0"/>
                <w:sz w:val="21"/>
              </w:rPr>
              <w:t>OAI_mean ↑ → POI_Total ↑、THI_mean ↑</w:t>
            </w:r>
          </w:p>
        </w:tc>
        <w:tc>
          <w:tcPr>
            <w:tcW w:type="dxa" w:w="2266"/>
          </w:tcPr>
          <w:p>
            <w:pPr>
              <w:jc w:val="center"/>
            </w:pPr>
            <w:r/>
            <w:r>
              <w:rPr>
                <w:rFonts w:ascii="Times New Roman" w:hAnsi="Times New Roman" w:eastAsia="宋体"/>
                <w:b w:val="0"/>
                <w:sz w:val="21"/>
              </w:rPr>
              <w:t>协助符合条件的载体申报 A 级评级</w:t>
            </w:r>
          </w:p>
        </w:tc>
      </w:tr>
      <w:tr>
        <w:tc>
          <w:tcPr>
            <w:tcW w:type="dxa" w:w="2266"/>
          </w:tcPr>
          <w:p>
            <w:pPr>
              <w:jc w:val="center"/>
            </w:pPr>
            <w:r/>
            <w:r>
              <w:rPr>
                <w:rFonts w:ascii="Times New Roman" w:hAnsi="Times New Roman" w:eastAsia="宋体"/>
                <w:b w:val="0"/>
                <w:sz w:val="21"/>
              </w:rPr>
              <w:t>政策可干预</w:t>
            </w:r>
          </w:p>
        </w:tc>
        <w:tc>
          <w:tcPr>
            <w:tcW w:type="dxa" w:w="2266"/>
          </w:tcPr>
          <w:p>
            <w:pPr>
              <w:jc w:val="center"/>
            </w:pPr>
            <w:r/>
            <w:r>
              <w:rPr>
                <w:rFonts w:ascii="Times New Roman" w:hAnsi="Times New Roman" w:eastAsia="宋体"/>
                <w:b w:val="0"/>
                <w:sz w:val="21"/>
              </w:rPr>
              <w:t>景区解说系统</w:t>
            </w:r>
          </w:p>
        </w:tc>
        <w:tc>
          <w:tcPr>
            <w:tcW w:type="dxa" w:w="2266"/>
          </w:tcPr>
          <w:p>
            <w:pPr>
              <w:jc w:val="center"/>
            </w:pPr>
            <w:r/>
            <w:r>
              <w:rPr>
                <w:rFonts w:ascii="Times New Roman" w:hAnsi="Times New Roman" w:eastAsia="宋体"/>
                <w:b w:val="0"/>
                <w:sz w:val="21"/>
              </w:rPr>
              <w:t>通过 Rating ↑ 影响 THI</w:t>
            </w:r>
          </w:p>
        </w:tc>
        <w:tc>
          <w:tcPr>
            <w:tcW w:type="dxa" w:w="2266"/>
          </w:tcPr>
          <w:p>
            <w:pPr>
              <w:jc w:val="center"/>
            </w:pPr>
            <w:r/>
            <w:r>
              <w:rPr>
                <w:rFonts w:ascii="Times New Roman" w:hAnsi="Times New Roman" w:eastAsia="宋体"/>
                <w:b w:val="0"/>
                <w:sz w:val="21"/>
              </w:rPr>
              <w:t>嵌入本土文化叙事与互动体验</w:t>
            </w:r>
          </w:p>
        </w:tc>
      </w:tr>
      <w:tr>
        <w:tc>
          <w:tcPr>
            <w:tcW w:type="dxa" w:w="2266"/>
          </w:tcPr>
          <w:p>
            <w:pPr>
              <w:jc w:val="center"/>
            </w:pPr>
            <w:r/>
            <w:r>
              <w:rPr>
                <w:rFonts w:ascii="Times New Roman" w:hAnsi="Times New Roman" w:eastAsia="宋体"/>
                <w:b w:val="0"/>
                <w:sz w:val="21"/>
              </w:rPr>
              <w:t>政策可干预</w:t>
            </w:r>
          </w:p>
        </w:tc>
        <w:tc>
          <w:tcPr>
            <w:tcW w:type="dxa" w:w="2266"/>
          </w:tcPr>
          <w:p>
            <w:pPr>
              <w:jc w:val="center"/>
            </w:pPr>
            <w:r/>
            <w:r>
              <w:rPr>
                <w:rFonts w:ascii="Times New Roman" w:hAnsi="Times New Roman" w:eastAsia="宋体"/>
                <w:b w:val="0"/>
                <w:sz w:val="21"/>
              </w:rPr>
              <w:t>交通连通改善</w:t>
            </w:r>
          </w:p>
        </w:tc>
        <w:tc>
          <w:tcPr>
            <w:tcW w:type="dxa" w:w="2266"/>
          </w:tcPr>
          <w:p>
            <w:pPr>
              <w:jc w:val="center"/>
            </w:pPr>
            <w:r/>
            <w:r>
              <w:rPr>
                <w:rFonts w:ascii="Times New Roman" w:hAnsi="Times New Roman" w:eastAsia="宋体"/>
                <w:b w:val="0"/>
                <w:sz w:val="21"/>
              </w:rPr>
              <w:t>通过 POI_500m ↑ 影响 THI</w:t>
            </w:r>
          </w:p>
        </w:tc>
        <w:tc>
          <w:tcPr>
            <w:tcW w:type="dxa" w:w="2266"/>
          </w:tcPr>
          <w:p>
            <w:pPr>
              <w:jc w:val="center"/>
            </w:pPr>
            <w:r/>
            <w:r>
              <w:rPr>
                <w:rFonts w:ascii="Times New Roman" w:hAnsi="Times New Roman" w:eastAsia="宋体"/>
                <w:b w:val="0"/>
                <w:sz w:val="21"/>
              </w:rPr>
              <w:t>西南片区路网与公共交通接驳</w:t>
            </w:r>
          </w:p>
        </w:tc>
      </w:tr>
      <w:tr>
        <w:tc>
          <w:tcPr>
            <w:tcW w:type="dxa" w:w="2266"/>
          </w:tcPr>
          <w:p>
            <w:pPr>
              <w:jc w:val="center"/>
            </w:pPr>
            <w:r/>
            <w:r>
              <w:rPr>
                <w:rFonts w:ascii="Times New Roman" w:hAnsi="Times New Roman" w:eastAsia="宋体"/>
                <w:b w:val="0"/>
                <w:sz w:val="21"/>
              </w:rPr>
              <w:t>政策可干预</w:t>
            </w:r>
          </w:p>
        </w:tc>
        <w:tc>
          <w:tcPr>
            <w:tcW w:type="dxa" w:w="2266"/>
          </w:tcPr>
          <w:p>
            <w:pPr>
              <w:jc w:val="center"/>
            </w:pPr>
            <w:r/>
            <w:r>
              <w:rPr>
                <w:rFonts w:ascii="Times New Roman" w:hAnsi="Times New Roman" w:eastAsia="宋体"/>
                <w:b w:val="0"/>
                <w:sz w:val="21"/>
              </w:rPr>
              <w:t>活态传习所建设</w:t>
            </w:r>
          </w:p>
        </w:tc>
        <w:tc>
          <w:tcPr>
            <w:tcW w:type="dxa" w:w="2266"/>
          </w:tcPr>
          <w:p>
            <w:pPr>
              <w:jc w:val="center"/>
            </w:pPr>
            <w:r/>
            <w:r>
              <w:rPr>
                <w:rFonts w:ascii="Times New Roman" w:hAnsi="Times New Roman" w:eastAsia="宋体"/>
                <w:b w:val="0"/>
                <w:sz w:val="21"/>
              </w:rPr>
              <w:t>通过 Review ↑ 与 Rating ↑ 影响 THI</w:t>
            </w:r>
          </w:p>
        </w:tc>
        <w:tc>
          <w:tcPr>
            <w:tcW w:type="dxa" w:w="2266"/>
          </w:tcPr>
          <w:p>
            <w:pPr>
              <w:jc w:val="center"/>
            </w:pPr>
            <w:r/>
            <w:r>
              <w:rPr>
                <w:rFonts w:ascii="Times New Roman" w:hAnsi="Times New Roman" w:eastAsia="宋体"/>
                <w:b w:val="0"/>
                <w:sz w:val="21"/>
              </w:rPr>
              <w:t>沉睡潜力区载体优先布设</w:t>
            </w:r>
          </w:p>
        </w:tc>
      </w:tr>
      <w:tr>
        <w:tc>
          <w:tcPr>
            <w:tcW w:type="dxa" w:w="2266"/>
          </w:tcPr>
          <w:p>
            <w:pPr>
              <w:jc w:val="center"/>
            </w:pPr>
            <w:r/>
            <w:r>
              <w:rPr>
                <w:rFonts w:ascii="Times New Roman" w:hAnsi="Times New Roman" w:eastAsia="宋体"/>
                <w:b w:val="0"/>
                <w:sz w:val="21"/>
              </w:rPr>
              <w:t>不可直接干预</w:t>
            </w:r>
          </w:p>
        </w:tc>
        <w:tc>
          <w:tcPr>
            <w:tcW w:type="dxa" w:w="2266"/>
          </w:tcPr>
          <w:p>
            <w:pPr>
              <w:jc w:val="center"/>
            </w:pPr>
            <w:r/>
            <w:r>
              <w:rPr>
                <w:rFonts w:ascii="Times New Roman" w:hAnsi="Times New Roman" w:eastAsia="宋体"/>
                <w:b w:val="0"/>
                <w:sz w:val="21"/>
              </w:rPr>
              <w:t>文化记忆深度（CMI）</w:t>
            </w:r>
          </w:p>
        </w:tc>
        <w:tc>
          <w:tcPr>
            <w:tcW w:type="dxa" w:w="2266"/>
          </w:tcPr>
          <w:p>
            <w:pPr>
              <w:jc w:val="center"/>
            </w:pPr>
            <w:r/>
            <w:r>
              <w:rPr>
                <w:rFonts w:ascii="Times New Roman" w:hAnsi="Times New Roman" w:eastAsia="宋体"/>
                <w:b w:val="0"/>
                <w:sz w:val="21"/>
              </w:rPr>
              <w:t>相对稳定</w:t>
            </w:r>
          </w:p>
        </w:tc>
        <w:tc>
          <w:tcPr>
            <w:tcW w:type="dxa" w:w="2266"/>
          </w:tcPr>
          <w:p>
            <w:pPr>
              <w:jc w:val="center"/>
            </w:pPr>
            <w:r/>
            <w:r>
              <w:rPr>
                <w:rFonts w:ascii="Times New Roman" w:hAnsi="Times New Roman" w:eastAsia="宋体"/>
                <w:b w:val="0"/>
                <w:sz w:val="21"/>
              </w:rPr>
              <w:t>作为筛选依据而非干预对象</w:t>
            </w:r>
          </w:p>
        </w:tc>
      </w:tr>
      <w:tr>
        <w:tc>
          <w:tcPr>
            <w:tcW w:type="dxa" w:w="2266"/>
          </w:tcPr>
          <w:p>
            <w:pPr>
              <w:jc w:val="center"/>
            </w:pPr>
            <w:r/>
            <w:r>
              <w:rPr>
                <w:rFonts w:ascii="Times New Roman" w:hAnsi="Times New Roman" w:eastAsia="宋体"/>
                <w:b w:val="0"/>
                <w:sz w:val="21"/>
              </w:rPr>
              <w:t>不可直接干预</w:t>
            </w:r>
          </w:p>
        </w:tc>
        <w:tc>
          <w:tcPr>
            <w:tcW w:type="dxa" w:w="2266"/>
          </w:tcPr>
          <w:p>
            <w:pPr>
              <w:jc w:val="center"/>
            </w:pPr>
            <w:r/>
            <w:r>
              <w:rPr>
                <w:rFonts w:ascii="Times New Roman" w:hAnsi="Times New Roman" w:eastAsia="宋体"/>
                <w:b w:val="0"/>
                <w:sz w:val="21"/>
              </w:rPr>
              <w:t>人口密度</w:t>
            </w:r>
          </w:p>
        </w:tc>
        <w:tc>
          <w:tcPr>
            <w:tcW w:type="dxa" w:w="2266"/>
          </w:tcPr>
          <w:p>
            <w:pPr>
              <w:jc w:val="center"/>
            </w:pPr>
            <w:r/>
            <w:r>
              <w:rPr>
                <w:rFonts w:ascii="Times New Roman" w:hAnsi="Times New Roman" w:eastAsia="宋体"/>
                <w:b w:val="0"/>
                <w:sz w:val="21"/>
              </w:rPr>
              <w:t>与 POI_Total 高度共线</w:t>
            </w:r>
          </w:p>
        </w:tc>
        <w:tc>
          <w:tcPr>
            <w:tcW w:type="dxa" w:w="2266"/>
          </w:tcPr>
          <w:p>
            <w:pPr>
              <w:jc w:val="center"/>
            </w:pPr>
            <w:r/>
            <w:r>
              <w:rPr>
                <w:rFonts w:ascii="Times New Roman" w:hAnsi="Times New Roman" w:eastAsia="宋体"/>
                <w:b w:val="0"/>
                <w:sz w:val="21"/>
              </w:rPr>
              <w:t>纳入控制变量</w:t>
            </w:r>
          </w:p>
        </w:tc>
      </w:tr>
      <w:tr>
        <w:tc>
          <w:tcPr>
            <w:tcW w:type="dxa" w:w="2266"/>
          </w:tcPr>
          <w:p>
            <w:pPr>
              <w:jc w:val="center"/>
            </w:pPr>
            <w:r/>
            <w:r>
              <w:rPr>
                <w:rFonts w:ascii="Times New Roman" w:hAnsi="Times New Roman" w:eastAsia="宋体"/>
                <w:b w:val="0"/>
                <w:sz w:val="21"/>
              </w:rPr>
              <w:t>不可直接干预</w:t>
            </w:r>
          </w:p>
        </w:tc>
        <w:tc>
          <w:tcPr>
            <w:tcW w:type="dxa" w:w="2266"/>
          </w:tcPr>
          <w:p>
            <w:pPr>
              <w:jc w:val="center"/>
            </w:pPr>
            <w:r/>
            <w:r>
              <w:rPr>
                <w:rFonts w:ascii="Times New Roman" w:hAnsi="Times New Roman" w:eastAsia="宋体"/>
                <w:b w:val="0"/>
                <w:sz w:val="21"/>
              </w:rPr>
              <w:t>自然本底</w:t>
            </w:r>
          </w:p>
        </w:tc>
        <w:tc>
          <w:tcPr>
            <w:tcW w:type="dxa" w:w="2266"/>
          </w:tcPr>
          <w:p>
            <w:pPr>
              <w:jc w:val="center"/>
            </w:pPr>
            <w:r/>
            <w:r>
              <w:rPr>
                <w:rFonts w:ascii="Times New Roman" w:hAnsi="Times New Roman" w:eastAsia="宋体"/>
                <w:b w:val="0"/>
                <w:sz w:val="21"/>
              </w:rPr>
              <w:t>影响景区底子</w:t>
            </w:r>
          </w:p>
        </w:tc>
        <w:tc>
          <w:tcPr>
            <w:tcW w:type="dxa" w:w="2266"/>
          </w:tcPr>
          <w:p>
            <w:pPr>
              <w:jc w:val="center"/>
            </w:pPr>
            <w:r/>
            <w:r>
              <w:rPr>
                <w:rFonts w:ascii="Times New Roman" w:hAnsi="Times New Roman" w:eastAsia="宋体"/>
                <w:b w:val="0"/>
                <w:sz w:val="21"/>
              </w:rPr>
              <w:t>作为片区差异化设计依据</w:t>
            </w:r>
          </w:p>
        </w:tc>
      </w:tr>
    </w:tbl>
    <w:p/>
    <w:p/>
    <w:p>
      <w:pPr>
        <w:spacing w:line="400" w:lineRule="exact" w:before="0" w:after="0"/>
        <w:ind w:firstLine="480"/>
      </w:pPr>
      <w:r>
        <w:rPr>
          <w:rFonts w:ascii="Times New Roman" w:hAnsi="Times New Roman" w:eastAsia="宋体"/>
          <w:b w:val="0"/>
          <w:sz w:val="24"/>
        </w:rPr>
        <w:t>这一划分直接支撑第 7 章的梯队化建议：对沉睡潜力区的载体，重点配置可干预条件以撬动其转化；对空心景点区，通过文化内容注入提升 Rating 与 Review 的正向贡献。</w:t>
      </w:r>
    </w:p>
    <w:p/>
    <w:p>
      <w:pPr>
        <w:pStyle w:val="Heading2"/>
        <w:spacing w:line="400" w:lineRule="exact" w:before="240" w:after="80"/>
        <w:jc w:val="left"/>
      </w:pPr>
      <w:r>
        <w:rPr>
          <w:rFonts w:ascii="Times New Roman" w:hAnsi="Times New Roman" w:eastAsia="宋体"/>
          <w:b/>
          <w:sz w:val="28"/>
        </w:rPr>
        <w:t>6.4 九江片区的专题讨论</w:t>
      </w:r>
    </w:p>
    <w:p/>
    <w:p>
      <w:pPr>
        <w:pStyle w:val="Heading3"/>
        <w:spacing w:line="400" w:lineRule="exact" w:before="240" w:after="80"/>
        <w:jc w:val="left"/>
      </w:pPr>
      <w:r>
        <w:rPr>
          <w:rFonts w:ascii="Times New Roman" w:hAnsi="Times New Roman" w:eastAsia="宋体"/>
          <w:b/>
          <w:sz w:val="26"/>
        </w:rPr>
        <w:t>6.4.1 反差概况</w:t>
      </w:r>
    </w:p>
    <w:p/>
    <w:p>
      <w:pPr>
        <w:spacing w:line="400" w:lineRule="exact" w:before="0" w:after="0"/>
        <w:ind w:firstLine="480"/>
      </w:pPr>
      <w:r>
        <w:rPr>
          <w:rFonts w:ascii="Times New Roman" w:hAnsi="Times New Roman" w:eastAsia="宋体"/>
          <w:b w:val="0"/>
          <w:sz w:val="24"/>
        </w:rPr>
        <w:t>九江镇非遗数量 13 项位居全区前列，拥有中国历史文化名镇（烟桥古村）、广东省历史文化名村及多处市级文物保护单位；但镇内 POI 仅 259 条（占全区 1.92%）、评论总量 64 条（聚合景点 30 个）。从表面看这是典型的"文化富集 — 旅游落后"片区。</w:t>
      </w:r>
    </w:p>
    <w:p/>
    <w:p>
      <w:pPr>
        <w:spacing w:line="400" w:lineRule="exact" w:before="0" w:after="0"/>
        <w:jc w:val="center"/>
      </w:pPr>
      <w:r>
        <w:rPr>
          <w:rFonts w:ascii="Times New Roman" w:hAnsi="Times New Roman" w:eastAsia="宋体"/>
          <w:b/>
          <w:sz w:val="24"/>
        </w:rPr>
        <w:t>图 6.5　九江片区错位专题图</w:t>
      </w:r>
    </w:p>
    <w:p/>
    <w:p>
      <w:pPr>
        <w:jc w:val="center"/>
      </w:pPr>
      <w:r>
        <w:drawing>
          <wp:inline xmlns:a="http://schemas.openxmlformats.org/drawingml/2006/main" xmlns:pic="http://schemas.openxmlformats.org/drawingml/2006/picture">
            <wp:extent cx="5669280" cy="5187118"/>
            <wp:docPr id="11" name="Picture 11"/>
            <wp:cNvGraphicFramePr>
              <a:graphicFrameLocks noChangeAspect="1"/>
            </wp:cNvGraphicFramePr>
            <a:graphic>
              <a:graphicData uri="http://schemas.openxmlformats.org/drawingml/2006/picture">
                <pic:pic>
                  <pic:nvPicPr>
                    <pic:cNvPr id="0" name="fig5_jiujiang_zoom.png"/>
                    <pic:cNvPicPr/>
                  </pic:nvPicPr>
                  <pic:blipFill>
                    <a:blip r:embed="rId19"/>
                    <a:stretch>
                      <a:fillRect/>
                    </a:stretch>
                  </pic:blipFill>
                  <pic:spPr>
                    <a:xfrm>
                      <a:off x="0" y="0"/>
                      <a:ext cx="5669280" cy="5187118"/>
                    </a:xfrm>
                    <a:prstGeom prst="rect"/>
                  </pic:spPr>
                </pic:pic>
              </a:graphicData>
            </a:graphic>
          </wp:inline>
        </w:drawing>
      </w:r>
    </w:p>
    <w:p/>
    <w:p>
      <w:pPr>
        <w:pStyle w:val="Heading3"/>
        <w:spacing w:line="400" w:lineRule="exact" w:before="240" w:after="80"/>
        <w:jc w:val="left"/>
      </w:pPr>
      <w:r>
        <w:rPr>
          <w:rFonts w:ascii="Times New Roman" w:hAnsi="Times New Roman" w:eastAsia="宋体"/>
          <w:b/>
          <w:sz w:val="26"/>
        </w:rPr>
        <w:t>6.4.2 反差的两重来源</w:t>
      </w:r>
    </w:p>
    <w:p/>
    <w:p>
      <w:pPr>
        <w:spacing w:line="400" w:lineRule="exact" w:before="0" w:after="0"/>
        <w:ind w:firstLine="480"/>
      </w:pPr>
      <w:r>
        <w:rPr>
          <w:rFonts w:ascii="Times New Roman" w:hAnsi="Times New Roman" w:eastAsia="宋体"/>
          <w:b w:val="0"/>
          <w:sz w:val="24"/>
        </w:rPr>
        <w:t>九江反差由两重因素叠加构成：</w:t>
      </w:r>
    </w:p>
    <w:p/>
    <w:p>
      <w:pPr>
        <w:spacing w:line="400" w:lineRule="exact" w:before="0" w:after="0"/>
        <w:ind w:firstLine="480"/>
      </w:pPr>
      <w:r>
        <w:rPr>
          <w:rFonts w:ascii="Times New Roman" w:hAnsi="Times New Roman" w:eastAsia="宋体"/>
          <w:b w:val="0"/>
          <w:sz w:val="24"/>
        </w:rPr>
        <w:t>其一，实质性方面：九江镇对外交通相对不便，景区化程度低，文化资源确实未被有效转化为可售卖的旅游产品。在本研究的载体级指数中，烟桥烟南村 MI = −79.70、吴家大院 MI 显著为负，支撑"实质性旅游洼地"的判断。</w:t>
      </w:r>
    </w:p>
    <w:p/>
    <w:p>
      <w:pPr>
        <w:spacing w:line="400" w:lineRule="exact" w:before="0" w:after="0"/>
        <w:ind w:firstLine="480"/>
      </w:pPr>
      <w:r>
        <w:rPr>
          <w:rFonts w:ascii="Times New Roman" w:hAnsi="Times New Roman" w:eastAsia="宋体"/>
          <w:b w:val="0"/>
          <w:sz w:val="24"/>
        </w:rPr>
        <w:t>其二，数据口径方面：本研究 POI 体系未收录餐饮门店类 POI（系 POI 采集时的分类过滤所致），而九江的核心文化符号中很大一部分为美食非遗——九江双蒸酒、煎堆技艺、鱼花文化、龙舟宴——在当前数据口径下呈现不足。评论数据方面，采集平台为携程、高德、去哪儿、马蜂窝四家，侧重景区旅游类评论，缺少大众点评、美团等餐饮类评价数据；百度地图的评论亦未纳入。这些限制在九江等餐饮主导片区产生了系统性低估。</w:t>
      </w:r>
    </w:p>
    <w:p/>
    <w:p>
      <w:pPr>
        <w:pStyle w:val="Heading3"/>
        <w:spacing w:line="400" w:lineRule="exact" w:before="240" w:after="80"/>
        <w:jc w:val="left"/>
      </w:pPr>
      <w:r>
        <w:rPr>
          <w:rFonts w:ascii="Times New Roman" w:hAnsi="Times New Roman" w:eastAsia="宋体"/>
          <w:b/>
          <w:sz w:val="26"/>
        </w:rPr>
        <w:t>6.4.3 对规划与研究的启示</w:t>
      </w:r>
    </w:p>
    <w:p/>
    <w:p>
      <w:pPr>
        <w:spacing w:line="400" w:lineRule="exact" w:before="0" w:after="0"/>
        <w:ind w:firstLine="480"/>
      </w:pPr>
      <w:r>
        <w:rPr>
          <w:rFonts w:ascii="Times New Roman" w:hAnsi="Times New Roman" w:eastAsia="宋体"/>
          <w:b w:val="0"/>
          <w:sz w:val="24"/>
        </w:rPr>
        <w:t>基于上述分析，本文不将九江简单标记为"旅游洼地"，而是将其作为"数据口径与实质性现状叠加的复合案例"：实质部分纳入第 7 章的潜力释放建议，数据口径部分纳入第 7 章的研究不足，并作为未来扩展数据源（大众点评、美团、夜间热力）的优先对象。</w:t>
      </w:r>
    </w:p>
    <w:p/>
    <w:p>
      <w:r>
        <w:br w:type="page"/>
      </w:r>
    </w:p>
    <w:p/>
    <w:p>
      <w:pPr>
        <w:pStyle w:val="Heading1"/>
        <w:spacing w:line="400" w:lineRule="exact" w:before="360" w:after="160"/>
        <w:jc w:val="center"/>
      </w:pPr>
      <w:r>
        <w:rPr>
          <w:rFonts w:ascii="Times New Roman" w:hAnsi="Times New Roman" w:eastAsia="宋体"/>
          <w:b/>
          <w:sz w:val="32"/>
        </w:rPr>
        <w:t>第 7 章　结论与建议</w:t>
      </w:r>
    </w:p>
    <w:p/>
    <w:p>
      <w:pPr>
        <w:pStyle w:val="Heading2"/>
        <w:spacing w:line="400" w:lineRule="exact" w:before="240" w:after="80"/>
        <w:jc w:val="left"/>
      </w:pPr>
      <w:r>
        <w:rPr>
          <w:rFonts w:ascii="Times New Roman" w:hAnsi="Times New Roman" w:eastAsia="宋体"/>
          <w:b/>
          <w:sz w:val="28"/>
        </w:rPr>
        <w:t>7.1 主要研究结论</w:t>
      </w:r>
    </w:p>
    <w:p/>
    <w:p>
      <w:pPr>
        <w:spacing w:line="400" w:lineRule="exact" w:before="0" w:after="0"/>
        <w:ind w:firstLine="480"/>
      </w:pPr>
      <w:r>
        <w:rPr>
          <w:rFonts w:ascii="Times New Roman" w:hAnsi="Times New Roman" w:eastAsia="宋体"/>
          <w:b w:val="0"/>
          <w:sz w:val="24"/>
        </w:rPr>
        <w:t>本研究以佛山市南海区为对象，构建了"文化—旅游"双谱系对照框架，并通过文化记忆指数（CMI）、官方认证指数（OAI）、旅游热度指数（THI）与文化—旅游错位指数（MI）对 165 条物质文化载体进行了量化分析。主要结论如下：</w:t>
      </w:r>
    </w:p>
    <w:p/>
    <w:p>
      <w:pPr>
        <w:spacing w:line="400" w:lineRule="exact" w:before="0" w:after="0"/>
        <w:jc w:val="center"/>
      </w:pPr>
      <w:r>
        <w:rPr>
          <w:rFonts w:ascii="Times New Roman" w:hAnsi="Times New Roman" w:eastAsia="宋体"/>
          <w:b/>
          <w:sz w:val="24"/>
        </w:rPr>
        <w:t>结论一：文化—旅游错位在南海区普遍存在，且呈"层级—片区"双重结构。</w:t>
      </w:r>
    </w:p>
    <w:p/>
    <w:p>
      <w:pPr>
        <w:spacing w:line="400" w:lineRule="exact" w:before="0" w:after="0"/>
        <w:ind w:firstLine="480"/>
      </w:pPr>
      <w:r>
        <w:rPr>
          <w:rFonts w:ascii="Times New Roman" w:hAnsi="Times New Roman" w:eastAsia="宋体"/>
          <w:b w:val="0"/>
          <w:sz w:val="24"/>
        </w:rPr>
        <w:t>165 条载体的分层显示，"沉睡潜力区"47 条（28.5%）、"空心景点区"53 条（32.1%）、"一般耦合区"55 条（33.3%）、"核心耦合区"仅 10 条（6.1%）。进一步下沉到 4,662 个 500 m 网格后，1 跳知识图谱口径识别出 170 个沉睡潜力网格、34 个空心景点网格和 8 个核心耦合网格。市级非遗与区级文物集中出现 MI 负偏，桂城等现代都市片区在现代公园类载体上集中出现 MI 正偏。</w:t>
      </w:r>
    </w:p>
    <w:p/>
    <w:p>
      <w:pPr>
        <w:spacing w:line="400" w:lineRule="exact" w:before="0" w:after="0"/>
        <w:jc w:val="center"/>
      </w:pPr>
      <w:r>
        <w:rPr>
          <w:rFonts w:ascii="Times New Roman" w:hAnsi="Times New Roman" w:eastAsia="宋体"/>
          <w:b/>
          <w:sz w:val="24"/>
        </w:rPr>
        <w:t>结论二：文化与旅游在量化层面的错位有稳定的统计支撑。</w:t>
      </w:r>
    </w:p>
    <w:p/>
    <w:p>
      <w:pPr>
        <w:spacing w:line="400" w:lineRule="exact" w:before="0" w:after="0"/>
        <w:ind w:firstLine="480"/>
      </w:pPr>
      <w:r>
        <w:rPr>
          <w:rFonts w:ascii="Times New Roman" w:hAnsi="Times New Roman" w:eastAsia="宋体"/>
          <w:b w:val="0"/>
          <w:sz w:val="24"/>
        </w:rPr>
        <w:t>载体级相关矩阵（n = 165）显示，CMI 与 MI 呈中等负相关（r = −0.495），OAI 与 MI 呈中等负相关（r = −0.440），POI_500m 与 CMI、OAI 的相关性几乎为零（−0.031、0.069）。这一组系数量化支撑了"文化高、旅游低"与"旅游高、文化低"并存的错位假设。</w:t>
      </w:r>
    </w:p>
    <w:p/>
    <w:p>
      <w:pPr>
        <w:spacing w:line="400" w:lineRule="exact" w:before="0" w:after="0"/>
        <w:jc w:val="center"/>
      </w:pPr>
      <w:r>
        <w:rPr>
          <w:rFonts w:ascii="Times New Roman" w:hAnsi="Times New Roman" w:eastAsia="宋体"/>
          <w:b/>
          <w:sz w:val="24"/>
        </w:rPr>
        <w:t>结论三：物质遗产与非遗的桥梁作用在不同尺度上表现不同。</w:t>
      </w:r>
    </w:p>
    <w:p/>
    <w:p>
      <w:pPr>
        <w:spacing w:line="400" w:lineRule="exact" w:before="0" w:after="0"/>
        <w:ind w:firstLine="480"/>
      </w:pPr>
      <w:r>
        <w:rPr>
          <w:rFonts w:ascii="Times New Roman" w:hAnsi="Times New Roman" w:eastAsia="宋体"/>
          <w:b w:val="0"/>
          <w:sz w:val="24"/>
        </w:rPr>
        <w:t>在载体级精细分析中，物质遗产由于具备明确空间坐标与官方认证等级，适合作为主操作化桥梁；在镇街级（n = 7）宏观观察中，Material_Count 与 POI_Total 的 Pearson 相关系数为 −0.475，这一负相关不是否定主桥梁设计，而是进一步体现了"东旅西文"的空间错位格局。非遗作为动态补充层在镇街级 THI_mean 上呈现较高正相关（r = 0.660），支持其以"注入式"方式参与规划建议。知识图谱 0 跳到 1 跳的扩展使沉睡潜力网格由 99 个增至 170 个，说明图谱关系能够把隐藏在人物、事件、文献和技艺中的文化网络显化出来，是识别潜力空间的重要补充。</w:t>
      </w:r>
    </w:p>
    <w:p/>
    <w:p>
      <w:pPr>
        <w:spacing w:line="400" w:lineRule="exact" w:before="0" w:after="0"/>
        <w:jc w:val="center"/>
      </w:pPr>
      <w:r>
        <w:rPr>
          <w:rFonts w:ascii="Times New Roman" w:hAnsi="Times New Roman" w:eastAsia="宋体"/>
          <w:b/>
          <w:sz w:val="24"/>
        </w:rPr>
        <w:t>结论四：景区评级制度在品牌吸引力维度具有可观察的带动效应。</w:t>
      </w:r>
    </w:p>
    <w:p/>
    <w:p>
      <w:pPr>
        <w:spacing w:line="400" w:lineRule="exact" w:before="0" w:after="0"/>
        <w:ind w:firstLine="480"/>
      </w:pPr>
      <w:r>
        <w:rPr>
          <w:rFonts w:ascii="Times New Roman" w:hAnsi="Times New Roman" w:eastAsia="宋体"/>
          <w:b w:val="0"/>
          <w:sz w:val="24"/>
        </w:rPr>
        <w:t>A 级景区样本（n = 16）显示，评级分数与评论量的 Pearson 相关系数为 0.546，与平台评分的 Spearman 相关系数为 0.522，与情感正向率的相关性较弱。这一结果支持把景区评级申报纳入规划建议中的可操作抓手；同时提示，评级制度主要带动评论关注度与评分，情感正向率的提升仍需要体验内容升级。</w:t>
      </w:r>
    </w:p>
    <w:p/>
    <w:p>
      <w:pPr>
        <w:spacing w:line="400" w:lineRule="exact" w:before="0" w:after="0"/>
        <w:jc w:val="center"/>
      </w:pPr>
      <w:r>
        <w:rPr>
          <w:rFonts w:ascii="Times New Roman" w:hAnsi="Times New Roman" w:eastAsia="宋体"/>
          <w:b/>
          <w:sz w:val="24"/>
        </w:rPr>
        <w:t>结论五：九江镇的"文化富集—旅游落后"具有实质与数据口径双重来源。</w:t>
      </w:r>
    </w:p>
    <w:p/>
    <w:p>
      <w:pPr>
        <w:spacing w:line="400" w:lineRule="exact" w:before="0" w:after="0"/>
        <w:ind w:firstLine="480"/>
      </w:pPr>
      <w:r>
        <w:rPr>
          <w:rFonts w:ascii="Times New Roman" w:hAnsi="Times New Roman" w:eastAsia="宋体"/>
          <w:b w:val="0"/>
          <w:sz w:val="24"/>
        </w:rPr>
        <w:t>九江镇拥有 13 项非遗与多处历史文化名村，但 POI 仅 259 条、评论 64 条。该反差部分源自实质性交通与景区化不足，部分源自本研究未收录餐饮门店与餐饮评价平台数据。需在结论层面对此做明确区分，不宜以数据口径下的低估直接作为规划依据。</w:t>
      </w:r>
    </w:p>
    <w:p/>
    <w:p>
      <w:pPr>
        <w:spacing w:line="400" w:lineRule="exact" w:before="0" w:after="0"/>
        <w:jc w:val="center"/>
      </w:pPr>
      <w:r>
        <w:rPr>
          <w:rFonts w:ascii="Times New Roman" w:hAnsi="Times New Roman" w:eastAsia="宋体"/>
          <w:b/>
          <w:sz w:val="24"/>
        </w:rPr>
        <w:t>结论六：西樵—九江—丹灶是潜力释放主廊道，东北都市圈更需要文化内容注入。</w:t>
      </w:r>
    </w:p>
    <w:p/>
    <w:p>
      <w:pPr>
        <w:spacing w:line="400" w:lineRule="exact" w:before="0" w:after="0"/>
        <w:ind w:firstLine="480"/>
      </w:pPr>
      <w:r>
        <w:rPr>
          <w:rFonts w:ascii="Times New Roman" w:hAnsi="Times New Roman" w:eastAsia="宋体"/>
          <w:b w:val="0"/>
          <w:sz w:val="24"/>
        </w:rPr>
        <w:t>1 跳知识图谱口径下，西樵、九江、丹灶三镇合计 147 个沉睡潜力网格，占全区 1 跳沉睡潜力网格的 86.5%，说明西南廊道具备集中释放文化潜力的空间基础；桂城、大沥等东北部镇街则表现为高旅游热度与低文化连通并存，更适合通过非遗快闪、文化市集、解说系统和主题活动进行内容补强。</w:t>
      </w:r>
    </w:p>
    <w:p/>
    <w:p>
      <w:pPr>
        <w:pStyle w:val="Heading2"/>
        <w:spacing w:line="400" w:lineRule="exact" w:before="240" w:after="80"/>
        <w:jc w:val="left"/>
      </w:pPr>
      <w:r>
        <w:rPr>
          <w:rFonts w:ascii="Times New Roman" w:hAnsi="Times New Roman" w:eastAsia="宋体"/>
          <w:b/>
          <w:sz w:val="28"/>
        </w:rPr>
        <w:t>7.2 文旅融合潜力释放与提升建议</w:t>
      </w:r>
    </w:p>
    <w:p/>
    <w:p>
      <w:pPr>
        <w:spacing w:line="400" w:lineRule="exact" w:before="0" w:after="0"/>
        <w:ind w:firstLine="480"/>
      </w:pPr>
      <w:r>
        <w:rPr>
          <w:rFonts w:ascii="Times New Roman" w:hAnsi="Times New Roman" w:eastAsia="宋体"/>
          <w:b w:val="0"/>
          <w:sz w:val="24"/>
        </w:rPr>
        <w:t>从风景园林专业的空间营造与活动策划视角，本文提出分层级、分片区的建议。</w:t>
      </w:r>
    </w:p>
    <w:p/>
    <w:p>
      <w:pPr>
        <w:pStyle w:val="Heading3"/>
        <w:spacing w:line="400" w:lineRule="exact" w:before="240" w:after="80"/>
        <w:jc w:val="left"/>
      </w:pPr>
      <w:r>
        <w:rPr>
          <w:rFonts w:ascii="Times New Roman" w:hAnsi="Times New Roman" w:eastAsia="宋体"/>
          <w:b/>
          <w:sz w:val="26"/>
        </w:rPr>
        <w:t>7.2.1 层级层面：面向市级非遗与区级文物的优先梯队</w:t>
      </w:r>
    </w:p>
    <w:p/>
    <w:p>
      <w:pPr>
        <w:spacing w:line="400" w:lineRule="exact" w:before="0" w:after="0"/>
        <w:ind w:firstLine="480"/>
      </w:pPr>
      <w:r>
        <w:rPr>
          <w:rFonts w:ascii="Times New Roman" w:hAnsi="Times New Roman" w:eastAsia="宋体"/>
          <w:b w:val="0"/>
          <w:sz w:val="24"/>
        </w:rPr>
        <w:t>将市级非遗与区级文物纳入优先干预梯队，配合景区评级申报、解说系统建设、活态传习所建设与交通连通改善等政策可干预条件，推动其从"沉睡潜力区"向"核心耦合区"迁移。具体包括：</w:t>
      </w:r>
    </w:p>
    <w:p/>
    <w:p>
      <w:pPr>
        <w:pStyle w:val="ListBullet"/>
        <w:spacing w:line="400" w:lineRule="exact" w:before="0" w:after="0"/>
      </w:pPr>
      <w:r>
        <w:rPr>
          <w:rFonts w:ascii="Times New Roman" w:hAnsi="Times New Roman" w:eastAsia="宋体"/>
          <w:sz w:val="24"/>
        </w:rPr>
        <w:t>对具备空间载体但尚未申报评级的载体（如烟桥古村、松塘村、仙岗村），协助其完成 3A / 4A 申报，借评级制度释放短期评论量与品牌关注度；</w:t>
      </w:r>
    </w:p>
    <w:p>
      <w:pPr>
        <w:pStyle w:val="ListBullet"/>
        <w:spacing w:line="400" w:lineRule="exact" w:before="0" w:after="0"/>
      </w:pPr>
      <w:r>
        <w:rPr>
          <w:rFonts w:ascii="Times New Roman" w:hAnsi="Times New Roman" w:eastAsia="宋体"/>
          <w:sz w:val="24"/>
        </w:rPr>
        <w:t>对已有评级但评分中等的载体（如千灯湖），嵌入本土文化叙事与周末市集，借体验内容升级提升正向率与回访率。</w:t>
      </w:r>
    </w:p>
    <w:p/>
    <w:p>
      <w:pPr>
        <w:pStyle w:val="Heading3"/>
        <w:spacing w:line="400" w:lineRule="exact" w:before="240" w:after="80"/>
        <w:jc w:val="left"/>
      </w:pPr>
      <w:r>
        <w:rPr>
          <w:rFonts w:ascii="Times New Roman" w:hAnsi="Times New Roman" w:eastAsia="宋体"/>
          <w:b/>
          <w:sz w:val="26"/>
        </w:rPr>
        <w:t>7.2.2 片区层面：西南廊道与东北都市圈的差异化策略</w:t>
      </w:r>
    </w:p>
    <w:p/>
    <w:p>
      <w:pPr>
        <w:spacing w:line="400" w:lineRule="exact" w:before="0" w:after="0"/>
        <w:ind w:firstLine="480"/>
      </w:pPr>
      <w:r>
        <w:rPr>
          <w:rFonts w:ascii="Times New Roman" w:hAnsi="Times New Roman" w:eastAsia="宋体"/>
          <w:b w:val="0"/>
          <w:sz w:val="24"/>
        </w:rPr>
        <w:t>西南廊道（西樵—松塘—仙岗—烟桥—丹灶）：整合古村落与文物载体，规划"南海理学—龙舟—美食"主题线路；在烟桥、松塘等 MI 最负的载体周边优先布设微型展馆与活态传习所，把文化记忆向旅游产品侧输送。</w:t>
      </w:r>
    </w:p>
    <w:p/>
    <w:p>
      <w:pPr>
        <w:spacing w:line="400" w:lineRule="exact" w:before="0" w:after="0"/>
        <w:ind w:firstLine="480"/>
      </w:pPr>
      <w:r>
        <w:rPr>
          <w:rFonts w:ascii="Times New Roman" w:hAnsi="Times New Roman" w:eastAsia="宋体"/>
          <w:b w:val="0"/>
          <w:sz w:val="24"/>
        </w:rPr>
        <w:t>九江镇片区：推进"美食非遗集群 + 龙舟研学"一体化规划，以九江双蒸博物馆、翰林湖农业公园、吴家大院为空间骨架，嵌入双蒸酒、煎堆、鱼花、龙舟宴等美食非遗体验；对 1 跳口径识别出的 23 个沉睡潜力网格优先做文化故事卡、游览节点和餐饮体验挂接；同步推进大众点评、美团等数据源的采集接入，让九江的真实热度可被持续追踪。</w:t>
      </w:r>
    </w:p>
    <w:p/>
    <w:p>
      <w:pPr>
        <w:spacing w:line="400" w:lineRule="exact" w:before="0" w:after="0"/>
        <w:ind w:firstLine="480"/>
      </w:pPr>
      <w:r>
        <w:rPr>
          <w:rFonts w:ascii="Times New Roman" w:hAnsi="Times New Roman" w:eastAsia="宋体"/>
          <w:b w:val="0"/>
          <w:sz w:val="24"/>
        </w:rPr>
        <w:t>东北都市圈（桂城—大沥—狮山—里水）：以千灯湖、映月湖等现代公园为载体，做文化叙事植入与周末市集策划，为"空心景点区"补齐文化侧内容；在商业区的"休闲娱乐"类 POI 周边尝试非遗快闪活动，把文化元素融入日常休闲空间。</w:t>
      </w:r>
    </w:p>
    <w:p/>
    <w:p>
      <w:pPr>
        <w:pStyle w:val="Heading3"/>
        <w:spacing w:line="400" w:lineRule="exact" w:before="240" w:after="80"/>
        <w:jc w:val="left"/>
      </w:pPr>
      <w:r>
        <w:rPr>
          <w:rFonts w:ascii="Times New Roman" w:hAnsi="Times New Roman" w:eastAsia="宋体"/>
          <w:b/>
          <w:sz w:val="26"/>
        </w:rPr>
        <w:t>7.2.3 指标层面：将错位指数纳入规划监测</w:t>
      </w:r>
    </w:p>
    <w:p/>
    <w:p>
      <w:pPr>
        <w:spacing w:line="400" w:lineRule="exact" w:before="0" w:after="0"/>
        <w:ind w:firstLine="480"/>
      </w:pPr>
      <w:r>
        <w:rPr>
          <w:rFonts w:ascii="Times New Roman" w:hAnsi="Times New Roman" w:eastAsia="宋体"/>
          <w:b w:val="0"/>
          <w:sz w:val="24"/>
        </w:rPr>
        <w:t>建议将本研究产出的 MI 指数与错位分层作为南海区文旅融合潜力的监测指标，定期（例如每两年）按同一流程重算并发布。监测时应同时保留载体级指数和 500 m 网格级 0/1 跳图谱口径：载体级用于项目清单排序，网格级用于识别可串联的片区和游线节点，二者结合可以观察潜力释放条件干预的实际效果，并反哺规划迭代。</w:t>
      </w:r>
    </w:p>
    <w:p/>
    <w:p>
      <w:pPr>
        <w:pStyle w:val="Heading2"/>
        <w:spacing w:line="400" w:lineRule="exact" w:before="240" w:after="80"/>
        <w:jc w:val="left"/>
      </w:pPr>
      <w:r>
        <w:rPr>
          <w:rFonts w:ascii="Times New Roman" w:hAnsi="Times New Roman" w:eastAsia="宋体"/>
          <w:b/>
          <w:sz w:val="28"/>
        </w:rPr>
        <w:t>7.3 研究不足与展望</w:t>
      </w:r>
    </w:p>
    <w:p/>
    <w:p>
      <w:pPr>
        <w:pStyle w:val="Heading3"/>
        <w:spacing w:line="400" w:lineRule="exact" w:before="240" w:after="80"/>
        <w:jc w:val="left"/>
      </w:pPr>
      <w:r>
        <w:rPr>
          <w:rFonts w:ascii="Times New Roman" w:hAnsi="Times New Roman" w:eastAsia="宋体"/>
          <w:b/>
          <w:sz w:val="26"/>
        </w:rPr>
        <w:t>7.3.1 数据层面</w:t>
      </w:r>
    </w:p>
    <w:p/>
    <w:p>
      <w:pPr>
        <w:pStyle w:val="ListBullet"/>
        <w:spacing w:line="400" w:lineRule="exact" w:before="0" w:after="0"/>
      </w:pPr>
      <w:r>
        <w:rPr>
          <w:rFonts w:ascii="Times New Roman" w:hAnsi="Times New Roman" w:eastAsia="宋体"/>
          <w:sz w:val="24"/>
        </w:rPr>
        <w:t>典籍 OCR 存在识别误差，部分古地名、人物与官职仍需人工订正；</w:t>
      </w:r>
    </w:p>
    <w:p>
      <w:pPr>
        <w:pStyle w:val="ListBullet"/>
        <w:spacing w:line="400" w:lineRule="exact" w:before="0" w:after="0"/>
      </w:pPr>
      <w:r>
        <w:rPr>
          <w:rFonts w:ascii="Times New Roman" w:hAnsi="Times New Roman" w:eastAsia="宋体"/>
          <w:sz w:val="24"/>
        </w:rPr>
        <w:t>评论数据为单一时点截面，且不含大众点评、美团等餐饮平台与百度地图的评论，对九江等以美食为主导的片区存在系统性低估；</w:t>
      </w:r>
    </w:p>
    <w:p>
      <w:pPr>
        <w:pStyle w:val="ListBullet"/>
        <w:spacing w:line="400" w:lineRule="exact" w:before="0" w:after="0"/>
      </w:pPr>
      <w:r>
        <w:rPr>
          <w:rFonts w:ascii="Times New Roman" w:hAnsi="Times New Roman" w:eastAsia="宋体"/>
          <w:sz w:val="24"/>
        </w:rPr>
        <w:t>非遗名录中仅依赖传承人登记地的 55 项空间定位较弱，未能完整参与主桥梁匹配；</w:t>
      </w:r>
    </w:p>
    <w:p>
      <w:pPr>
        <w:pStyle w:val="ListBullet"/>
        <w:spacing w:line="400" w:lineRule="exact" w:before="0" w:after="0"/>
      </w:pPr>
      <w:r>
        <w:rPr>
          <w:rFonts w:ascii="Times New Roman" w:hAnsi="Times New Roman" w:eastAsia="宋体"/>
          <w:sz w:val="24"/>
        </w:rPr>
        <w:t>anchor → entity 的名称包含式匹配仍有约四分之一载体未能命中图谱实体，后续可通过别名表、主题词归并和语义向量匹配提升召回率；</w:t>
      </w:r>
    </w:p>
    <w:p>
      <w:pPr>
        <w:pStyle w:val="ListBullet"/>
        <w:spacing w:line="400" w:lineRule="exact" w:before="0" w:after="0"/>
      </w:pPr>
      <w:r>
        <w:rPr>
          <w:rFonts w:ascii="Times New Roman" w:hAnsi="Times New Roman" w:eastAsia="宋体"/>
          <w:sz w:val="24"/>
        </w:rPr>
        <w:t>镇街边界采用 OpenStreetMap 矢量数据，仍存在少量边界缝隙，229 个 500 m 网格被标记为"未标注"，但不影响主要空间格局判断；</w:t>
      </w:r>
    </w:p>
    <w:p>
      <w:pPr>
        <w:pStyle w:val="ListBullet"/>
        <w:spacing w:line="400" w:lineRule="exact" w:before="0" w:after="0"/>
      </w:pPr>
      <w:r>
        <w:rPr>
          <w:rFonts w:ascii="Times New Roman" w:hAnsi="Times New Roman" w:eastAsia="宋体"/>
          <w:sz w:val="24"/>
        </w:rPr>
        <w:t>A 级景区样本量仅 16，依赖公开资料整理，正式评级数据的严格采集仍需补充。</w:t>
      </w:r>
    </w:p>
    <w:p/>
    <w:p>
      <w:pPr>
        <w:pStyle w:val="Heading3"/>
        <w:spacing w:line="400" w:lineRule="exact" w:before="240" w:after="80"/>
        <w:jc w:val="left"/>
      </w:pPr>
      <w:r>
        <w:rPr>
          <w:rFonts w:ascii="Times New Roman" w:hAnsi="Times New Roman" w:eastAsia="宋体"/>
          <w:b/>
          <w:sz w:val="26"/>
        </w:rPr>
        <w:t>7.3.2 方法层面</w:t>
      </w:r>
    </w:p>
    <w:p/>
    <w:p>
      <w:pPr>
        <w:pStyle w:val="ListBullet"/>
        <w:spacing w:line="400" w:lineRule="exact" w:before="0" w:after="0"/>
      </w:pPr>
      <w:r>
        <w:rPr>
          <w:rFonts w:ascii="Times New Roman" w:hAnsi="Times New Roman" w:eastAsia="宋体"/>
          <w:sz w:val="24"/>
        </w:rPr>
        <w:t>错位指数的权重 $\alpha = \beta = 0.5$ 为等权先验，下一步可通过多元回归或专家打分做校准；</w:t>
      </w:r>
    </w:p>
    <w:p>
      <w:pPr>
        <w:pStyle w:val="ListBullet"/>
        <w:spacing w:line="400" w:lineRule="exact" w:before="0" w:after="0"/>
      </w:pPr>
      <w:r>
        <w:rPr>
          <w:rFonts w:ascii="Times New Roman" w:hAnsi="Times New Roman" w:eastAsia="宋体"/>
          <w:sz w:val="24"/>
        </w:rPr>
        <w:t>THI 的三个组件权重（0.4/0.2/0.4）可尝试以训练—验证方式优化；</w:t>
      </w:r>
    </w:p>
    <w:p>
      <w:pPr>
        <w:pStyle w:val="ListBullet"/>
        <w:spacing w:line="400" w:lineRule="exact" w:before="0" w:after="0"/>
      </w:pPr>
      <w:r>
        <w:rPr>
          <w:rFonts w:ascii="Times New Roman" w:hAnsi="Times New Roman" w:eastAsia="宋体"/>
          <w:sz w:val="24"/>
        </w:rPr>
        <w:t>镇街作为分析单元时样本量仅为 7，相关系数仅具提示意义，后续可考虑 1km × 1km 网格或街区单元做稳健性检验；</w:t>
      </w:r>
    </w:p>
    <w:p>
      <w:pPr>
        <w:pStyle w:val="ListBullet"/>
        <w:spacing w:line="400" w:lineRule="exact" w:before="0" w:after="0"/>
      </w:pPr>
      <w:r>
        <w:rPr>
          <w:rFonts w:ascii="Times New Roman" w:hAnsi="Times New Roman" w:eastAsia="宋体"/>
          <w:sz w:val="24"/>
        </w:rPr>
        <w:t>空间生产理论的"三图框架"未作为正文核心理论框架，仅保留为后续理论拓展方向。</w:t>
      </w:r>
    </w:p>
    <w:p/>
    <w:p>
      <w:pPr>
        <w:pStyle w:val="Heading3"/>
        <w:spacing w:line="400" w:lineRule="exact" w:before="240" w:after="80"/>
        <w:jc w:val="left"/>
      </w:pPr>
      <w:r>
        <w:rPr>
          <w:rFonts w:ascii="Times New Roman" w:hAnsi="Times New Roman" w:eastAsia="宋体"/>
          <w:b/>
          <w:sz w:val="26"/>
        </w:rPr>
        <w:t>7.3.3 展望</w:t>
      </w:r>
    </w:p>
    <w:p/>
    <w:p>
      <w:pPr>
        <w:pStyle w:val="ListBullet"/>
        <w:spacing w:line="400" w:lineRule="exact" w:before="0" w:after="0"/>
      </w:pPr>
      <w:r>
        <w:rPr>
          <w:rFonts w:ascii="Times New Roman" w:hAnsi="Times New Roman" w:eastAsia="宋体"/>
          <w:sz w:val="24"/>
        </w:rPr>
        <w:t>引入餐饮评论、客流热力、夜间热度等动态数据，补全九江等片区的真实热度；</w:t>
      </w:r>
    </w:p>
    <w:p>
      <w:pPr>
        <w:pStyle w:val="ListBullet"/>
        <w:spacing w:line="400" w:lineRule="exact" w:before="0" w:after="0"/>
      </w:pPr>
      <w:r>
        <w:rPr>
          <w:rFonts w:ascii="Times New Roman" w:hAnsi="Times New Roman" w:eastAsia="宋体"/>
          <w:sz w:val="24"/>
        </w:rPr>
        <w:t>深化知识图谱的路径分析，以"主题 → 地点 → 关联实体"的方式支撑文旅 IP 与潜力项目组合的筛选；</w:t>
      </w:r>
    </w:p>
    <w:p>
      <w:pPr>
        <w:pStyle w:val="ListBullet"/>
        <w:spacing w:line="400" w:lineRule="exact" w:before="0" w:after="0"/>
      </w:pPr>
      <w:r>
        <w:rPr>
          <w:rFonts w:ascii="Times New Roman" w:hAnsi="Times New Roman" w:eastAsia="宋体"/>
          <w:sz w:val="24"/>
        </w:rPr>
        <w:t>把本框架向更细尺度（街区、网格）拓展，并在佛山其他区县或珠三角同尺度区县检验方法的可迁移性；</w:t>
      </w:r>
    </w:p>
    <w:p>
      <w:pPr>
        <w:pStyle w:val="ListBullet"/>
        <w:spacing w:line="400" w:lineRule="exact" w:before="0" w:after="0"/>
      </w:pPr>
      <w:r>
        <w:rPr>
          <w:rFonts w:ascii="Times New Roman" w:hAnsi="Times New Roman" w:eastAsia="宋体"/>
          <w:sz w:val="24"/>
        </w:rPr>
        <w:t>将景区等级数据从人工整理扩展为官方授权接入，系统化评估评级干预前后的 THI 变化。</w:t>
      </w:r>
    </w:p>
    <w:p/>
    <w:p>
      <w:r>
        <w:br w:type="page"/>
      </w:r>
    </w:p>
    <w:p/>
    <w:p>
      <w:pPr>
        <w:pStyle w:val="Heading2"/>
        <w:spacing w:line="400" w:lineRule="exact" w:before="240" w:after="80"/>
        <w:jc w:val="left"/>
      </w:pPr>
      <w:r>
        <w:rPr>
          <w:rFonts w:ascii="Times New Roman" w:hAnsi="Times New Roman" w:eastAsia="宋体"/>
          <w:b/>
          <w:sz w:val="28"/>
        </w:rPr>
        <w:t>参考文献</w:t>
      </w:r>
    </w:p>
    <w:p/>
    <w:p>
      <w:pPr>
        <w:spacing w:line="400" w:lineRule="exact" w:before="0" w:after="0"/>
        <w:ind w:firstLine="480"/>
      </w:pPr>
      <w:r>
        <w:rPr>
          <w:rFonts w:ascii="Times New Roman" w:hAnsi="Times New Roman" w:eastAsia="宋体"/>
          <w:b w:val="0"/>
          <w:sz w:val="24"/>
        </w:rPr>
        <w:t>[1] 吴丽, 梁皓, 虞华君, 等. 中国文化和旅游融合发展空间分异及驱动因素[J]. 经济地理, 2021, 41(2): 214-221. DOI:10.15957/j.cnki.jjdl.2021.02.023.</w:t>
      </w:r>
    </w:p>
    <w:p/>
    <w:p>
      <w:pPr>
        <w:spacing w:line="400" w:lineRule="exact" w:before="0" w:after="0"/>
        <w:ind w:firstLine="480"/>
      </w:pPr>
      <w:r>
        <w:rPr>
          <w:rFonts w:ascii="Times New Roman" w:hAnsi="Times New Roman" w:eastAsia="宋体"/>
          <w:b w:val="0"/>
          <w:sz w:val="24"/>
        </w:rPr>
        <w:t>[2] 章坤, 朱海, 谢朝武. 中国文化和旅游产业高质量融合发展的适配关系与政策启示[J]. 自然资源学报, 2025, 40(4): 1084-1106. DOI:10.31497/zrzyxb.20250413.</w:t>
      </w:r>
    </w:p>
    <w:p/>
    <w:p>
      <w:pPr>
        <w:spacing w:line="400" w:lineRule="exact" w:before="0" w:after="0"/>
        <w:ind w:firstLine="480"/>
      </w:pPr>
      <w:r>
        <w:rPr>
          <w:rFonts w:ascii="Times New Roman" w:hAnsi="Times New Roman" w:eastAsia="宋体"/>
          <w:b w:val="0"/>
          <w:sz w:val="24"/>
        </w:rPr>
        <w:t>[3] 郭艳萍, 刘敏. 基于 POI 数据的山西省旅游景区分类及空间分布特征[J]. 地理科学, 2021, 41(7): 1246-1255. DOI:10.13249/j.cnki.sgs.2021.07.015.</w:t>
      </w:r>
    </w:p>
    <w:p/>
    <w:p>
      <w:pPr>
        <w:spacing w:line="400" w:lineRule="exact" w:before="0" w:after="0"/>
        <w:ind w:firstLine="480"/>
      </w:pPr>
      <w:r>
        <w:rPr>
          <w:rFonts w:ascii="Times New Roman" w:hAnsi="Times New Roman" w:eastAsia="宋体"/>
          <w:b w:val="0"/>
          <w:sz w:val="24"/>
        </w:rPr>
        <w:t>[4] 田志馥, 于亚娟, 黄辰宇. 基于 POI 数据挖掘的内蒙古县域旅游要素空间分布特征及影响因素[J]. 干旱区地理, 2025, 48(7): 1255-1266. DOI:10.12118/j.issn.1000-6060.2024.601.</w:t>
      </w:r>
    </w:p>
    <w:p/>
    <w:p>
      <w:pPr>
        <w:spacing w:line="400" w:lineRule="exact" w:before="0" w:after="0"/>
        <w:ind w:firstLine="480"/>
      </w:pPr>
      <w:r>
        <w:rPr>
          <w:rFonts w:ascii="Times New Roman" w:hAnsi="Times New Roman" w:eastAsia="宋体"/>
          <w:b w:val="0"/>
          <w:sz w:val="24"/>
        </w:rPr>
        <w:t>[5] 王邵军, 李晓冰. 黄河流域高质量发展目标下非物质文化遗产与旅游业耦合协调发展研究：以山东省沿黄九市为例[J]. 东岳论丛, 2023, 44(11): 132-147. DOI:10.15981/j.cnki.dongyueluncong.2023.11.015.</w:t>
      </w:r>
    </w:p>
    <w:p/>
    <w:p>
      <w:pPr>
        <w:spacing w:line="400" w:lineRule="exact" w:before="0" w:after="0"/>
        <w:ind w:firstLine="480"/>
      </w:pPr>
      <w:r>
        <w:rPr>
          <w:rFonts w:ascii="Times New Roman" w:hAnsi="Times New Roman" w:eastAsia="宋体"/>
          <w:b w:val="0"/>
          <w:sz w:val="24"/>
        </w:rPr>
        <w:t>[6] 王公为. 文旅融合背景下非物质文化遗产与旅游业的耦合发展研究：以内蒙古为例[J/OL]. (2020-03)[2026-04-14]. http://ycfytsk.jx.chaoxing.com/info/2611.</w:t>
      </w:r>
    </w:p>
    <w:p/>
    <w:p>
      <w:pPr>
        <w:spacing w:line="400" w:lineRule="exact" w:before="0" w:after="0"/>
        <w:ind w:firstLine="480"/>
      </w:pPr>
      <w:r>
        <w:rPr>
          <w:rFonts w:ascii="Times New Roman" w:hAnsi="Times New Roman" w:eastAsia="宋体"/>
          <w:b w:val="0"/>
          <w:sz w:val="24"/>
        </w:rPr>
        <w:t>[7] FENSEL A, AKBAR Z, KARLE E, et al. Knowledge Graphs for Online Marketing and Sales of Touristic Services[J]. Information, 2020, 11(5): 253. DOI:10.3390/info11050253.</w:t>
      </w:r>
    </w:p>
    <w:p/>
    <w:p>
      <w:pPr>
        <w:spacing w:line="400" w:lineRule="exact" w:before="0" w:after="0"/>
        <w:ind w:firstLine="480"/>
      </w:pPr>
      <w:r>
        <w:rPr>
          <w:rFonts w:ascii="Times New Roman" w:hAnsi="Times New Roman" w:eastAsia="宋体"/>
          <w:b w:val="0"/>
          <w:sz w:val="24"/>
        </w:rPr>
        <w:t>[8] SONG S, YANG C, XU L, et al. TravelRAG: A Tourist Attraction Retrieval Framework Based on Multi-Layer Knowledge Graph[J]. ISPRS International Journal of Geo-Information, 2024, 13(11): 414. DOI:10.3390/ijgi13110414.</w:t>
      </w:r>
    </w:p>
    <w:p/>
    <w:p>
      <w:pPr>
        <w:spacing w:line="400" w:lineRule="exact" w:before="0" w:after="0"/>
        <w:ind w:firstLine="480"/>
      </w:pPr>
      <w:r>
        <w:rPr>
          <w:rFonts w:ascii="Times New Roman" w:hAnsi="Times New Roman" w:eastAsia="宋体"/>
          <w:b w:val="0"/>
          <w:sz w:val="24"/>
        </w:rPr>
        <w:t>[9] CADEDDU A, CHESSA A, DE LEO V, et al. Optimizing Tourism Accommodation Offers by Integrating Language Models and Knowledge Graph Technologies[J]. Information, 2024, 15(7): 398. DOI:10.3390/info15070398.</w:t>
      </w:r>
    </w:p>
    <w:p/>
    <w:p>
      <w:pPr>
        <w:spacing w:line="400" w:lineRule="exact" w:before="0" w:after="0"/>
        <w:ind w:firstLine="480"/>
      </w:pPr>
      <w:r>
        <w:rPr>
          <w:rFonts w:ascii="Times New Roman" w:hAnsi="Times New Roman" w:eastAsia="宋体"/>
          <w:b w:val="0"/>
          <w:sz w:val="24"/>
        </w:rPr>
        <w:t>[10] XIAO D, WANG N, YU J, et al. A Practice of Tourism Knowledge Graph Construction based on Heterogeneous Information[C]//Proceedings of the 19th China National Conference on Computational Linguistics (CCL 2020). Haikou: Chinese Information Processing Society of China, 2020: 939-949. https://aclanthology.org/2020.ccl-1.87.pdf.</w:t>
      </w:r>
    </w:p>
    <w:p/>
    <w:p>
      <w:pPr>
        <w:spacing w:line="400" w:lineRule="exact" w:before="0" w:after="0"/>
        <w:ind w:firstLine="480"/>
      </w:pPr>
      <w:r>
        <w:rPr>
          <w:rFonts w:ascii="Times New Roman" w:hAnsi="Times New Roman" w:eastAsia="宋体"/>
          <w:b w:val="0"/>
          <w:sz w:val="24"/>
        </w:rPr>
        <w:t>[11] 翁钢民, 李凌雁. 中国旅游与文化产业融合发展的耦合协调度及空间相关分析[J/OL]. 经济地理, 2016[2026-05-09]. https://www.jjdl.com.cn/CN/abstract/article/1000-8462/32296.</w:t>
      </w:r>
    </w:p>
    <w:p/>
    <w:p>
      <w:pPr>
        <w:spacing w:line="400" w:lineRule="exact" w:before="0" w:after="0"/>
        <w:ind w:firstLine="480"/>
      </w:pPr>
      <w:r>
        <w:rPr>
          <w:rFonts w:ascii="Times New Roman" w:hAnsi="Times New Roman" w:eastAsia="宋体"/>
          <w:b w:val="0"/>
          <w:sz w:val="24"/>
        </w:rPr>
        <w:t>[12] 王兆峰, 谢佳亮. 中国文化和旅游融合发展效率时空动态演化及其驱动机制[J/OL]. 旅游学刊, 2024[2026-05-09]. http://www.qikan.com.cn/article/lyxk20240111.html.</w:t>
      </w:r>
    </w:p>
    <w:p/>
    <w:p>
      <w:pPr>
        <w:spacing w:line="400" w:lineRule="exact" w:before="0" w:after="0"/>
        <w:ind w:firstLine="480"/>
      </w:pPr>
      <w:r>
        <w:rPr>
          <w:rFonts w:ascii="Times New Roman" w:hAnsi="Times New Roman" w:eastAsia="宋体"/>
          <w:b w:val="0"/>
          <w:sz w:val="24"/>
        </w:rPr>
        <w:t>[13] 何静, 冯学钢. 中国省际文旅融合空间关联网络结构演化及形成机制[J/OL]. 地理研究, 2025[2026-05-09]. https://www.dlyj.ac.cn/CN/10.11821/dlyj020241213.</w:t>
      </w:r>
    </w:p>
    <w:p/>
    <w:p>
      <w:pPr>
        <w:spacing w:line="400" w:lineRule="exact" w:before="0" w:after="0"/>
        <w:ind w:firstLine="480"/>
      </w:pPr>
      <w:r>
        <w:rPr>
          <w:rFonts w:ascii="Times New Roman" w:hAnsi="Times New Roman" w:eastAsia="宋体"/>
          <w:b w:val="0"/>
          <w:sz w:val="24"/>
        </w:rPr>
        <w:t>[14] 朱媛媛, 等. 长江中游城市群"文—旅"产业融合发展的空间效应及驱动机制研究[J/OL]. 地理科学进展, 2022[2026-05-09]. https://www.progressingeography.com/CN/10.18306/dlkxjz.2022.05.004.</w:t>
      </w:r>
    </w:p>
    <w:p/>
    <w:p>
      <w:pPr>
        <w:spacing w:line="400" w:lineRule="exact" w:before="0" w:after="0"/>
        <w:ind w:firstLine="480"/>
      </w:pPr>
      <w:r>
        <w:rPr>
          <w:rFonts w:ascii="Times New Roman" w:hAnsi="Times New Roman" w:eastAsia="宋体"/>
          <w:b w:val="0"/>
          <w:sz w:val="24"/>
        </w:rPr>
        <w:t>[15] 周海霞, 等. 长征沿线文化—旅游系统适配驱动文旅融合发展的时空演变与机理[J/OL]. 地理科学进展, 2025[2026-05-09]. https://www.progressingeography.com/CN/10.18306/dlkxjz.2025.09.009.</w:t>
      </w:r>
    </w:p>
    <w:p/>
    <w:p>
      <w:pPr>
        <w:spacing w:line="400" w:lineRule="exact" w:before="0" w:after="0"/>
        <w:ind w:firstLine="480"/>
      </w:pPr>
      <w:r>
        <w:rPr>
          <w:rFonts w:ascii="Times New Roman" w:hAnsi="Times New Roman" w:eastAsia="宋体"/>
          <w:b w:val="0"/>
          <w:sz w:val="24"/>
        </w:rPr>
        <w:t>[16] 陆文镔, 等. 数智时代文旅融合的耦合机理研究：基于数字产业与旅游产业协同集聚视角[J/OL]. 自然资源学报, 2025[2026-05-09]. https://www.jnr.ac.cn/CN/10.31497/zrzyxb.20251207.</w:t>
      </w:r>
    </w:p>
    <w:p/>
    <w:p>
      <w:pPr>
        <w:spacing w:line="400" w:lineRule="exact" w:before="0" w:after="0"/>
        <w:ind w:firstLine="480"/>
      </w:pPr>
      <w:r>
        <w:rPr>
          <w:rFonts w:ascii="Times New Roman" w:hAnsi="Times New Roman" w:eastAsia="宋体"/>
          <w:b w:val="0"/>
          <w:sz w:val="24"/>
        </w:rPr>
        <w:t>[17] 许春晓, 等. 文旅深度融合与资源创新利用：热现象与冷思考[J/OL]. 自然资源学报, 2025[2026-05-09]. https://www.jnr.ac.cn/CN/top_access.</w:t>
      </w:r>
    </w:p>
    <w:p/>
    <w:p>
      <w:pPr>
        <w:spacing w:line="400" w:lineRule="exact" w:before="0" w:after="0"/>
        <w:ind w:firstLine="480"/>
      </w:pPr>
      <w:r>
        <w:rPr>
          <w:rFonts w:ascii="Times New Roman" w:hAnsi="Times New Roman" w:eastAsia="宋体"/>
          <w:b w:val="0"/>
          <w:sz w:val="24"/>
        </w:rPr>
        <w:t>[18] 张宏磊, 等. 中国现代旅游业体系建设中的旅游资源创新开发：理论认知与应用创新[J/OL]. 自然资源学报, 2025[2026-05-09]. https://www.jnr.ac.cn/CN/top_access.</w:t>
      </w:r>
    </w:p>
    <w:p/>
    <w:p>
      <w:r>
        <w:br w:type="page"/>
      </w:r>
    </w:p>
    <w:p/>
    <w:p>
      <w:pPr>
        <w:pStyle w:val="Heading2"/>
        <w:spacing w:line="400" w:lineRule="exact" w:before="240" w:after="80"/>
        <w:jc w:val="left"/>
      </w:pPr>
      <w:r>
        <w:rPr>
          <w:rFonts w:ascii="Times New Roman" w:hAnsi="Times New Roman" w:eastAsia="宋体"/>
          <w:b/>
          <w:sz w:val="28"/>
        </w:rPr>
        <w:t>附录 A　实体分类体系简表</w:t>
      </w:r>
    </w:p>
    <w:p/>
    <w:tbl>
      <w:tblPr>
        <w:tblStyle w:val="TableGrid"/>
        <w:tblW w:type="auto" w:w="0"/>
        <w:tblLayout w:type="autofit"/>
        <w:tblLook w:firstColumn="1" w:firstRow="1" w:lastColumn="0" w:lastRow="0" w:noHBand="0" w:noVBand="1" w:val="04A0"/>
      </w:tblPr>
      <w:tblGrid>
        <w:gridCol w:w="4532"/>
        <w:gridCol w:w="4532"/>
      </w:tblGrid>
      <w:tr>
        <w:tc>
          <w:tcPr>
            <w:tcW w:type="dxa" w:w="4532"/>
          </w:tcPr>
          <w:p>
            <w:pPr>
              <w:jc w:val="center"/>
            </w:pPr>
            <w:r/>
            <w:r>
              <w:rPr>
                <w:rFonts w:ascii="Times New Roman" w:hAnsi="Times New Roman" w:eastAsia="宋体"/>
                <w:b/>
                <w:sz w:val="21"/>
              </w:rPr>
              <w:t>六大类</w:t>
            </w:r>
          </w:p>
        </w:tc>
        <w:tc>
          <w:tcPr>
            <w:tcW w:type="dxa" w:w="4532"/>
          </w:tcPr>
          <w:p>
            <w:pPr>
              <w:jc w:val="center"/>
            </w:pPr>
            <w:r/>
            <w:r>
              <w:rPr>
                <w:rFonts w:ascii="Times New Roman" w:hAnsi="Times New Roman" w:eastAsia="宋体"/>
                <w:b/>
                <w:sz w:val="21"/>
              </w:rPr>
              <w:t>代表小类（共 28 小类）</w:t>
            </w:r>
          </w:p>
        </w:tc>
      </w:tr>
      <w:tr>
        <w:tc>
          <w:tcPr>
            <w:tcW w:type="dxa" w:w="4532"/>
          </w:tcPr>
          <w:p>
            <w:pPr>
              <w:jc w:val="center"/>
            </w:pPr>
            <w:r/>
            <w:r>
              <w:rPr>
                <w:rFonts w:ascii="Times New Roman" w:hAnsi="Times New Roman" w:eastAsia="宋体"/>
                <w:b w:val="0"/>
                <w:sz w:val="21"/>
              </w:rPr>
              <w:t>非遗文化</w:t>
            </w:r>
          </w:p>
        </w:tc>
        <w:tc>
          <w:tcPr>
            <w:tcW w:type="dxa" w:w="4532"/>
          </w:tcPr>
          <w:p>
            <w:pPr>
              <w:jc w:val="center"/>
            </w:pPr>
            <w:r/>
            <w:r>
              <w:rPr>
                <w:rFonts w:ascii="Times New Roman" w:hAnsi="Times New Roman" w:eastAsia="宋体"/>
                <w:b w:val="0"/>
                <w:sz w:val="21"/>
              </w:rPr>
              <w:t>传统技艺、传统音乐、传统舞蹈、传统体育游艺与杂技、民间文学、民俗、曲艺、传统戏剧、传统美术</w:t>
            </w:r>
          </w:p>
        </w:tc>
      </w:tr>
      <w:tr>
        <w:tc>
          <w:tcPr>
            <w:tcW w:type="dxa" w:w="4532"/>
          </w:tcPr>
          <w:p>
            <w:pPr>
              <w:jc w:val="center"/>
            </w:pPr>
            <w:r/>
            <w:r>
              <w:rPr>
                <w:rFonts w:ascii="Times New Roman" w:hAnsi="Times New Roman" w:eastAsia="宋体"/>
                <w:b w:val="0"/>
                <w:sz w:val="21"/>
              </w:rPr>
              <w:t>物质遗产</w:t>
            </w:r>
          </w:p>
        </w:tc>
        <w:tc>
          <w:tcPr>
            <w:tcW w:type="dxa" w:w="4532"/>
          </w:tcPr>
          <w:p>
            <w:pPr>
              <w:jc w:val="center"/>
            </w:pPr>
            <w:r/>
            <w:r>
              <w:rPr>
                <w:rFonts w:ascii="Times New Roman" w:hAnsi="Times New Roman" w:eastAsia="宋体"/>
                <w:b w:val="0"/>
                <w:sz w:val="21"/>
              </w:rPr>
              <w:t>古建筑、近现代重要史迹及代表性建筑、古遗址、古墓葬、石窟寺及石刻</w:t>
            </w:r>
          </w:p>
        </w:tc>
      </w:tr>
      <w:tr>
        <w:tc>
          <w:tcPr>
            <w:tcW w:type="dxa" w:w="4532"/>
          </w:tcPr>
          <w:p>
            <w:pPr>
              <w:jc w:val="center"/>
            </w:pPr>
            <w:r/>
            <w:r>
              <w:rPr>
                <w:rFonts w:ascii="Times New Roman" w:hAnsi="Times New Roman" w:eastAsia="宋体"/>
                <w:b w:val="0"/>
                <w:sz w:val="21"/>
              </w:rPr>
              <w:t>传承主体</w:t>
            </w:r>
          </w:p>
        </w:tc>
        <w:tc>
          <w:tcPr>
            <w:tcW w:type="dxa" w:w="4532"/>
          </w:tcPr>
          <w:p>
            <w:pPr>
              <w:jc w:val="center"/>
            </w:pPr>
            <w:r/>
            <w:r>
              <w:rPr>
                <w:rFonts w:ascii="Times New Roman" w:hAnsi="Times New Roman" w:eastAsia="宋体"/>
                <w:b w:val="0"/>
                <w:sz w:val="21"/>
              </w:rPr>
              <w:t>人物、宗族姓氏</w:t>
            </w:r>
          </w:p>
        </w:tc>
      </w:tr>
      <w:tr>
        <w:tc>
          <w:tcPr>
            <w:tcW w:type="dxa" w:w="4532"/>
          </w:tcPr>
          <w:p>
            <w:pPr>
              <w:jc w:val="center"/>
            </w:pPr>
            <w:r/>
            <w:r>
              <w:rPr>
                <w:rFonts w:ascii="Times New Roman" w:hAnsi="Times New Roman" w:eastAsia="宋体"/>
                <w:b w:val="0"/>
                <w:sz w:val="21"/>
              </w:rPr>
              <w:t>文化空间</w:t>
            </w:r>
          </w:p>
        </w:tc>
        <w:tc>
          <w:tcPr>
            <w:tcW w:type="dxa" w:w="4532"/>
          </w:tcPr>
          <w:p>
            <w:pPr>
              <w:jc w:val="center"/>
            </w:pPr>
            <w:r/>
            <w:r>
              <w:rPr>
                <w:rFonts w:ascii="Times New Roman" w:hAnsi="Times New Roman" w:eastAsia="宋体"/>
                <w:b w:val="0"/>
                <w:sz w:val="21"/>
              </w:rPr>
              <w:t>地名、建筑遗迹</w:t>
            </w:r>
          </w:p>
        </w:tc>
      </w:tr>
      <w:tr>
        <w:tc>
          <w:tcPr>
            <w:tcW w:type="dxa" w:w="4532"/>
          </w:tcPr>
          <w:p>
            <w:pPr>
              <w:jc w:val="center"/>
            </w:pPr>
            <w:r/>
            <w:r>
              <w:rPr>
                <w:rFonts w:ascii="Times New Roman" w:hAnsi="Times New Roman" w:eastAsia="宋体"/>
                <w:b w:val="0"/>
                <w:sz w:val="21"/>
              </w:rPr>
              <w:t>文献记忆</w:t>
            </w:r>
          </w:p>
        </w:tc>
        <w:tc>
          <w:tcPr>
            <w:tcW w:type="dxa" w:w="4532"/>
          </w:tcPr>
          <w:p>
            <w:pPr>
              <w:jc w:val="center"/>
            </w:pPr>
            <w:r/>
            <w:r>
              <w:rPr>
                <w:rFonts w:ascii="Times New Roman" w:hAnsi="Times New Roman" w:eastAsia="宋体"/>
                <w:b w:val="0"/>
                <w:sz w:val="21"/>
              </w:rPr>
              <w:t>典籍作品、历史事件</w:t>
            </w:r>
          </w:p>
        </w:tc>
      </w:tr>
      <w:tr>
        <w:tc>
          <w:tcPr>
            <w:tcW w:type="dxa" w:w="4532"/>
          </w:tcPr>
          <w:p>
            <w:pPr>
              <w:jc w:val="center"/>
            </w:pPr>
            <w:r/>
            <w:r>
              <w:rPr>
                <w:rFonts w:ascii="Times New Roman" w:hAnsi="Times New Roman" w:eastAsia="宋体"/>
                <w:b w:val="0"/>
                <w:sz w:val="21"/>
              </w:rPr>
              <w:t>历史时序</w:t>
            </w:r>
          </w:p>
        </w:tc>
        <w:tc>
          <w:tcPr>
            <w:tcW w:type="dxa" w:w="4532"/>
          </w:tcPr>
          <w:p>
            <w:pPr>
              <w:jc w:val="center"/>
            </w:pPr>
            <w:r/>
            <w:r>
              <w:rPr>
                <w:rFonts w:ascii="Times New Roman" w:hAnsi="Times New Roman" w:eastAsia="宋体"/>
                <w:b w:val="0"/>
                <w:sz w:val="21"/>
              </w:rPr>
              <w:t>朝代年号、物产饮食</w:t>
            </w:r>
          </w:p>
        </w:tc>
      </w:tr>
    </w:tbl>
    <w:p/>
    <w:p/>
    <w:p>
      <w:pPr>
        <w:spacing w:line="400" w:lineRule="exact" w:before="0" w:after="0"/>
        <w:ind w:firstLine="480"/>
      </w:pPr>
      <w:r>
        <w:rPr>
          <w:rFonts w:ascii="Times New Roman" w:hAnsi="Times New Roman" w:eastAsia="宋体"/>
          <w:b w:val="0"/>
          <w:sz w:val="24"/>
        </w:rPr>
        <w:t>注：完整 28 小类与官方 8 大类的对照表见仓库 docs/分类体系.md。</w:t>
      </w:r>
    </w:p>
    <w:p/>
    <w:p>
      <w:r>
        <w:br w:type="page"/>
      </w:r>
    </w:p>
    <w:p/>
    <w:p>
      <w:pPr>
        <w:pStyle w:val="Heading2"/>
        <w:spacing w:line="400" w:lineRule="exact" w:before="240" w:after="80"/>
        <w:jc w:val="left"/>
      </w:pPr>
      <w:r>
        <w:rPr>
          <w:rFonts w:ascii="Times New Roman" w:hAnsi="Times New Roman" w:eastAsia="宋体"/>
          <w:b/>
          <w:sz w:val="28"/>
        </w:rPr>
        <w:t>附录 B　165 条物质文化载体分类与镇街分布统计</w:t>
      </w:r>
    </w:p>
    <w:p/>
    <w:p>
      <w:pPr>
        <w:spacing w:line="400" w:lineRule="exact" w:before="0" w:after="0"/>
        <w:ind w:firstLine="480"/>
      </w:pPr>
      <w:r>
        <w:rPr>
          <w:rFonts w:ascii="Times New Roman" w:hAnsi="Times New Roman" w:eastAsia="宋体"/>
          <w:b w:val="0"/>
          <w:sz w:val="24"/>
        </w:rPr>
        <w:t>按类型：不可移动文物 80、非遗空间锚点 36、文化景观 19、圩市街区 18、历史文化名村/传统村落 12。</w:t>
      </w:r>
    </w:p>
    <w:p/>
    <w:p>
      <w:pPr>
        <w:spacing w:line="400" w:lineRule="exact" w:before="0" w:after="0"/>
        <w:ind w:firstLine="480"/>
      </w:pPr>
      <w:r>
        <w:rPr>
          <w:rFonts w:ascii="Times New Roman" w:hAnsi="Times New Roman" w:eastAsia="宋体"/>
          <w:b w:val="0"/>
          <w:sz w:val="24"/>
        </w:rPr>
        <w:t>按镇街（含明确 town 字段）：西樵镇 26、九江镇 15、丹灶镇 11、狮山镇 3、桂城街道 3、里水镇 1，其余 80 条不可移动文物无 town 字段（采集时为 nan），另有 18 条为村级单位（松塘村、烟桥村、仙岗村、棋盘村等）。</w:t>
      </w:r>
    </w:p>
    <w:p/>
    <w:p>
      <w:pPr>
        <w:spacing w:line="400" w:lineRule="exact" w:before="0" w:after="0"/>
        <w:ind w:firstLine="480"/>
      </w:pPr>
      <w:r>
        <w:rPr>
          <w:rFonts w:ascii="Times New Roman" w:hAnsi="Times New Roman" w:eastAsia="宋体"/>
          <w:b w:val="0"/>
          <w:sz w:val="24"/>
        </w:rPr>
        <w:t>完整清单导出自 data/anchors/cultural_anchors.json，详见仓库 output/tables/indices_anchors.csv。</w:t>
      </w:r>
    </w:p>
    <w:p/>
    <w:p>
      <w:r>
        <w:br w:type="page"/>
      </w:r>
    </w:p>
    <w:p/>
    <w:p>
      <w:pPr>
        <w:pStyle w:val="Heading2"/>
        <w:spacing w:line="400" w:lineRule="exact" w:before="240" w:after="80"/>
        <w:jc w:val="left"/>
      </w:pPr>
      <w:r>
        <w:rPr>
          <w:rFonts w:ascii="Times New Roman" w:hAnsi="Times New Roman" w:eastAsia="宋体"/>
          <w:b/>
          <w:sz w:val="28"/>
        </w:rPr>
        <w:t>附录 C　载体级指数与错位分类样例</w:t>
      </w:r>
    </w:p>
    <w:p/>
    <w:p>
      <w:pPr>
        <w:spacing w:line="400" w:lineRule="exact" w:before="0" w:after="0"/>
        <w:ind w:firstLine="480"/>
      </w:pPr>
      <w:r>
        <w:rPr>
          <w:rFonts w:ascii="Times New Roman" w:hAnsi="Times New Roman" w:eastAsia="宋体"/>
          <w:b w:val="0"/>
          <w:sz w:val="24"/>
        </w:rPr>
        <w:t>（全量 165 条见 output/tables/indices_anchors.csv；下表仅列出每一象限的代表样本。）</w:t>
      </w:r>
    </w:p>
    <w:p/>
    <w:p>
      <w:pPr>
        <w:spacing w:line="400" w:lineRule="exact" w:before="0" w:after="0"/>
        <w:jc w:val="center"/>
      </w:pPr>
      <w:r>
        <w:rPr>
          <w:rFonts w:ascii="Times New Roman" w:hAnsi="Times New Roman" w:eastAsia="宋体"/>
          <w:b/>
          <w:sz w:val="24"/>
        </w:rPr>
        <w:t>C.1 沉睡潜力区（MI 最负 Top 10）</w:t>
      </w:r>
    </w:p>
    <w:p/>
    <w:tbl>
      <w:tblPr>
        <w:tblStyle w:val="TableGrid"/>
        <w:tblW w:type="auto" w:w="0"/>
        <w:tblLayout w:type="autofit"/>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1"/>
              </w:rPr>
              <w:t>名称</w:t>
            </w:r>
          </w:p>
        </w:tc>
        <w:tc>
          <w:tcPr>
            <w:tcW w:type="dxa" w:w="1511"/>
          </w:tcPr>
          <w:p>
            <w:pPr>
              <w:jc w:val="center"/>
            </w:pPr>
            <w:r/>
            <w:r>
              <w:rPr>
                <w:rFonts w:ascii="Times New Roman" w:hAnsi="Times New Roman" w:eastAsia="宋体"/>
                <w:b/>
                <w:sz w:val="21"/>
              </w:rPr>
              <w:t>镇街</w:t>
            </w:r>
          </w:p>
        </w:tc>
        <w:tc>
          <w:tcPr>
            <w:tcW w:type="dxa" w:w="1511"/>
          </w:tcPr>
          <w:p>
            <w:pPr>
              <w:jc w:val="center"/>
            </w:pPr>
            <w:r/>
            <w:r>
              <w:rPr>
                <w:rFonts w:ascii="Times New Roman" w:hAnsi="Times New Roman" w:eastAsia="宋体"/>
                <w:b/>
                <w:sz w:val="21"/>
              </w:rPr>
              <w:t>CMI</w:t>
            </w:r>
          </w:p>
        </w:tc>
        <w:tc>
          <w:tcPr>
            <w:tcW w:type="dxa" w:w="1511"/>
          </w:tcPr>
          <w:p>
            <w:pPr>
              <w:jc w:val="center"/>
            </w:pPr>
            <w:r/>
            <w:r>
              <w:rPr>
                <w:rFonts w:ascii="Times New Roman" w:hAnsi="Times New Roman" w:eastAsia="宋体"/>
                <w:b/>
                <w:sz w:val="21"/>
              </w:rPr>
              <w:t>OAI</w:t>
            </w:r>
          </w:p>
        </w:tc>
        <w:tc>
          <w:tcPr>
            <w:tcW w:type="dxa" w:w="1511"/>
          </w:tcPr>
          <w:p>
            <w:pPr>
              <w:jc w:val="center"/>
            </w:pPr>
            <w:r/>
            <w:r>
              <w:rPr>
                <w:rFonts w:ascii="Times New Roman" w:hAnsi="Times New Roman" w:eastAsia="宋体"/>
                <w:b/>
                <w:sz w:val="21"/>
              </w:rPr>
              <w:t>THI</w:t>
            </w:r>
          </w:p>
        </w:tc>
        <w:tc>
          <w:tcPr>
            <w:tcW w:type="dxa" w:w="1511"/>
          </w:tcPr>
          <w:p>
            <w:pPr>
              <w:jc w:val="center"/>
            </w:pPr>
            <w:r/>
            <w:r>
              <w:rPr>
                <w:rFonts w:ascii="Times New Roman" w:hAnsi="Times New Roman" w:eastAsia="宋体"/>
                <w:b/>
                <w:sz w:val="21"/>
              </w:rPr>
              <w:t>MI</w:t>
            </w:r>
          </w:p>
        </w:tc>
      </w:tr>
      <w:tr>
        <w:tc>
          <w:tcPr>
            <w:tcW w:type="dxa" w:w="1511"/>
          </w:tcPr>
          <w:p>
            <w:pPr>
              <w:jc w:val="center"/>
            </w:pPr>
            <w:r/>
            <w:r>
              <w:rPr>
                <w:rFonts w:ascii="Times New Roman" w:hAnsi="Times New Roman" w:eastAsia="宋体"/>
                <w:b w:val="0"/>
                <w:sz w:val="21"/>
              </w:rPr>
              <w:t>西樵镇松塘村</w:t>
            </w:r>
          </w:p>
        </w:tc>
        <w:tc>
          <w:tcPr>
            <w:tcW w:type="dxa" w:w="1511"/>
          </w:tcPr>
          <w:p>
            <w:pPr>
              <w:jc w:val="center"/>
            </w:pPr>
            <w:r/>
            <w:r>
              <w:rPr>
                <w:rFonts w:ascii="Times New Roman" w:hAnsi="Times New Roman" w:eastAsia="宋体"/>
                <w:b w:val="0"/>
                <w:sz w:val="21"/>
              </w:rPr>
              <w:t>松塘村</w:t>
            </w:r>
          </w:p>
        </w:tc>
        <w:tc>
          <w:tcPr>
            <w:tcW w:type="dxa" w:w="1511"/>
          </w:tcPr>
          <w:p>
            <w:pPr>
              <w:jc w:val="center"/>
            </w:pPr>
            <w:r/>
            <w:r>
              <w:rPr>
                <w:rFonts w:ascii="Times New Roman" w:hAnsi="Times New Roman" w:eastAsia="宋体"/>
                <w:b w:val="0"/>
                <w:sz w:val="21"/>
              </w:rPr>
              <w:t>71.81</w:t>
            </w:r>
          </w:p>
        </w:tc>
        <w:tc>
          <w:tcPr>
            <w:tcW w:type="dxa" w:w="1511"/>
          </w:tcPr>
          <w:p>
            <w:pPr>
              <w:jc w:val="center"/>
            </w:pPr>
            <w:r/>
            <w:r>
              <w:rPr>
                <w:rFonts w:ascii="Times New Roman" w:hAnsi="Times New Roman" w:eastAsia="宋体"/>
                <w:b w:val="0"/>
                <w:sz w:val="21"/>
              </w:rPr>
              <w:t>100.0</w:t>
            </w:r>
          </w:p>
        </w:tc>
        <w:tc>
          <w:tcPr>
            <w:tcW w:type="dxa" w:w="1511"/>
          </w:tcPr>
          <w:p>
            <w:pPr>
              <w:jc w:val="center"/>
            </w:pPr>
            <w:r/>
            <w:r>
              <w:rPr>
                <w:rFonts w:ascii="Times New Roman" w:hAnsi="Times New Roman" w:eastAsia="宋体"/>
                <w:b w:val="0"/>
                <w:sz w:val="21"/>
              </w:rPr>
              <w:t>5.73</w:t>
            </w:r>
          </w:p>
        </w:tc>
        <w:tc>
          <w:tcPr>
            <w:tcW w:type="dxa" w:w="1511"/>
          </w:tcPr>
          <w:p>
            <w:pPr>
              <w:jc w:val="center"/>
            </w:pPr>
            <w:r/>
            <w:r>
              <w:rPr>
                <w:rFonts w:ascii="Times New Roman" w:hAnsi="Times New Roman" w:eastAsia="宋体"/>
                <w:b w:val="0"/>
                <w:sz w:val="21"/>
              </w:rPr>
              <w:t>−80.17</w:t>
            </w:r>
          </w:p>
        </w:tc>
      </w:tr>
      <w:tr>
        <w:tc>
          <w:tcPr>
            <w:tcW w:type="dxa" w:w="1511"/>
          </w:tcPr>
          <w:p>
            <w:pPr>
              <w:jc w:val="center"/>
            </w:pPr>
            <w:r/>
            <w:r>
              <w:rPr>
                <w:rFonts w:ascii="Times New Roman" w:hAnsi="Times New Roman" w:eastAsia="宋体"/>
                <w:b w:val="0"/>
                <w:sz w:val="21"/>
              </w:rPr>
              <w:t>九江镇烟桥烟南村</w:t>
            </w:r>
          </w:p>
        </w:tc>
        <w:tc>
          <w:tcPr>
            <w:tcW w:type="dxa" w:w="1511"/>
          </w:tcPr>
          <w:p>
            <w:pPr>
              <w:jc w:val="center"/>
            </w:pPr>
            <w:r/>
            <w:r>
              <w:rPr>
                <w:rFonts w:ascii="Times New Roman" w:hAnsi="Times New Roman" w:eastAsia="宋体"/>
                <w:b w:val="0"/>
                <w:sz w:val="21"/>
              </w:rPr>
              <w:t>九江（无 town 字段）</w:t>
            </w:r>
          </w:p>
        </w:tc>
        <w:tc>
          <w:tcPr>
            <w:tcW w:type="dxa" w:w="1511"/>
          </w:tcPr>
          <w:p>
            <w:pPr>
              <w:jc w:val="center"/>
            </w:pPr>
            <w:r/>
            <w:r>
              <w:rPr>
                <w:rFonts w:ascii="Times New Roman" w:hAnsi="Times New Roman" w:eastAsia="宋体"/>
                <w:b w:val="0"/>
                <w:sz w:val="21"/>
              </w:rPr>
              <w:t>77.57</w:t>
            </w:r>
          </w:p>
        </w:tc>
        <w:tc>
          <w:tcPr>
            <w:tcW w:type="dxa" w:w="1511"/>
          </w:tcPr>
          <w:p>
            <w:pPr>
              <w:jc w:val="center"/>
            </w:pPr>
            <w:r/>
            <w:r>
              <w:rPr>
                <w:rFonts w:ascii="Times New Roman" w:hAnsi="Times New Roman" w:eastAsia="宋体"/>
                <w:b w:val="0"/>
                <w:sz w:val="21"/>
              </w:rPr>
              <w:t>100.0</w:t>
            </w:r>
          </w:p>
        </w:tc>
        <w:tc>
          <w:tcPr>
            <w:tcW w:type="dxa" w:w="1511"/>
          </w:tcPr>
          <w:p>
            <w:pPr>
              <w:jc w:val="center"/>
            </w:pPr>
            <w:r/>
            <w:r>
              <w:rPr>
                <w:rFonts w:ascii="Times New Roman" w:hAnsi="Times New Roman" w:eastAsia="宋体"/>
                <w:b w:val="0"/>
                <w:sz w:val="21"/>
              </w:rPr>
              <w:t>9.09</w:t>
            </w:r>
          </w:p>
        </w:tc>
        <w:tc>
          <w:tcPr>
            <w:tcW w:type="dxa" w:w="1511"/>
          </w:tcPr>
          <w:p>
            <w:pPr>
              <w:jc w:val="center"/>
            </w:pPr>
            <w:r/>
            <w:r>
              <w:rPr>
                <w:rFonts w:ascii="Times New Roman" w:hAnsi="Times New Roman" w:eastAsia="宋体"/>
                <w:b w:val="0"/>
                <w:sz w:val="21"/>
              </w:rPr>
              <w:t>−79.70</w:t>
            </w:r>
          </w:p>
        </w:tc>
      </w:tr>
      <w:tr>
        <w:tc>
          <w:tcPr>
            <w:tcW w:type="dxa" w:w="1511"/>
          </w:tcPr>
          <w:p>
            <w:pPr>
              <w:jc w:val="center"/>
            </w:pPr>
            <w:r/>
            <w:r>
              <w:rPr>
                <w:rFonts w:ascii="Times New Roman" w:hAnsi="Times New Roman" w:eastAsia="宋体"/>
                <w:b w:val="0"/>
                <w:sz w:val="21"/>
              </w:rPr>
              <w:t>丹灶镇仙岗社区</w:t>
            </w:r>
          </w:p>
        </w:tc>
        <w:tc>
          <w:tcPr>
            <w:tcW w:type="dxa" w:w="1511"/>
          </w:tcPr>
          <w:p>
            <w:pPr>
              <w:jc w:val="center"/>
            </w:pPr>
            <w:r/>
            <w:r>
              <w:rPr>
                <w:rFonts w:ascii="Times New Roman" w:hAnsi="Times New Roman" w:eastAsia="宋体"/>
                <w:b w:val="0"/>
                <w:sz w:val="21"/>
              </w:rPr>
              <w:t>仙岗社区</w:t>
            </w:r>
          </w:p>
        </w:tc>
        <w:tc>
          <w:tcPr>
            <w:tcW w:type="dxa" w:w="1511"/>
          </w:tcPr>
          <w:p>
            <w:pPr>
              <w:jc w:val="center"/>
            </w:pPr>
            <w:r/>
            <w:r>
              <w:rPr>
                <w:rFonts w:ascii="Times New Roman" w:hAnsi="Times New Roman" w:eastAsia="宋体"/>
                <w:b w:val="0"/>
                <w:sz w:val="21"/>
              </w:rPr>
              <w:t>57.28</w:t>
            </w:r>
          </w:p>
        </w:tc>
        <w:tc>
          <w:tcPr>
            <w:tcW w:type="dxa" w:w="1511"/>
          </w:tcPr>
          <w:p>
            <w:pPr>
              <w:jc w:val="center"/>
            </w:pPr>
            <w:r/>
            <w:r>
              <w:rPr>
                <w:rFonts w:ascii="Times New Roman" w:hAnsi="Times New Roman" w:eastAsia="宋体"/>
                <w:b w:val="0"/>
                <w:sz w:val="21"/>
              </w:rPr>
              <w:t>100.0</w:t>
            </w:r>
          </w:p>
        </w:tc>
        <w:tc>
          <w:tcPr>
            <w:tcW w:type="dxa" w:w="1511"/>
          </w:tcPr>
          <w:p>
            <w:pPr>
              <w:jc w:val="center"/>
            </w:pPr>
            <w:r/>
            <w:r>
              <w:rPr>
                <w:rFonts w:ascii="Times New Roman" w:hAnsi="Times New Roman" w:eastAsia="宋体"/>
                <w:b w:val="0"/>
                <w:sz w:val="21"/>
              </w:rPr>
              <w:t>5.73</w:t>
            </w:r>
          </w:p>
        </w:tc>
        <w:tc>
          <w:tcPr>
            <w:tcW w:type="dxa" w:w="1511"/>
          </w:tcPr>
          <w:p>
            <w:pPr>
              <w:jc w:val="center"/>
            </w:pPr>
            <w:r/>
            <w:r>
              <w:rPr>
                <w:rFonts w:ascii="Times New Roman" w:hAnsi="Times New Roman" w:eastAsia="宋体"/>
                <w:b w:val="0"/>
                <w:sz w:val="21"/>
              </w:rPr>
              <w:t>−72.91</w:t>
            </w:r>
          </w:p>
        </w:tc>
      </w:tr>
      <w:tr>
        <w:tc>
          <w:tcPr>
            <w:tcW w:type="dxa" w:w="1511"/>
          </w:tcPr>
          <w:p>
            <w:pPr>
              <w:jc w:val="center"/>
            </w:pPr>
            <w:r/>
            <w:r>
              <w:rPr>
                <w:rFonts w:ascii="Times New Roman" w:hAnsi="Times New Roman" w:eastAsia="宋体"/>
                <w:b w:val="0"/>
                <w:sz w:val="21"/>
              </w:rPr>
              <w:t>西樵山仙姑亭</w:t>
            </w:r>
          </w:p>
        </w:tc>
        <w:tc>
          <w:tcPr>
            <w:tcW w:type="dxa" w:w="1511"/>
          </w:tcPr>
          <w:p>
            <w:pPr>
              <w:jc w:val="center"/>
            </w:pPr>
            <w:r/>
            <w:r>
              <w:rPr>
                <w:rFonts w:ascii="Times New Roman" w:hAnsi="Times New Roman" w:eastAsia="宋体"/>
                <w:b w:val="0"/>
                <w:sz w:val="21"/>
              </w:rPr>
              <w:t>西樵（无 town 字段）</w:t>
            </w:r>
          </w:p>
        </w:tc>
        <w:tc>
          <w:tcPr>
            <w:tcW w:type="dxa" w:w="1511"/>
          </w:tcPr>
          <w:p>
            <w:pPr>
              <w:jc w:val="center"/>
            </w:pPr>
            <w:r/>
            <w:r>
              <w:rPr>
                <w:rFonts w:ascii="Times New Roman" w:hAnsi="Times New Roman" w:eastAsia="宋体"/>
                <w:b w:val="0"/>
                <w:sz w:val="21"/>
              </w:rPr>
              <w:t>91.60</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−70.80</w:t>
            </w:r>
          </w:p>
        </w:tc>
      </w:tr>
      <w:tr>
        <w:tc>
          <w:tcPr>
            <w:tcW w:type="dxa" w:w="1511"/>
          </w:tcPr>
          <w:p>
            <w:pPr>
              <w:jc w:val="center"/>
            </w:pPr>
            <w:r/>
            <w:r>
              <w:rPr>
                <w:rFonts w:ascii="Times New Roman" w:hAnsi="Times New Roman" w:eastAsia="宋体"/>
                <w:b w:val="0"/>
                <w:sz w:val="21"/>
              </w:rPr>
              <w:t>九江镇烟桥村</w:t>
            </w:r>
          </w:p>
        </w:tc>
        <w:tc>
          <w:tcPr>
            <w:tcW w:type="dxa" w:w="1511"/>
          </w:tcPr>
          <w:p>
            <w:pPr>
              <w:jc w:val="center"/>
            </w:pPr>
            <w:r/>
            <w:r>
              <w:rPr>
                <w:rFonts w:ascii="Times New Roman" w:hAnsi="Times New Roman" w:eastAsia="宋体"/>
                <w:b w:val="0"/>
                <w:sz w:val="21"/>
              </w:rPr>
              <w:t>九江（无 town 字段）</w:t>
            </w:r>
          </w:p>
        </w:tc>
        <w:tc>
          <w:tcPr>
            <w:tcW w:type="dxa" w:w="1511"/>
          </w:tcPr>
          <w:p>
            <w:pPr>
              <w:jc w:val="center"/>
            </w:pPr>
            <w:r/>
            <w:r>
              <w:rPr>
                <w:rFonts w:ascii="Times New Roman" w:hAnsi="Times New Roman" w:eastAsia="宋体"/>
                <w:b w:val="0"/>
                <w:sz w:val="21"/>
              </w:rPr>
              <w:t>77.76</w:t>
            </w:r>
          </w:p>
        </w:tc>
        <w:tc>
          <w:tcPr>
            <w:tcW w:type="dxa" w:w="1511"/>
          </w:tcPr>
          <w:p>
            <w:pPr>
              <w:jc w:val="center"/>
            </w:pPr>
            <w:r/>
            <w:r>
              <w:rPr>
                <w:rFonts w:ascii="Times New Roman" w:hAnsi="Times New Roman" w:eastAsia="宋体"/>
                <w:b w:val="0"/>
                <w:sz w:val="21"/>
              </w:rPr>
              <w:t>75.0</w:t>
            </w:r>
          </w:p>
        </w:tc>
        <w:tc>
          <w:tcPr>
            <w:tcW w:type="dxa" w:w="1511"/>
          </w:tcPr>
          <w:p>
            <w:pPr>
              <w:jc w:val="center"/>
            </w:pPr>
            <w:r/>
            <w:r>
              <w:rPr>
                <w:rFonts w:ascii="Times New Roman" w:hAnsi="Times New Roman" w:eastAsia="宋体"/>
                <w:b w:val="0"/>
                <w:sz w:val="21"/>
              </w:rPr>
              <w:t>9.09</w:t>
            </w:r>
          </w:p>
        </w:tc>
        <w:tc>
          <w:tcPr>
            <w:tcW w:type="dxa" w:w="1511"/>
          </w:tcPr>
          <w:p>
            <w:pPr>
              <w:jc w:val="center"/>
            </w:pPr>
            <w:r/>
            <w:r>
              <w:rPr>
                <w:rFonts w:ascii="Times New Roman" w:hAnsi="Times New Roman" w:eastAsia="宋体"/>
                <w:b w:val="0"/>
                <w:sz w:val="21"/>
              </w:rPr>
              <w:t>−67.29</w:t>
            </w:r>
          </w:p>
        </w:tc>
      </w:tr>
      <w:tr>
        <w:tc>
          <w:tcPr>
            <w:tcW w:type="dxa" w:w="1511"/>
          </w:tcPr>
          <w:p>
            <w:pPr>
              <w:jc w:val="center"/>
            </w:pPr>
            <w:r/>
            <w:r>
              <w:rPr>
                <w:rFonts w:ascii="Times New Roman" w:hAnsi="Times New Roman" w:eastAsia="宋体"/>
                <w:b w:val="0"/>
                <w:sz w:val="21"/>
              </w:rPr>
              <w:t>丹灶镇南沙棋盘村</w:t>
            </w:r>
          </w:p>
        </w:tc>
        <w:tc>
          <w:tcPr>
            <w:tcW w:type="dxa" w:w="1511"/>
          </w:tcPr>
          <w:p>
            <w:pPr>
              <w:jc w:val="center"/>
            </w:pPr>
            <w:r/>
            <w:r>
              <w:rPr>
                <w:rFonts w:ascii="Times New Roman" w:hAnsi="Times New Roman" w:eastAsia="宋体"/>
                <w:b w:val="0"/>
                <w:sz w:val="21"/>
              </w:rPr>
              <w:t>棋盘村</w:t>
            </w:r>
          </w:p>
        </w:tc>
        <w:tc>
          <w:tcPr>
            <w:tcW w:type="dxa" w:w="1511"/>
          </w:tcPr>
          <w:p>
            <w:pPr>
              <w:jc w:val="center"/>
            </w:pPr>
            <w:r/>
            <w:r>
              <w:rPr>
                <w:rFonts w:ascii="Times New Roman" w:hAnsi="Times New Roman" w:eastAsia="宋体"/>
                <w:b w:val="0"/>
                <w:sz w:val="21"/>
              </w:rPr>
              <w:t>58.47</w:t>
            </w:r>
          </w:p>
        </w:tc>
        <w:tc>
          <w:tcPr>
            <w:tcW w:type="dxa" w:w="1511"/>
          </w:tcPr>
          <w:p>
            <w:pPr>
              <w:jc w:val="center"/>
            </w:pPr>
            <w:r/>
            <w:r>
              <w:rPr>
                <w:rFonts w:ascii="Times New Roman" w:hAnsi="Times New Roman" w:eastAsia="宋体"/>
                <w:b w:val="0"/>
                <w:sz w:val="21"/>
              </w:rPr>
              <w:t>75.0</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−66.74</w:t>
            </w:r>
          </w:p>
        </w:tc>
      </w:tr>
      <w:tr>
        <w:tc>
          <w:tcPr>
            <w:tcW w:type="dxa" w:w="1511"/>
          </w:tcPr>
          <w:p>
            <w:pPr>
              <w:jc w:val="center"/>
            </w:pPr>
            <w:r/>
            <w:r>
              <w:rPr>
                <w:rFonts w:ascii="Times New Roman" w:hAnsi="Times New Roman" w:eastAsia="宋体"/>
                <w:b w:val="0"/>
                <w:sz w:val="21"/>
              </w:rPr>
              <w:t>丹灶镇棋盘村</w:t>
            </w:r>
          </w:p>
        </w:tc>
        <w:tc>
          <w:tcPr>
            <w:tcW w:type="dxa" w:w="1511"/>
          </w:tcPr>
          <w:p>
            <w:pPr>
              <w:jc w:val="center"/>
            </w:pPr>
            <w:r/>
            <w:r>
              <w:rPr>
                <w:rFonts w:ascii="Times New Roman" w:hAnsi="Times New Roman" w:eastAsia="宋体"/>
                <w:b w:val="0"/>
                <w:sz w:val="21"/>
              </w:rPr>
              <w:t>棋盘村（无 town 字段）</w:t>
            </w:r>
          </w:p>
        </w:tc>
        <w:tc>
          <w:tcPr>
            <w:tcW w:type="dxa" w:w="1511"/>
          </w:tcPr>
          <w:p>
            <w:pPr>
              <w:jc w:val="center"/>
            </w:pPr>
            <w:r/>
            <w:r>
              <w:rPr>
                <w:rFonts w:ascii="Times New Roman" w:hAnsi="Times New Roman" w:eastAsia="宋体"/>
                <w:b w:val="0"/>
                <w:sz w:val="21"/>
              </w:rPr>
              <w:t>58.09</w:t>
            </w:r>
          </w:p>
        </w:tc>
        <w:tc>
          <w:tcPr>
            <w:tcW w:type="dxa" w:w="1511"/>
          </w:tcPr>
          <w:p>
            <w:pPr>
              <w:jc w:val="center"/>
            </w:pPr>
            <w:r/>
            <w:r>
              <w:rPr>
                <w:rFonts w:ascii="Times New Roman" w:hAnsi="Times New Roman" w:eastAsia="宋体"/>
                <w:b w:val="0"/>
                <w:sz w:val="21"/>
              </w:rPr>
              <w:t>75.0</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−66.54</w:t>
            </w:r>
          </w:p>
        </w:tc>
      </w:tr>
      <w:tr>
        <w:tc>
          <w:tcPr>
            <w:tcW w:type="dxa" w:w="1511"/>
          </w:tcPr>
          <w:p>
            <w:pPr>
              <w:jc w:val="center"/>
            </w:pPr>
            <w:r/>
            <w:r>
              <w:rPr>
                <w:rFonts w:ascii="Times New Roman" w:hAnsi="Times New Roman" w:eastAsia="宋体"/>
                <w:b w:val="0"/>
                <w:sz w:val="21"/>
              </w:rPr>
              <w:t>西樵镇百西村头村</w:t>
            </w:r>
          </w:p>
        </w:tc>
        <w:tc>
          <w:tcPr>
            <w:tcW w:type="dxa" w:w="1511"/>
          </w:tcPr>
          <w:p>
            <w:pPr>
              <w:jc w:val="center"/>
            </w:pPr>
            <w:r/>
            <w:r>
              <w:rPr>
                <w:rFonts w:ascii="Times New Roman" w:hAnsi="Times New Roman" w:eastAsia="宋体"/>
                <w:b w:val="0"/>
                <w:sz w:val="21"/>
              </w:rPr>
              <w:t>村头村</w:t>
            </w:r>
          </w:p>
        </w:tc>
        <w:tc>
          <w:tcPr>
            <w:tcW w:type="dxa" w:w="1511"/>
          </w:tcPr>
          <w:p>
            <w:pPr>
              <w:jc w:val="center"/>
            </w:pPr>
            <w:r/>
            <w:r>
              <w:rPr>
                <w:rFonts w:ascii="Times New Roman" w:hAnsi="Times New Roman" w:eastAsia="宋体"/>
                <w:b w:val="0"/>
                <w:sz w:val="21"/>
              </w:rPr>
              <w:t>69.39</w:t>
            </w:r>
          </w:p>
        </w:tc>
        <w:tc>
          <w:tcPr>
            <w:tcW w:type="dxa" w:w="1511"/>
          </w:tcPr>
          <w:p>
            <w:pPr>
              <w:jc w:val="center"/>
            </w:pPr>
            <w:r/>
            <w:r>
              <w:rPr>
                <w:rFonts w:ascii="Times New Roman" w:hAnsi="Times New Roman" w:eastAsia="宋体"/>
                <w:b w:val="0"/>
                <w:sz w:val="21"/>
              </w:rPr>
              <w:t>75.0</w:t>
            </w:r>
          </w:p>
        </w:tc>
        <w:tc>
          <w:tcPr>
            <w:tcW w:type="dxa" w:w="1511"/>
          </w:tcPr>
          <w:p>
            <w:pPr>
              <w:jc w:val="center"/>
            </w:pPr>
            <w:r/>
            <w:r>
              <w:rPr>
                <w:rFonts w:ascii="Times New Roman" w:hAnsi="Times New Roman" w:eastAsia="宋体"/>
                <w:b w:val="0"/>
                <w:sz w:val="21"/>
              </w:rPr>
              <w:t>9.09</w:t>
            </w:r>
          </w:p>
        </w:tc>
        <w:tc>
          <w:tcPr>
            <w:tcW w:type="dxa" w:w="1511"/>
          </w:tcPr>
          <w:p>
            <w:pPr>
              <w:jc w:val="center"/>
            </w:pPr>
            <w:r/>
            <w:r>
              <w:rPr>
                <w:rFonts w:ascii="Times New Roman" w:hAnsi="Times New Roman" w:eastAsia="宋体"/>
                <w:b w:val="0"/>
                <w:sz w:val="21"/>
              </w:rPr>
              <w:t>−63.11</w:t>
            </w:r>
          </w:p>
        </w:tc>
      </w:tr>
      <w:tr>
        <w:tc>
          <w:tcPr>
            <w:tcW w:type="dxa" w:w="1511"/>
          </w:tcPr>
          <w:p>
            <w:pPr>
              <w:jc w:val="center"/>
            </w:pPr>
            <w:r/>
            <w:r>
              <w:rPr>
                <w:rFonts w:ascii="Times New Roman" w:hAnsi="Times New Roman" w:eastAsia="宋体"/>
                <w:b w:val="0"/>
                <w:sz w:val="21"/>
              </w:rPr>
              <w:t>丹灶镇仙岗村</w:t>
            </w:r>
          </w:p>
        </w:tc>
        <w:tc>
          <w:tcPr>
            <w:tcW w:type="dxa" w:w="1511"/>
          </w:tcPr>
          <w:p>
            <w:pPr>
              <w:jc w:val="center"/>
            </w:pPr>
            <w:r/>
            <w:r>
              <w:rPr>
                <w:rFonts w:ascii="Times New Roman" w:hAnsi="Times New Roman" w:eastAsia="宋体"/>
                <w:b w:val="0"/>
                <w:sz w:val="21"/>
              </w:rPr>
              <w:t>仙岗村</w:t>
            </w:r>
          </w:p>
        </w:tc>
        <w:tc>
          <w:tcPr>
            <w:tcW w:type="dxa" w:w="1511"/>
          </w:tcPr>
          <w:p>
            <w:pPr>
              <w:jc w:val="center"/>
            </w:pPr>
            <w:r/>
            <w:r>
              <w:rPr>
                <w:rFonts w:ascii="Times New Roman" w:hAnsi="Times New Roman" w:eastAsia="宋体"/>
                <w:b w:val="0"/>
                <w:sz w:val="21"/>
              </w:rPr>
              <w:t>57.69</w:t>
            </w:r>
          </w:p>
        </w:tc>
        <w:tc>
          <w:tcPr>
            <w:tcW w:type="dxa" w:w="1511"/>
          </w:tcPr>
          <w:p>
            <w:pPr>
              <w:jc w:val="center"/>
            </w:pPr>
            <w:r/>
            <w:r>
              <w:rPr>
                <w:rFonts w:ascii="Times New Roman" w:hAnsi="Times New Roman" w:eastAsia="宋体"/>
                <w:b w:val="0"/>
                <w:sz w:val="21"/>
              </w:rPr>
              <w:t>75.0</w:t>
            </w:r>
          </w:p>
        </w:tc>
        <w:tc>
          <w:tcPr>
            <w:tcW w:type="dxa" w:w="1511"/>
          </w:tcPr>
          <w:p>
            <w:pPr>
              <w:jc w:val="center"/>
            </w:pPr>
            <w:r/>
            <w:r>
              <w:rPr>
                <w:rFonts w:ascii="Times New Roman" w:hAnsi="Times New Roman" w:eastAsia="宋体"/>
                <w:b w:val="0"/>
                <w:sz w:val="21"/>
              </w:rPr>
              <w:t>5.73</w:t>
            </w:r>
          </w:p>
        </w:tc>
        <w:tc>
          <w:tcPr>
            <w:tcW w:type="dxa" w:w="1511"/>
          </w:tcPr>
          <w:p>
            <w:pPr>
              <w:jc w:val="center"/>
            </w:pPr>
            <w:r/>
            <w:r>
              <w:rPr>
                <w:rFonts w:ascii="Times New Roman" w:hAnsi="Times New Roman" w:eastAsia="宋体"/>
                <w:b w:val="0"/>
                <w:sz w:val="21"/>
              </w:rPr>
              <w:t>−60.61</w:t>
            </w:r>
          </w:p>
        </w:tc>
      </w:tr>
      <w:tr>
        <w:tc>
          <w:tcPr>
            <w:tcW w:type="dxa" w:w="1511"/>
          </w:tcPr>
          <w:p>
            <w:pPr>
              <w:jc w:val="center"/>
            </w:pPr>
            <w:r/>
            <w:r>
              <w:rPr>
                <w:rFonts w:ascii="Times New Roman" w:hAnsi="Times New Roman" w:eastAsia="宋体"/>
                <w:b w:val="0"/>
                <w:sz w:val="21"/>
              </w:rPr>
              <w:t>南海竹编</w:t>
            </w:r>
          </w:p>
        </w:tc>
        <w:tc>
          <w:tcPr>
            <w:tcW w:type="dxa" w:w="1511"/>
          </w:tcPr>
          <w:p>
            <w:pPr>
              <w:jc w:val="center"/>
            </w:pPr>
            <w:r/>
            <w:r>
              <w:rPr>
                <w:rFonts w:ascii="Times New Roman" w:hAnsi="Times New Roman" w:eastAsia="宋体"/>
                <w:b w:val="0"/>
                <w:sz w:val="21"/>
              </w:rPr>
              <w:t>西樵镇</w:t>
            </w:r>
          </w:p>
        </w:tc>
        <w:tc>
          <w:tcPr>
            <w:tcW w:type="dxa" w:w="1511"/>
          </w:tcPr>
          <w:p>
            <w:pPr>
              <w:jc w:val="center"/>
            </w:pPr>
            <w:r/>
            <w:r>
              <w:rPr>
                <w:rFonts w:ascii="Times New Roman" w:hAnsi="Times New Roman" w:eastAsia="宋体"/>
                <w:b w:val="0"/>
                <w:sz w:val="21"/>
              </w:rPr>
              <w:t>69.39</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−59.70</w:t>
            </w:r>
          </w:p>
        </w:tc>
      </w:tr>
    </w:tbl>
    <w:p/>
    <w:p/>
    <w:p>
      <w:pPr>
        <w:spacing w:line="400" w:lineRule="exact" w:before="0" w:after="0"/>
        <w:jc w:val="center"/>
      </w:pPr>
      <w:r>
        <w:rPr>
          <w:rFonts w:ascii="Times New Roman" w:hAnsi="Times New Roman" w:eastAsia="宋体"/>
          <w:b/>
          <w:sz w:val="24"/>
        </w:rPr>
        <w:t>C.2 空心景点区（MI 最正 Top 10）</w:t>
      </w:r>
    </w:p>
    <w:p/>
    <w:tbl>
      <w:tblPr>
        <w:tblStyle w:val="TableGrid"/>
        <w:tblW w:type="auto" w:w="0"/>
        <w:tblLayout w:type="autofit"/>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1"/>
              </w:rPr>
              <w:t>名称</w:t>
            </w:r>
          </w:p>
        </w:tc>
        <w:tc>
          <w:tcPr>
            <w:tcW w:type="dxa" w:w="1511"/>
          </w:tcPr>
          <w:p>
            <w:pPr>
              <w:jc w:val="center"/>
            </w:pPr>
            <w:r/>
            <w:r>
              <w:rPr>
                <w:rFonts w:ascii="Times New Roman" w:hAnsi="Times New Roman" w:eastAsia="宋体"/>
                <w:b/>
                <w:sz w:val="21"/>
              </w:rPr>
              <w:t>镇街</w:t>
            </w:r>
          </w:p>
        </w:tc>
        <w:tc>
          <w:tcPr>
            <w:tcW w:type="dxa" w:w="1511"/>
          </w:tcPr>
          <w:p>
            <w:pPr>
              <w:jc w:val="center"/>
            </w:pPr>
            <w:r/>
            <w:r>
              <w:rPr>
                <w:rFonts w:ascii="Times New Roman" w:hAnsi="Times New Roman" w:eastAsia="宋体"/>
                <w:b/>
                <w:sz w:val="21"/>
              </w:rPr>
              <w:t>CMI</w:t>
            </w:r>
          </w:p>
        </w:tc>
        <w:tc>
          <w:tcPr>
            <w:tcW w:type="dxa" w:w="1511"/>
          </w:tcPr>
          <w:p>
            <w:pPr>
              <w:jc w:val="center"/>
            </w:pPr>
            <w:r/>
            <w:r>
              <w:rPr>
                <w:rFonts w:ascii="Times New Roman" w:hAnsi="Times New Roman" w:eastAsia="宋体"/>
                <w:b/>
                <w:sz w:val="21"/>
              </w:rPr>
              <w:t>OAI</w:t>
            </w:r>
          </w:p>
        </w:tc>
        <w:tc>
          <w:tcPr>
            <w:tcW w:type="dxa" w:w="1511"/>
          </w:tcPr>
          <w:p>
            <w:pPr>
              <w:jc w:val="center"/>
            </w:pPr>
            <w:r/>
            <w:r>
              <w:rPr>
                <w:rFonts w:ascii="Times New Roman" w:hAnsi="Times New Roman" w:eastAsia="宋体"/>
                <w:b/>
                <w:sz w:val="21"/>
              </w:rPr>
              <w:t>THI</w:t>
            </w:r>
          </w:p>
        </w:tc>
        <w:tc>
          <w:tcPr>
            <w:tcW w:type="dxa" w:w="1511"/>
          </w:tcPr>
          <w:p>
            <w:pPr>
              <w:jc w:val="center"/>
            </w:pPr>
            <w:r/>
            <w:r>
              <w:rPr>
                <w:rFonts w:ascii="Times New Roman" w:hAnsi="Times New Roman" w:eastAsia="宋体"/>
                <w:b/>
                <w:sz w:val="21"/>
              </w:rPr>
              <w:t>MI</w:t>
            </w:r>
          </w:p>
        </w:tc>
      </w:tr>
      <w:tr>
        <w:tc>
          <w:tcPr>
            <w:tcW w:type="dxa" w:w="1511"/>
          </w:tcPr>
          <w:p>
            <w:pPr>
              <w:jc w:val="center"/>
            </w:pPr>
            <w:r/>
            <w:r>
              <w:rPr>
                <w:rFonts w:ascii="Times New Roman" w:hAnsi="Times New Roman" w:eastAsia="宋体"/>
                <w:b w:val="0"/>
                <w:sz w:val="21"/>
              </w:rPr>
              <w:t>大伸市</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0.0</w:t>
            </w:r>
          </w:p>
        </w:tc>
        <w:tc>
          <w:tcPr>
            <w:tcW w:type="dxa" w:w="1511"/>
          </w:tcPr>
          <w:p>
            <w:pPr>
              <w:jc w:val="center"/>
            </w:pPr>
            <w:r/>
            <w:r>
              <w:rPr>
                <w:rFonts w:ascii="Times New Roman" w:hAnsi="Times New Roman" w:eastAsia="宋体"/>
                <w:b w:val="0"/>
                <w:sz w:val="21"/>
              </w:rPr>
              <w:t>61.00</w:t>
            </w:r>
          </w:p>
        </w:tc>
        <w:tc>
          <w:tcPr>
            <w:tcW w:type="dxa" w:w="1511"/>
          </w:tcPr>
          <w:p>
            <w:pPr>
              <w:jc w:val="center"/>
            </w:pPr>
            <w:r/>
            <w:r>
              <w:rPr>
                <w:rFonts w:ascii="Times New Roman" w:hAnsi="Times New Roman" w:eastAsia="宋体"/>
                <w:b w:val="0"/>
                <w:sz w:val="21"/>
              </w:rPr>
              <w:t>61.00</w:t>
            </w:r>
          </w:p>
        </w:tc>
      </w:tr>
      <w:tr>
        <w:tc>
          <w:tcPr>
            <w:tcW w:type="dxa" w:w="1511"/>
          </w:tcPr>
          <w:p>
            <w:pPr>
              <w:jc w:val="center"/>
            </w:pPr>
            <w:r/>
            <w:r>
              <w:rPr>
                <w:rFonts w:ascii="Times New Roman" w:hAnsi="Times New Roman" w:eastAsia="宋体"/>
                <w:b w:val="0"/>
                <w:sz w:val="21"/>
              </w:rPr>
              <w:t>光分亭</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77.74</w:t>
            </w:r>
          </w:p>
        </w:tc>
        <w:tc>
          <w:tcPr>
            <w:tcW w:type="dxa" w:w="1511"/>
          </w:tcPr>
          <w:p>
            <w:pPr>
              <w:jc w:val="center"/>
            </w:pPr>
            <w:r/>
            <w:r>
              <w:rPr>
                <w:rFonts w:ascii="Times New Roman" w:hAnsi="Times New Roman" w:eastAsia="宋体"/>
                <w:b w:val="0"/>
                <w:sz w:val="21"/>
              </w:rPr>
              <w:t>52.74</w:t>
            </w:r>
          </w:p>
        </w:tc>
      </w:tr>
      <w:tr>
        <w:tc>
          <w:tcPr>
            <w:tcW w:type="dxa" w:w="1511"/>
          </w:tcPr>
          <w:p>
            <w:pPr>
              <w:jc w:val="center"/>
            </w:pPr>
            <w:r/>
            <w:r>
              <w:rPr>
                <w:rFonts w:ascii="Times New Roman" w:hAnsi="Times New Roman" w:eastAsia="宋体"/>
                <w:b w:val="0"/>
                <w:sz w:val="21"/>
              </w:rPr>
              <w:t>西联村神诞</w:t>
            </w:r>
          </w:p>
        </w:tc>
        <w:tc>
          <w:tcPr>
            <w:tcW w:type="dxa" w:w="1511"/>
          </w:tcPr>
          <w:p>
            <w:pPr>
              <w:jc w:val="center"/>
            </w:pPr>
            <w:r/>
            <w:r>
              <w:rPr>
                <w:rFonts w:ascii="Times New Roman" w:hAnsi="Times New Roman" w:eastAsia="宋体"/>
                <w:b w:val="0"/>
                <w:sz w:val="21"/>
              </w:rPr>
              <w:t>丹灶镇</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25.0</w:t>
            </w:r>
          </w:p>
        </w:tc>
        <w:tc>
          <w:tcPr>
            <w:tcW w:type="dxa" w:w="1511"/>
          </w:tcPr>
          <w:p>
            <w:pPr>
              <w:jc w:val="center"/>
            </w:pPr>
            <w:r/>
            <w:r>
              <w:rPr>
                <w:rFonts w:ascii="Times New Roman" w:hAnsi="Times New Roman" w:eastAsia="宋体"/>
                <w:b w:val="0"/>
                <w:sz w:val="21"/>
              </w:rPr>
              <w:t>57.88</w:t>
            </w:r>
          </w:p>
        </w:tc>
        <w:tc>
          <w:tcPr>
            <w:tcW w:type="dxa" w:w="1511"/>
          </w:tcPr>
          <w:p>
            <w:pPr>
              <w:jc w:val="center"/>
            </w:pPr>
            <w:r/>
            <w:r>
              <w:rPr>
                <w:rFonts w:ascii="Times New Roman" w:hAnsi="Times New Roman" w:eastAsia="宋体"/>
                <w:b w:val="0"/>
                <w:sz w:val="21"/>
              </w:rPr>
              <w:t>45.38</w:t>
            </w:r>
          </w:p>
        </w:tc>
      </w:tr>
      <w:tr>
        <w:tc>
          <w:tcPr>
            <w:tcW w:type="dxa" w:w="1511"/>
          </w:tcPr>
          <w:p>
            <w:pPr>
              <w:jc w:val="center"/>
            </w:pPr>
            <w:r/>
            <w:r>
              <w:rPr>
                <w:rFonts w:ascii="Times New Roman" w:hAnsi="Times New Roman" w:eastAsia="宋体"/>
                <w:b w:val="0"/>
                <w:sz w:val="21"/>
              </w:rPr>
              <w:t>唢呐制作技艺</w:t>
            </w:r>
          </w:p>
        </w:tc>
        <w:tc>
          <w:tcPr>
            <w:tcW w:type="dxa" w:w="1511"/>
          </w:tcPr>
          <w:p>
            <w:pPr>
              <w:jc w:val="center"/>
            </w:pPr>
            <w:r/>
            <w:r>
              <w:rPr>
                <w:rFonts w:ascii="Times New Roman" w:hAnsi="Times New Roman" w:eastAsia="宋体"/>
                <w:b w:val="0"/>
                <w:sz w:val="21"/>
              </w:rPr>
              <w:t>桂城街道</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68.81</w:t>
            </w:r>
          </w:p>
        </w:tc>
        <w:tc>
          <w:tcPr>
            <w:tcW w:type="dxa" w:w="1511"/>
          </w:tcPr>
          <w:p>
            <w:pPr>
              <w:jc w:val="center"/>
            </w:pPr>
            <w:r/>
            <w:r>
              <w:rPr>
                <w:rFonts w:ascii="Times New Roman" w:hAnsi="Times New Roman" w:eastAsia="宋体"/>
                <w:b w:val="0"/>
                <w:sz w:val="21"/>
              </w:rPr>
              <w:t>43.81</w:t>
            </w:r>
          </w:p>
        </w:tc>
      </w:tr>
      <w:tr>
        <w:tc>
          <w:tcPr>
            <w:tcW w:type="dxa" w:w="1511"/>
          </w:tcPr>
          <w:p>
            <w:pPr>
              <w:jc w:val="center"/>
            </w:pPr>
            <w:r/>
            <w:r>
              <w:rPr>
                <w:rFonts w:ascii="Times New Roman" w:hAnsi="Times New Roman" w:eastAsia="宋体"/>
                <w:b w:val="0"/>
                <w:sz w:val="21"/>
              </w:rPr>
              <w:t>南海农谚</w:t>
            </w:r>
          </w:p>
        </w:tc>
        <w:tc>
          <w:tcPr>
            <w:tcW w:type="dxa" w:w="1511"/>
          </w:tcPr>
          <w:p>
            <w:pPr>
              <w:jc w:val="center"/>
            </w:pPr>
            <w:r/>
            <w:r>
              <w:rPr>
                <w:rFonts w:ascii="Times New Roman" w:hAnsi="Times New Roman" w:eastAsia="宋体"/>
                <w:b w:val="0"/>
                <w:sz w:val="21"/>
              </w:rPr>
              <w:t>西樵镇</w:t>
            </w:r>
          </w:p>
        </w:tc>
        <w:tc>
          <w:tcPr>
            <w:tcW w:type="dxa" w:w="1511"/>
          </w:tcPr>
          <w:p>
            <w:pPr>
              <w:jc w:val="center"/>
            </w:pPr>
            <w:r/>
            <w:r>
              <w:rPr>
                <w:rFonts w:ascii="Times New Roman" w:hAnsi="Times New Roman" w:eastAsia="宋体"/>
                <w:b w:val="0"/>
                <w:sz w:val="21"/>
              </w:rPr>
              <w:t>69.39</w:t>
            </w:r>
          </w:p>
        </w:tc>
        <w:tc>
          <w:tcPr>
            <w:tcW w:type="dxa" w:w="1511"/>
          </w:tcPr>
          <w:p>
            <w:pPr>
              <w:jc w:val="center"/>
            </w:pPr>
            <w:r/>
            <w:r>
              <w:rPr>
                <w:rFonts w:ascii="Times New Roman" w:hAnsi="Times New Roman" w:eastAsia="宋体"/>
                <w:b w:val="0"/>
                <w:sz w:val="21"/>
              </w:rPr>
              <w:t>25.0</w:t>
            </w:r>
          </w:p>
        </w:tc>
        <w:tc>
          <w:tcPr>
            <w:tcW w:type="dxa" w:w="1511"/>
          </w:tcPr>
          <w:p>
            <w:pPr>
              <w:jc w:val="center"/>
            </w:pPr>
            <w:r/>
            <w:r>
              <w:rPr>
                <w:rFonts w:ascii="Times New Roman" w:hAnsi="Times New Roman" w:eastAsia="宋体"/>
                <w:b w:val="0"/>
                <w:sz w:val="21"/>
              </w:rPr>
              <w:t>90.88</w:t>
            </w:r>
          </w:p>
        </w:tc>
        <w:tc>
          <w:tcPr>
            <w:tcW w:type="dxa" w:w="1511"/>
          </w:tcPr>
          <w:p>
            <w:pPr>
              <w:jc w:val="center"/>
            </w:pPr>
            <w:r/>
            <w:r>
              <w:rPr>
                <w:rFonts w:ascii="Times New Roman" w:hAnsi="Times New Roman" w:eastAsia="宋体"/>
                <w:b w:val="0"/>
                <w:sz w:val="21"/>
              </w:rPr>
              <w:t>43.68</w:t>
            </w:r>
          </w:p>
        </w:tc>
      </w:tr>
      <w:tr>
        <w:tc>
          <w:tcPr>
            <w:tcW w:type="dxa" w:w="1511"/>
          </w:tcPr>
          <w:p>
            <w:pPr>
              <w:jc w:val="center"/>
            </w:pPr>
            <w:r/>
            <w:r>
              <w:rPr>
                <w:rFonts w:ascii="Times New Roman" w:hAnsi="Times New Roman" w:eastAsia="宋体"/>
                <w:b w:val="0"/>
                <w:sz w:val="21"/>
              </w:rPr>
              <w:t>沙基圩</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9.48</w:t>
            </w:r>
          </w:p>
        </w:tc>
        <w:tc>
          <w:tcPr>
            <w:tcW w:type="dxa" w:w="1511"/>
          </w:tcPr>
          <w:p>
            <w:pPr>
              <w:jc w:val="center"/>
            </w:pPr>
            <w:r/>
            <w:r>
              <w:rPr>
                <w:rFonts w:ascii="Times New Roman" w:hAnsi="Times New Roman" w:eastAsia="宋体"/>
                <w:b w:val="0"/>
                <w:sz w:val="21"/>
              </w:rPr>
              <w:t>0.0</w:t>
            </w:r>
          </w:p>
        </w:tc>
        <w:tc>
          <w:tcPr>
            <w:tcW w:type="dxa" w:w="1511"/>
          </w:tcPr>
          <w:p>
            <w:pPr>
              <w:jc w:val="center"/>
            </w:pPr>
            <w:r/>
            <w:r>
              <w:rPr>
                <w:rFonts w:ascii="Times New Roman" w:hAnsi="Times New Roman" w:eastAsia="宋体"/>
                <w:b w:val="0"/>
                <w:sz w:val="21"/>
              </w:rPr>
              <w:t>46.77</w:t>
            </w:r>
          </w:p>
        </w:tc>
        <w:tc>
          <w:tcPr>
            <w:tcW w:type="dxa" w:w="1511"/>
          </w:tcPr>
          <w:p>
            <w:pPr>
              <w:jc w:val="center"/>
            </w:pPr>
            <w:r/>
            <w:r>
              <w:rPr>
                <w:rFonts w:ascii="Times New Roman" w:hAnsi="Times New Roman" w:eastAsia="宋体"/>
                <w:b w:val="0"/>
                <w:sz w:val="21"/>
              </w:rPr>
              <w:t>42.03</w:t>
            </w:r>
          </w:p>
        </w:tc>
      </w:tr>
      <w:tr>
        <w:tc>
          <w:tcPr>
            <w:tcW w:type="dxa" w:w="1511"/>
          </w:tcPr>
          <w:p>
            <w:pPr>
              <w:jc w:val="center"/>
            </w:pPr>
            <w:r/>
            <w:r>
              <w:rPr>
                <w:rFonts w:ascii="Times New Roman" w:hAnsi="Times New Roman" w:eastAsia="宋体"/>
                <w:b w:val="0"/>
                <w:sz w:val="21"/>
              </w:rPr>
              <w:t>枕流亭</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18.95</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74.96</w:t>
            </w:r>
          </w:p>
        </w:tc>
        <w:tc>
          <w:tcPr>
            <w:tcW w:type="dxa" w:w="1511"/>
          </w:tcPr>
          <w:p>
            <w:pPr>
              <w:jc w:val="center"/>
            </w:pPr>
            <w:r/>
            <w:r>
              <w:rPr>
                <w:rFonts w:ascii="Times New Roman" w:hAnsi="Times New Roman" w:eastAsia="宋体"/>
                <w:b w:val="0"/>
                <w:sz w:val="21"/>
              </w:rPr>
              <w:t>40.48</w:t>
            </w:r>
          </w:p>
        </w:tc>
      </w:tr>
      <w:tr>
        <w:tc>
          <w:tcPr>
            <w:tcW w:type="dxa" w:w="1511"/>
          </w:tcPr>
          <w:p>
            <w:pPr>
              <w:jc w:val="center"/>
            </w:pPr>
            <w:r/>
            <w:r>
              <w:rPr>
                <w:rFonts w:ascii="Times New Roman" w:hAnsi="Times New Roman" w:eastAsia="宋体"/>
                <w:b w:val="0"/>
                <w:sz w:val="21"/>
              </w:rPr>
              <w:t>象林塔</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75.0</w:t>
            </w:r>
          </w:p>
        </w:tc>
        <w:tc>
          <w:tcPr>
            <w:tcW w:type="dxa" w:w="1511"/>
          </w:tcPr>
          <w:p>
            <w:pPr>
              <w:jc w:val="center"/>
            </w:pPr>
            <w:r/>
            <w:r>
              <w:rPr>
                <w:rFonts w:ascii="Times New Roman" w:hAnsi="Times New Roman" w:eastAsia="宋体"/>
                <w:b w:val="0"/>
                <w:sz w:val="21"/>
              </w:rPr>
              <w:t>77.53</w:t>
            </w:r>
          </w:p>
        </w:tc>
        <w:tc>
          <w:tcPr>
            <w:tcW w:type="dxa" w:w="1511"/>
          </w:tcPr>
          <w:p>
            <w:pPr>
              <w:jc w:val="center"/>
            </w:pPr>
            <w:r/>
            <w:r>
              <w:rPr>
                <w:rFonts w:ascii="Times New Roman" w:hAnsi="Times New Roman" w:eastAsia="宋体"/>
                <w:b w:val="0"/>
                <w:sz w:val="21"/>
              </w:rPr>
              <w:t>40.03</w:t>
            </w:r>
          </w:p>
        </w:tc>
      </w:tr>
      <w:tr>
        <w:tc>
          <w:tcPr>
            <w:tcW w:type="dxa" w:w="1511"/>
          </w:tcPr>
          <w:p>
            <w:pPr>
              <w:jc w:val="center"/>
            </w:pPr>
            <w:r/>
            <w:r>
              <w:rPr>
                <w:rFonts w:ascii="Times New Roman" w:hAnsi="Times New Roman" w:eastAsia="宋体"/>
                <w:b w:val="0"/>
                <w:sz w:val="21"/>
              </w:rPr>
              <w:t>湖山胜迹门楼</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24.50</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75.88</w:t>
            </w:r>
          </w:p>
        </w:tc>
        <w:tc>
          <w:tcPr>
            <w:tcW w:type="dxa" w:w="1511"/>
          </w:tcPr>
          <w:p>
            <w:pPr>
              <w:jc w:val="center"/>
            </w:pPr>
            <w:r/>
            <w:r>
              <w:rPr>
                <w:rFonts w:ascii="Times New Roman" w:hAnsi="Times New Roman" w:eastAsia="宋体"/>
                <w:b w:val="0"/>
                <w:sz w:val="21"/>
              </w:rPr>
              <w:t>38.63</w:t>
            </w:r>
          </w:p>
        </w:tc>
      </w:tr>
      <w:tr>
        <w:tc>
          <w:tcPr>
            <w:tcW w:type="dxa" w:w="1511"/>
          </w:tcPr>
          <w:p>
            <w:pPr>
              <w:jc w:val="center"/>
            </w:pPr>
            <w:r/>
            <w:r>
              <w:rPr>
                <w:rFonts w:ascii="Times New Roman" w:hAnsi="Times New Roman" w:eastAsia="宋体"/>
                <w:b w:val="0"/>
                <w:sz w:val="21"/>
              </w:rPr>
              <w:t>小云亭</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26.61</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75.26</w:t>
            </w:r>
          </w:p>
        </w:tc>
        <w:tc>
          <w:tcPr>
            <w:tcW w:type="dxa" w:w="1511"/>
          </w:tcPr>
          <w:p>
            <w:pPr>
              <w:jc w:val="center"/>
            </w:pPr>
            <w:r/>
            <w:r>
              <w:rPr>
                <w:rFonts w:ascii="Times New Roman" w:hAnsi="Times New Roman" w:eastAsia="宋体"/>
                <w:b w:val="0"/>
                <w:sz w:val="21"/>
              </w:rPr>
              <w:t>36.95</w:t>
            </w:r>
          </w:p>
        </w:tc>
      </w:tr>
    </w:tbl>
    <w:p/>
    <w:p/>
    <w:p>
      <w:pPr>
        <w:spacing w:line="400" w:lineRule="exact" w:before="0" w:after="0"/>
        <w:jc w:val="center"/>
      </w:pPr>
      <w:r>
        <w:rPr>
          <w:rFonts w:ascii="Times New Roman" w:hAnsi="Times New Roman" w:eastAsia="宋体"/>
          <w:b/>
          <w:sz w:val="24"/>
        </w:rPr>
        <w:t>C.3 核心耦合区（|MI| 最小 Top 10）</w:t>
      </w:r>
    </w:p>
    <w:p/>
    <w:tbl>
      <w:tblPr>
        <w:tblStyle w:val="TableGrid"/>
        <w:tblW w:type="auto" w:w="0"/>
        <w:tblLayout w:type="autofit"/>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
              <w:rPr>
                <w:rFonts w:ascii="Times New Roman" w:hAnsi="Times New Roman" w:eastAsia="宋体"/>
                <w:b/>
                <w:sz w:val="21"/>
              </w:rPr>
              <w:t>名称</w:t>
            </w:r>
          </w:p>
        </w:tc>
        <w:tc>
          <w:tcPr>
            <w:tcW w:type="dxa" w:w="1511"/>
          </w:tcPr>
          <w:p>
            <w:pPr>
              <w:jc w:val="center"/>
            </w:pPr>
            <w:r/>
            <w:r>
              <w:rPr>
                <w:rFonts w:ascii="Times New Roman" w:hAnsi="Times New Roman" w:eastAsia="宋体"/>
                <w:b/>
                <w:sz w:val="21"/>
              </w:rPr>
              <w:t>镇街</w:t>
            </w:r>
          </w:p>
        </w:tc>
        <w:tc>
          <w:tcPr>
            <w:tcW w:type="dxa" w:w="1511"/>
          </w:tcPr>
          <w:p>
            <w:pPr>
              <w:jc w:val="center"/>
            </w:pPr>
            <w:r/>
            <w:r>
              <w:rPr>
                <w:rFonts w:ascii="Times New Roman" w:hAnsi="Times New Roman" w:eastAsia="宋体"/>
                <w:b/>
                <w:sz w:val="21"/>
              </w:rPr>
              <w:t>CMI</w:t>
            </w:r>
          </w:p>
        </w:tc>
        <w:tc>
          <w:tcPr>
            <w:tcW w:type="dxa" w:w="1511"/>
          </w:tcPr>
          <w:p>
            <w:pPr>
              <w:jc w:val="center"/>
            </w:pPr>
            <w:r/>
            <w:r>
              <w:rPr>
                <w:rFonts w:ascii="Times New Roman" w:hAnsi="Times New Roman" w:eastAsia="宋体"/>
                <w:b/>
                <w:sz w:val="21"/>
              </w:rPr>
              <w:t>OAI</w:t>
            </w:r>
          </w:p>
        </w:tc>
        <w:tc>
          <w:tcPr>
            <w:tcW w:type="dxa" w:w="1511"/>
          </w:tcPr>
          <w:p>
            <w:pPr>
              <w:jc w:val="center"/>
            </w:pPr>
            <w:r/>
            <w:r>
              <w:rPr>
                <w:rFonts w:ascii="Times New Roman" w:hAnsi="Times New Roman" w:eastAsia="宋体"/>
                <w:b/>
                <w:sz w:val="21"/>
              </w:rPr>
              <w:t>THI</w:t>
            </w:r>
          </w:p>
        </w:tc>
        <w:tc>
          <w:tcPr>
            <w:tcW w:type="dxa" w:w="1511"/>
          </w:tcPr>
          <w:p>
            <w:pPr>
              <w:jc w:val="center"/>
            </w:pPr>
            <w:r/>
            <w:r>
              <w:rPr>
                <w:rFonts w:ascii="Times New Roman" w:hAnsi="Times New Roman" w:eastAsia="宋体"/>
                <w:b/>
                <w:sz w:val="21"/>
              </w:rPr>
              <w:t>MI</w:t>
            </w:r>
          </w:p>
        </w:tc>
      </w:tr>
      <w:tr>
        <w:tc>
          <w:tcPr>
            <w:tcW w:type="dxa" w:w="1511"/>
          </w:tcPr>
          <w:p>
            <w:pPr>
              <w:jc w:val="center"/>
            </w:pPr>
            <w:r/>
            <w:r>
              <w:rPr>
                <w:rFonts w:ascii="Times New Roman" w:hAnsi="Times New Roman" w:eastAsia="宋体"/>
                <w:b w:val="0"/>
                <w:sz w:val="21"/>
              </w:rPr>
              <w:t>风水百足桥</w:t>
            </w:r>
          </w:p>
        </w:tc>
        <w:tc>
          <w:tcPr>
            <w:tcW w:type="dxa" w:w="1511"/>
          </w:tcPr>
          <w:p>
            <w:pPr>
              <w:jc w:val="center"/>
            </w:pPr>
            <w:r/>
            <w:r>
              <w:rPr>
                <w:rFonts w:ascii="Times New Roman" w:hAnsi="Times New Roman" w:eastAsia="宋体"/>
                <w:b w:val="0"/>
                <w:sz w:val="21"/>
              </w:rPr>
              <w:t>九江镇</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0.0</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0.00</w:t>
            </w:r>
          </w:p>
        </w:tc>
      </w:tr>
      <w:tr>
        <w:tc>
          <w:tcPr>
            <w:tcW w:type="dxa" w:w="1511"/>
          </w:tcPr>
          <w:p>
            <w:pPr>
              <w:jc w:val="center"/>
            </w:pPr>
            <w:r/>
            <w:r>
              <w:rPr>
                <w:rFonts w:ascii="Times New Roman" w:hAnsi="Times New Roman" w:eastAsia="宋体"/>
                <w:b w:val="0"/>
                <w:sz w:val="21"/>
              </w:rPr>
              <w:t>四峰书院遗址</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37.91</w:t>
            </w:r>
          </w:p>
        </w:tc>
        <w:tc>
          <w:tcPr>
            <w:tcW w:type="dxa" w:w="1511"/>
          </w:tcPr>
          <w:p>
            <w:pPr>
              <w:jc w:val="center"/>
            </w:pPr>
            <w:r/>
            <w:r>
              <w:rPr>
                <w:rFonts w:ascii="Times New Roman" w:hAnsi="Times New Roman" w:eastAsia="宋体"/>
                <w:b w:val="0"/>
                <w:sz w:val="21"/>
              </w:rPr>
              <w:t>75.0</w:t>
            </w:r>
          </w:p>
        </w:tc>
        <w:tc>
          <w:tcPr>
            <w:tcW w:type="dxa" w:w="1511"/>
          </w:tcPr>
          <w:p>
            <w:pPr>
              <w:jc w:val="center"/>
            </w:pPr>
            <w:r/>
            <w:r>
              <w:rPr>
                <w:rFonts w:ascii="Times New Roman" w:hAnsi="Times New Roman" w:eastAsia="宋体"/>
                <w:b w:val="0"/>
                <w:sz w:val="21"/>
              </w:rPr>
              <w:t>56.72</w:t>
            </w:r>
          </w:p>
        </w:tc>
        <w:tc>
          <w:tcPr>
            <w:tcW w:type="dxa" w:w="1511"/>
          </w:tcPr>
          <w:p>
            <w:pPr>
              <w:jc w:val="center"/>
            </w:pPr>
            <w:r/>
            <w:r>
              <w:rPr>
                <w:rFonts w:ascii="Times New Roman" w:hAnsi="Times New Roman" w:eastAsia="宋体"/>
                <w:b w:val="0"/>
                <w:sz w:val="21"/>
              </w:rPr>
              <w:t>0.26</w:t>
            </w:r>
          </w:p>
        </w:tc>
      </w:tr>
      <w:tr>
        <w:tc>
          <w:tcPr>
            <w:tcW w:type="dxa" w:w="1511"/>
          </w:tcPr>
          <w:p>
            <w:pPr>
              <w:jc w:val="center"/>
            </w:pPr>
            <w:r/>
            <w:r>
              <w:rPr>
                <w:rFonts w:ascii="Times New Roman" w:hAnsi="Times New Roman" w:eastAsia="宋体"/>
                <w:b w:val="0"/>
                <w:sz w:val="21"/>
              </w:rPr>
              <w:t>慈悲宫牌坊</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30.04</w:t>
            </w:r>
          </w:p>
        </w:tc>
        <w:tc>
          <w:tcPr>
            <w:tcW w:type="dxa" w:w="1511"/>
          </w:tcPr>
          <w:p>
            <w:pPr>
              <w:jc w:val="center"/>
            </w:pPr>
            <w:r/>
            <w:r>
              <w:rPr>
                <w:rFonts w:ascii="Times New Roman" w:hAnsi="Times New Roman" w:eastAsia="宋体"/>
                <w:b w:val="0"/>
                <w:sz w:val="21"/>
              </w:rPr>
              <w:t>75.0</w:t>
            </w:r>
          </w:p>
        </w:tc>
        <w:tc>
          <w:tcPr>
            <w:tcW w:type="dxa" w:w="1511"/>
          </w:tcPr>
          <w:p>
            <w:pPr>
              <w:jc w:val="center"/>
            </w:pPr>
            <w:r/>
            <w:r>
              <w:rPr>
                <w:rFonts w:ascii="Times New Roman" w:hAnsi="Times New Roman" w:eastAsia="宋体"/>
                <w:b w:val="0"/>
                <w:sz w:val="21"/>
              </w:rPr>
              <w:t>53.36</w:t>
            </w:r>
          </w:p>
        </w:tc>
        <w:tc>
          <w:tcPr>
            <w:tcW w:type="dxa" w:w="1511"/>
          </w:tcPr>
          <w:p>
            <w:pPr>
              <w:jc w:val="center"/>
            </w:pPr>
            <w:r/>
            <w:r>
              <w:rPr>
                <w:rFonts w:ascii="Times New Roman" w:hAnsi="Times New Roman" w:eastAsia="宋体"/>
                <w:b w:val="0"/>
                <w:sz w:val="21"/>
              </w:rPr>
              <w:t>0.83</w:t>
            </w:r>
          </w:p>
        </w:tc>
      </w:tr>
      <w:tr>
        <w:tc>
          <w:tcPr>
            <w:tcW w:type="dxa" w:w="1511"/>
          </w:tcPr>
          <w:p>
            <w:pPr>
              <w:jc w:val="center"/>
            </w:pPr>
            <w:r/>
            <w:r>
              <w:rPr>
                <w:rFonts w:ascii="Times New Roman" w:hAnsi="Times New Roman" w:eastAsia="宋体"/>
                <w:b w:val="0"/>
                <w:sz w:val="21"/>
              </w:rPr>
              <w:t>丹灶葛洪炼丹传说</w:t>
            </w:r>
          </w:p>
        </w:tc>
        <w:tc>
          <w:tcPr>
            <w:tcW w:type="dxa" w:w="1511"/>
          </w:tcPr>
          <w:p>
            <w:pPr>
              <w:jc w:val="center"/>
            </w:pPr>
            <w:r/>
            <w:r>
              <w:rPr>
                <w:rFonts w:ascii="Times New Roman" w:hAnsi="Times New Roman" w:eastAsia="宋体"/>
                <w:b w:val="0"/>
                <w:sz w:val="21"/>
              </w:rPr>
              <w:t>丹灶镇</w:t>
            </w:r>
          </w:p>
        </w:tc>
        <w:tc>
          <w:tcPr>
            <w:tcW w:type="dxa" w:w="1511"/>
          </w:tcPr>
          <w:p>
            <w:pPr>
              <w:jc w:val="center"/>
            </w:pPr>
            <w:r/>
            <w:r>
              <w:rPr>
                <w:rFonts w:ascii="Times New Roman" w:hAnsi="Times New Roman" w:eastAsia="宋体"/>
                <w:b w:val="0"/>
                <w:sz w:val="21"/>
              </w:rPr>
              <w:t>54.02</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52.84</w:t>
            </w:r>
          </w:p>
        </w:tc>
        <w:tc>
          <w:tcPr>
            <w:tcW w:type="dxa" w:w="1511"/>
          </w:tcPr>
          <w:p>
            <w:pPr>
              <w:jc w:val="center"/>
            </w:pPr>
            <w:r/>
            <w:r>
              <w:rPr>
                <w:rFonts w:ascii="Times New Roman" w:hAnsi="Times New Roman" w:eastAsia="宋体"/>
                <w:b w:val="0"/>
                <w:sz w:val="21"/>
              </w:rPr>
              <w:t>0.83</w:t>
            </w:r>
          </w:p>
        </w:tc>
      </w:tr>
      <w:tr>
        <w:tc>
          <w:tcPr>
            <w:tcW w:type="dxa" w:w="1511"/>
          </w:tcPr>
          <w:p>
            <w:pPr>
              <w:jc w:val="center"/>
            </w:pPr>
            <w:r/>
            <w:r>
              <w:rPr>
                <w:rFonts w:ascii="Times New Roman" w:hAnsi="Times New Roman" w:eastAsia="宋体"/>
                <w:b w:val="0"/>
                <w:sz w:val="21"/>
              </w:rPr>
              <w:t>火石迳遗址</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75.0</w:t>
            </w:r>
          </w:p>
        </w:tc>
        <w:tc>
          <w:tcPr>
            <w:tcW w:type="dxa" w:w="1511"/>
          </w:tcPr>
          <w:p>
            <w:pPr>
              <w:jc w:val="center"/>
            </w:pPr>
            <w:r/>
            <w:r>
              <w:rPr>
                <w:rFonts w:ascii="Times New Roman" w:hAnsi="Times New Roman" w:eastAsia="宋体"/>
                <w:b w:val="0"/>
                <w:sz w:val="21"/>
              </w:rPr>
              <w:t>38.34</w:t>
            </w:r>
          </w:p>
        </w:tc>
        <w:tc>
          <w:tcPr>
            <w:tcW w:type="dxa" w:w="1511"/>
          </w:tcPr>
          <w:p>
            <w:pPr>
              <w:jc w:val="center"/>
            </w:pPr>
            <w:r/>
            <w:r>
              <w:rPr>
                <w:rFonts w:ascii="Times New Roman" w:hAnsi="Times New Roman" w:eastAsia="宋体"/>
                <w:b w:val="0"/>
                <w:sz w:val="21"/>
              </w:rPr>
              <w:t>0.84</w:t>
            </w:r>
          </w:p>
        </w:tc>
      </w:tr>
      <w:tr>
        <w:tc>
          <w:tcPr>
            <w:tcW w:type="dxa" w:w="1511"/>
          </w:tcPr>
          <w:p>
            <w:pPr>
              <w:jc w:val="center"/>
            </w:pPr>
            <w:r/>
            <w:r>
              <w:rPr>
                <w:rFonts w:ascii="Times New Roman" w:hAnsi="Times New Roman" w:eastAsia="宋体"/>
                <w:b w:val="0"/>
                <w:sz w:val="21"/>
              </w:rPr>
              <w:t>沙水翰林步头</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0.00</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23.91</w:t>
            </w:r>
          </w:p>
        </w:tc>
        <w:tc>
          <w:tcPr>
            <w:tcW w:type="dxa" w:w="1511"/>
          </w:tcPr>
          <w:p>
            <w:pPr>
              <w:jc w:val="center"/>
            </w:pPr>
            <w:r/>
            <w:r>
              <w:rPr>
                <w:rFonts w:ascii="Times New Roman" w:hAnsi="Times New Roman" w:eastAsia="宋体"/>
                <w:b w:val="0"/>
                <w:sz w:val="21"/>
              </w:rPr>
              <w:t>−1.09</w:t>
            </w:r>
          </w:p>
        </w:tc>
      </w:tr>
      <w:tr>
        <w:tc>
          <w:tcPr>
            <w:tcW w:type="dxa" w:w="1511"/>
          </w:tcPr>
          <w:p>
            <w:pPr>
              <w:jc w:val="center"/>
            </w:pPr>
            <w:r/>
            <w:r>
              <w:rPr>
                <w:rFonts w:ascii="Times New Roman" w:hAnsi="Times New Roman" w:eastAsia="宋体"/>
                <w:b w:val="0"/>
                <w:sz w:val="21"/>
              </w:rPr>
              <w:t>西樵山传说</w:t>
            </w:r>
          </w:p>
        </w:tc>
        <w:tc>
          <w:tcPr>
            <w:tcW w:type="dxa" w:w="1511"/>
          </w:tcPr>
          <w:p>
            <w:pPr>
              <w:jc w:val="center"/>
            </w:pPr>
            <w:r/>
            <w:r>
              <w:rPr>
                <w:rFonts w:ascii="Times New Roman" w:hAnsi="Times New Roman" w:eastAsia="宋体"/>
                <w:b w:val="0"/>
                <w:sz w:val="21"/>
              </w:rPr>
              <w:t>西樵镇</w:t>
            </w:r>
          </w:p>
        </w:tc>
        <w:tc>
          <w:tcPr>
            <w:tcW w:type="dxa" w:w="1511"/>
          </w:tcPr>
          <w:p>
            <w:pPr>
              <w:jc w:val="center"/>
            </w:pPr>
            <w:r/>
            <w:r>
              <w:rPr>
                <w:rFonts w:ascii="Times New Roman" w:hAnsi="Times New Roman" w:eastAsia="宋体"/>
                <w:b w:val="0"/>
                <w:sz w:val="21"/>
              </w:rPr>
              <w:t>91.60</w:t>
            </w:r>
          </w:p>
        </w:tc>
        <w:tc>
          <w:tcPr>
            <w:tcW w:type="dxa" w:w="1511"/>
          </w:tcPr>
          <w:p>
            <w:pPr>
              <w:jc w:val="center"/>
            </w:pPr>
            <w:r/>
            <w:r>
              <w:rPr>
                <w:rFonts w:ascii="Times New Roman" w:hAnsi="Times New Roman" w:eastAsia="宋体"/>
                <w:b w:val="0"/>
                <w:sz w:val="21"/>
              </w:rPr>
              <w:t>25.0</w:t>
            </w:r>
          </w:p>
        </w:tc>
        <w:tc>
          <w:tcPr>
            <w:tcW w:type="dxa" w:w="1511"/>
          </w:tcPr>
          <w:p>
            <w:pPr>
              <w:jc w:val="center"/>
            </w:pPr>
            <w:r/>
            <w:r>
              <w:rPr>
                <w:rFonts w:ascii="Times New Roman" w:hAnsi="Times New Roman" w:eastAsia="宋体"/>
                <w:b w:val="0"/>
                <w:sz w:val="21"/>
              </w:rPr>
              <w:t>60.05</w:t>
            </w:r>
          </w:p>
        </w:tc>
        <w:tc>
          <w:tcPr>
            <w:tcW w:type="dxa" w:w="1511"/>
          </w:tcPr>
          <w:p>
            <w:pPr>
              <w:jc w:val="center"/>
            </w:pPr>
            <w:r/>
            <w:r>
              <w:rPr>
                <w:rFonts w:ascii="Times New Roman" w:hAnsi="Times New Roman" w:eastAsia="宋体"/>
                <w:b w:val="0"/>
                <w:sz w:val="21"/>
              </w:rPr>
              <w:t>1.75</w:t>
            </w:r>
          </w:p>
        </w:tc>
      </w:tr>
      <w:tr>
        <w:tc>
          <w:tcPr>
            <w:tcW w:type="dxa" w:w="1511"/>
          </w:tcPr>
          <w:p>
            <w:pPr>
              <w:jc w:val="center"/>
            </w:pPr>
            <w:r/>
            <w:r>
              <w:rPr>
                <w:rFonts w:ascii="Times New Roman" w:hAnsi="Times New Roman" w:eastAsia="宋体"/>
                <w:b w:val="0"/>
                <w:sz w:val="21"/>
              </w:rPr>
              <w:t>绮亭陈公祠</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35.07</w:t>
            </w:r>
          </w:p>
        </w:tc>
        <w:tc>
          <w:tcPr>
            <w:tcW w:type="dxa" w:w="1511"/>
          </w:tcPr>
          <w:p>
            <w:pPr>
              <w:jc w:val="center"/>
            </w:pPr>
            <w:r/>
            <w:r>
              <w:rPr>
                <w:rFonts w:ascii="Times New Roman" w:hAnsi="Times New Roman" w:eastAsia="宋体"/>
                <w:b w:val="0"/>
                <w:sz w:val="21"/>
              </w:rPr>
              <w:t>75.0</w:t>
            </w:r>
          </w:p>
        </w:tc>
        <w:tc>
          <w:tcPr>
            <w:tcW w:type="dxa" w:w="1511"/>
          </w:tcPr>
          <w:p>
            <w:pPr>
              <w:jc w:val="center"/>
            </w:pPr>
            <w:r/>
            <w:r>
              <w:rPr>
                <w:rFonts w:ascii="Times New Roman" w:hAnsi="Times New Roman" w:eastAsia="宋体"/>
                <w:b w:val="0"/>
                <w:sz w:val="21"/>
              </w:rPr>
              <w:t>56.78</w:t>
            </w:r>
          </w:p>
        </w:tc>
        <w:tc>
          <w:tcPr>
            <w:tcW w:type="dxa" w:w="1511"/>
          </w:tcPr>
          <w:p>
            <w:pPr>
              <w:jc w:val="center"/>
            </w:pPr>
            <w:r/>
            <w:r>
              <w:rPr>
                <w:rFonts w:ascii="Times New Roman" w:hAnsi="Times New Roman" w:eastAsia="宋体"/>
                <w:b w:val="0"/>
                <w:sz w:val="21"/>
              </w:rPr>
              <w:t>1.75</w:t>
            </w:r>
          </w:p>
        </w:tc>
      </w:tr>
      <w:tr>
        <w:tc>
          <w:tcPr>
            <w:tcW w:type="dxa" w:w="1511"/>
          </w:tcPr>
          <w:p>
            <w:pPr>
              <w:jc w:val="center"/>
            </w:pPr>
            <w:r/>
            <w:r>
              <w:rPr>
                <w:rFonts w:ascii="Times New Roman" w:hAnsi="Times New Roman" w:eastAsia="宋体"/>
                <w:b w:val="0"/>
                <w:sz w:val="21"/>
              </w:rPr>
              <w:t>西城市</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32.79</w:t>
            </w:r>
          </w:p>
        </w:tc>
        <w:tc>
          <w:tcPr>
            <w:tcW w:type="dxa" w:w="1511"/>
          </w:tcPr>
          <w:p>
            <w:pPr>
              <w:jc w:val="center"/>
            </w:pPr>
            <w:r/>
            <w:r>
              <w:rPr>
                <w:rFonts w:ascii="Times New Roman" w:hAnsi="Times New Roman" w:eastAsia="宋体"/>
                <w:b w:val="0"/>
                <w:sz w:val="21"/>
              </w:rPr>
              <w:t>0.0</w:t>
            </w:r>
          </w:p>
        </w:tc>
        <w:tc>
          <w:tcPr>
            <w:tcW w:type="dxa" w:w="1511"/>
          </w:tcPr>
          <w:p>
            <w:pPr>
              <w:jc w:val="center"/>
            </w:pPr>
            <w:r/>
            <w:r>
              <w:rPr>
                <w:rFonts w:ascii="Times New Roman" w:hAnsi="Times New Roman" w:eastAsia="宋体"/>
                <w:b w:val="0"/>
                <w:sz w:val="21"/>
              </w:rPr>
              <w:t>18.17</w:t>
            </w:r>
          </w:p>
        </w:tc>
        <w:tc>
          <w:tcPr>
            <w:tcW w:type="dxa" w:w="1511"/>
          </w:tcPr>
          <w:p>
            <w:pPr>
              <w:jc w:val="center"/>
            </w:pPr>
            <w:r/>
            <w:r>
              <w:rPr>
                <w:rFonts w:ascii="Times New Roman" w:hAnsi="Times New Roman" w:eastAsia="宋体"/>
                <w:b w:val="0"/>
                <w:sz w:val="21"/>
              </w:rPr>
              <w:t>1.78</w:t>
            </w:r>
          </w:p>
        </w:tc>
      </w:tr>
      <w:tr>
        <w:tc>
          <w:tcPr>
            <w:tcW w:type="dxa" w:w="1511"/>
          </w:tcPr>
          <w:p>
            <w:pPr>
              <w:jc w:val="center"/>
            </w:pPr>
            <w:r/>
            <w:r>
              <w:rPr>
                <w:rFonts w:ascii="Times New Roman" w:hAnsi="Times New Roman" w:eastAsia="宋体"/>
                <w:b w:val="0"/>
                <w:sz w:val="21"/>
              </w:rPr>
              <w:t>九龙岩摩崖石刻</w:t>
            </w:r>
          </w:p>
        </w:tc>
        <w:tc>
          <w:tcPr>
            <w:tcW w:type="dxa" w:w="1511"/>
          </w:tcPr>
          <w:p>
            <w:pPr>
              <w:jc w:val="center"/>
            </w:pPr>
            <w:r/>
            <w:r>
              <w:rPr>
                <w:rFonts w:ascii="Times New Roman" w:hAnsi="Times New Roman" w:eastAsia="宋体"/>
                <w:b w:val="0"/>
                <w:sz w:val="21"/>
              </w:rPr>
              <w:t>未标注</w:t>
            </w:r>
          </w:p>
        </w:tc>
        <w:tc>
          <w:tcPr>
            <w:tcW w:type="dxa" w:w="1511"/>
          </w:tcPr>
          <w:p>
            <w:pPr>
              <w:jc w:val="center"/>
            </w:pPr>
            <w:r/>
            <w:r>
              <w:rPr>
                <w:rFonts w:ascii="Times New Roman" w:hAnsi="Times New Roman" w:eastAsia="宋体"/>
                <w:b w:val="0"/>
                <w:sz w:val="21"/>
              </w:rPr>
              <w:t>15.02</w:t>
            </w:r>
          </w:p>
        </w:tc>
        <w:tc>
          <w:tcPr>
            <w:tcW w:type="dxa" w:w="1511"/>
          </w:tcPr>
          <w:p>
            <w:pPr>
              <w:jc w:val="center"/>
            </w:pPr>
            <w:r/>
            <w:r>
              <w:rPr>
                <w:rFonts w:ascii="Times New Roman" w:hAnsi="Times New Roman" w:eastAsia="宋体"/>
                <w:b w:val="0"/>
                <w:sz w:val="21"/>
              </w:rPr>
              <w:t>50.0</w:t>
            </w:r>
          </w:p>
        </w:tc>
        <w:tc>
          <w:tcPr>
            <w:tcW w:type="dxa" w:w="1511"/>
          </w:tcPr>
          <w:p>
            <w:pPr>
              <w:jc w:val="center"/>
            </w:pPr>
            <w:r/>
            <w:r>
              <w:rPr>
                <w:rFonts w:ascii="Times New Roman" w:hAnsi="Times New Roman" w:eastAsia="宋体"/>
                <w:b w:val="0"/>
                <w:sz w:val="21"/>
              </w:rPr>
              <w:t>34.68</w:t>
            </w:r>
          </w:p>
        </w:tc>
        <w:tc>
          <w:tcPr>
            <w:tcW w:type="dxa" w:w="1511"/>
          </w:tcPr>
          <w:p>
            <w:pPr>
              <w:jc w:val="center"/>
            </w:pPr>
            <w:r/>
            <w:r>
              <w:rPr>
                <w:rFonts w:ascii="Times New Roman" w:hAnsi="Times New Roman" w:eastAsia="宋体"/>
                <w:b w:val="0"/>
                <w:sz w:val="21"/>
              </w:rPr>
              <w:t>2.17</w:t>
            </w:r>
          </w:p>
        </w:tc>
      </w:tr>
    </w:tbl>
    <w:p/>
    <w:p/>
    <w:p>
      <w:r>
        <w:br w:type="page"/>
      </w:r>
    </w:p>
    <w:p/>
    <w:p>
      <w:pPr>
        <w:pStyle w:val="Heading2"/>
        <w:spacing w:line="400" w:lineRule="exact" w:before="240" w:after="80"/>
        <w:jc w:val="left"/>
      </w:pPr>
      <w:r>
        <w:rPr>
          <w:rFonts w:ascii="Times New Roman" w:hAnsi="Times New Roman" w:eastAsia="宋体"/>
          <w:b/>
          <w:sz w:val="28"/>
        </w:rPr>
        <w:t>附录 D　潜力释放条件相关矩阵</w:t>
      </w:r>
    </w:p>
    <w:p/>
    <w:p>
      <w:pPr>
        <w:spacing w:line="400" w:lineRule="exact" w:before="0" w:after="0"/>
        <w:ind w:firstLine="480"/>
      </w:pPr>
      <w:r>
        <w:rPr>
          <w:rFonts w:ascii="Times New Roman" w:hAnsi="Times New Roman" w:eastAsia="宋体"/>
          <w:b w:val="0"/>
          <w:sz w:val="24"/>
        </w:rPr>
        <w:t>D.1 载体级 Pearson 矩阵（n = 165） 见第 6.3.1 节表 6.4。</w:t>
      </w:r>
    </w:p>
    <w:p/>
    <w:p>
      <w:pPr>
        <w:spacing w:line="400" w:lineRule="exact" w:before="0" w:after="0"/>
        <w:ind w:firstLine="480"/>
      </w:pPr>
      <w:r>
        <w:rPr>
          <w:rFonts w:ascii="Times New Roman" w:hAnsi="Times New Roman" w:eastAsia="宋体"/>
          <w:b w:val="0"/>
          <w:sz w:val="24"/>
        </w:rPr>
        <w:t>D.2 镇街级 Pearson 矩阵（n = 7） 见第 6.3.2 节表 6.5。</w:t>
      </w:r>
    </w:p>
    <w:p/>
    <w:p>
      <w:pPr>
        <w:spacing w:line="400" w:lineRule="exact" w:before="0" w:after="0"/>
        <w:ind w:firstLine="480"/>
      </w:pPr>
      <w:r>
        <w:rPr>
          <w:rFonts w:ascii="Times New Roman" w:hAnsi="Times New Roman" w:eastAsia="宋体"/>
          <w:b w:val="0"/>
          <w:sz w:val="24"/>
        </w:rPr>
        <w:t>D.3 载体级 Spearman 矩阵与镇街级 Spearman 矩阵 见 output/tables/potential_correlation_anchor.csv 与 potential_correlation_town.csv 附表。</w:t>
      </w:r>
    </w:p>
    <w:p/>
    <w:p>
      <w:pPr>
        <w:spacing w:line="400" w:lineRule="exact" w:before="0" w:after="0"/>
        <w:jc w:val="center"/>
      </w:pPr>
      <w:r>
        <w:rPr>
          <w:rFonts w:ascii="Times New Roman" w:hAnsi="Times New Roman" w:eastAsia="宋体"/>
          <w:b/>
          <w:sz w:val="24"/>
        </w:rPr>
        <w:t>D.4 关键双变量对比</w:t>
      </w:r>
    </w:p>
    <w:p/>
    <w:p>
      <w:pPr>
        <w:pStyle w:val="ListBullet"/>
        <w:spacing w:line="400" w:lineRule="exact" w:before="0" w:after="0"/>
      </w:pPr>
      <w:r>
        <w:rPr>
          <w:rFonts w:ascii="Times New Roman" w:hAnsi="Times New Roman" w:eastAsia="宋体"/>
          <w:sz w:val="24"/>
        </w:rPr>
        <w:t>Material_Count × POI_Total（镇街级）: Pearson r = −0.475；</w:t>
      </w:r>
    </w:p>
    <w:p>
      <w:pPr>
        <w:pStyle w:val="ListBullet"/>
        <w:spacing w:line="400" w:lineRule="exact" w:before="0" w:after="0"/>
      </w:pPr>
      <w:r>
        <w:rPr>
          <w:rFonts w:ascii="Times New Roman" w:hAnsi="Times New Roman" w:eastAsia="宋体"/>
          <w:sz w:val="24"/>
        </w:rPr>
        <w:t>NH_Total × POI_Total（镇街级）: Pearson r = 0.372；</w:t>
      </w:r>
    </w:p>
    <w:p>
      <w:pPr>
        <w:pStyle w:val="ListBullet"/>
        <w:spacing w:line="400" w:lineRule="exact" w:before="0" w:after="0"/>
      </w:pPr>
      <w:r>
        <w:rPr>
          <w:rFonts w:ascii="Times New Roman" w:hAnsi="Times New Roman" w:eastAsia="宋体"/>
          <w:sz w:val="24"/>
        </w:rPr>
        <w:t>CMI × MI（载体级）: Pearson r = −0.495（正文核心发现）；</w:t>
      </w:r>
    </w:p>
    <w:p>
      <w:pPr>
        <w:pStyle w:val="ListBullet"/>
        <w:spacing w:line="400" w:lineRule="exact" w:before="0" w:after="0"/>
      </w:pPr>
      <w:r>
        <w:rPr>
          <w:rFonts w:ascii="Times New Roman" w:hAnsi="Times New Roman" w:eastAsia="宋体"/>
          <w:sz w:val="24"/>
        </w:rPr>
        <w:t>OAI × MI（载体级）: Pearson r = −0.440（正文核心发现）；</w:t>
      </w:r>
    </w:p>
    <w:p>
      <w:pPr>
        <w:pStyle w:val="ListBullet"/>
        <w:spacing w:line="400" w:lineRule="exact" w:before="0" w:after="0"/>
      </w:pPr>
      <w:r>
        <w:rPr>
          <w:rFonts w:ascii="Times New Roman" w:hAnsi="Times New Roman" w:eastAsia="宋体"/>
          <w:sz w:val="24"/>
        </w:rPr>
        <w:t>OAI_mean × THI_mean（镇街级）: Pearson r = 0.702（评级对 THI 的带动）。</w:t>
      </w:r>
    </w:p>
    <w:p/>
    <w:p>
      <w:r>
        <w:br w:type="page"/>
      </w:r>
    </w:p>
    <w:p/>
    <w:p>
      <w:pPr>
        <w:pStyle w:val="Heading2"/>
        <w:spacing w:line="400" w:lineRule="exact" w:before="240" w:after="80"/>
        <w:jc w:val="left"/>
      </w:pPr>
      <w:r>
        <w:rPr>
          <w:rFonts w:ascii="Times New Roman" w:hAnsi="Times New Roman" w:eastAsia="宋体"/>
          <w:b/>
          <w:sz w:val="28"/>
        </w:rPr>
        <w:t>致　　谢</w:t>
      </w:r>
    </w:p>
    <w:p/>
    <w:p>
      <w:pPr>
        <w:spacing w:line="400" w:lineRule="exact" w:before="0" w:after="0"/>
        <w:ind w:firstLine="480"/>
      </w:pPr>
      <w:r>
        <w:rPr>
          <w:rFonts w:ascii="Times New Roman" w:hAnsi="Times New Roman" w:eastAsia="宋体"/>
          <w:b w:val="0"/>
          <w:sz w:val="24"/>
        </w:rPr>
        <w:t>衷心感谢【待填写：指导教师】在选题、数据方法与论文写作全过程中的悉心指导。从开题到中期，再到本轮论文修订，老师一次次地将研究方向拉回"问题—潜力—对策"的主线，既避免了研究在空间生产理论等高阶议题上的过度拔高，也避免了研究停留在"当地人也知道"的浅层描述上。对桥梁选择、数据口径、错位指数、九江专题等具体环节的意见，几乎构成了本稿每一个章节的骨架。</w:t>
      </w:r>
    </w:p>
    <w:p/>
    <w:p>
      <w:pPr>
        <w:spacing w:line="400" w:lineRule="exact" w:before="0" w:after="0"/>
        <w:ind w:firstLine="480"/>
      </w:pPr>
      <w:r>
        <w:rPr>
          <w:rFonts w:ascii="Times New Roman" w:hAnsi="Times New Roman" w:eastAsia="宋体"/>
          <w:b w:val="0"/>
          <w:sz w:val="24"/>
        </w:rPr>
        <w:t>感谢【待填写：院系或研究室】的各位老师和同学，在典籍 OCR、POI 采集与清洗、Neo4j 建图以及论文答辩 PPT 制作等阶段提供了大量的技术支持与讨论意见。感谢【待填写：基金或项目名称】对本研究的数据与计算资源支持。</w:t>
      </w:r>
    </w:p>
    <w:p/>
    <w:p>
      <w:pPr>
        <w:spacing w:line="400" w:lineRule="exact" w:before="0" w:after="0"/>
        <w:ind w:firstLine="480"/>
      </w:pPr>
      <w:r>
        <w:rPr>
          <w:rFonts w:ascii="Times New Roman" w:hAnsi="Times New Roman" w:eastAsia="宋体"/>
          <w:b w:val="0"/>
          <w:sz w:val="24"/>
        </w:rPr>
        <w:t>感谢家人一直以来的理解与支持，使得在本科毕设的这段时光里，能够相对专注地完成这项研究。</w:t>
      </w:r>
    </w:p>
    <w:p/>
    <w:p>
      <w:r>
        <w:br w:type="page"/>
      </w:r>
    </w:p>
    <w:p/>
    <w:p>
      <w:pPr>
        <w:pStyle w:val="Heading2"/>
        <w:spacing w:line="400" w:lineRule="exact" w:before="240" w:after="80"/>
        <w:jc w:val="left"/>
      </w:pPr>
      <w:r>
        <w:rPr>
          <w:rFonts w:ascii="Times New Roman" w:hAnsi="Times New Roman" w:eastAsia="宋体"/>
          <w:b/>
          <w:sz w:val="28"/>
        </w:rPr>
        <w:t>声　　明</w:t>
      </w:r>
    </w:p>
    <w:p/>
    <w:p>
      <w:pPr>
        <w:spacing w:line="400" w:lineRule="exact" w:before="0" w:after="0"/>
        <w:ind w:firstLine="480"/>
      </w:pPr>
      <w:r>
        <w:rPr>
          <w:rFonts w:ascii="Times New Roman" w:hAnsi="Times New Roman" w:eastAsia="宋体"/>
          <w:b w:val="0"/>
          <w:sz w:val="24"/>
        </w:rPr>
        <w:t>本人郑重声明：所呈交的综合论文训练论文，是本人在导师指导下，独立进行研究工作所取得的成果。尽我所知，除文中已经注明引用的内容外，本论文的研究成果不包含任何他人享有著作权的内容。对本论文所涉及的研究工作做出贡献的其他个人和集体，均已在文中以明确方式标明。</w:t>
      </w:r>
    </w:p>
    <w:p/>
    <w:p>
      <w:pPr>
        <w:spacing w:line="400" w:lineRule="exact" w:before="0" w:after="0"/>
        <w:ind w:firstLine="480"/>
      </w:pPr>
      <w:r>
        <w:rPr>
          <w:rFonts w:ascii="Times New Roman" w:hAnsi="Times New Roman" w:eastAsia="宋体"/>
          <w:b w:val="0"/>
          <w:sz w:val="24"/>
        </w:rPr>
        <w:t>签  名：</w:t>
      </w:r>
    </w:p>
    <w:p/>
    <w:p>
      <w:pPr>
        <w:spacing w:line="400" w:lineRule="exact" w:before="0" w:after="0"/>
        <w:ind w:firstLine="480"/>
      </w:pPr>
      <w:r>
        <w:rPr>
          <w:rFonts w:ascii="Times New Roman" w:hAnsi="Times New Roman" w:eastAsia="宋体"/>
          <w:b w:val="0"/>
          <w:sz w:val="24"/>
        </w:rPr>
        <w:t>日  期：</w:t>
      </w:r>
    </w:p>
    <w:p/>
    <w:p>
      <w:r>
        <w:br w:type="page"/>
      </w:r>
    </w:p>
    <w:p/>
    <w:p>
      <w:pPr>
        <w:pStyle w:val="Heading2"/>
        <w:spacing w:line="400" w:lineRule="exact" w:before="240" w:after="80"/>
        <w:jc w:val="left"/>
      </w:pPr>
      <w:r>
        <w:rPr>
          <w:rFonts w:ascii="Times New Roman" w:hAnsi="Times New Roman" w:eastAsia="宋体"/>
          <w:b/>
          <w:sz w:val="28"/>
        </w:rPr>
        <w:t>在学期间参加课题的研究成果</w:t>
      </w:r>
    </w:p>
    <w:p/>
    <w:p>
      <w:pPr>
        <w:spacing w:line="400" w:lineRule="exact" w:before="0" w:after="0"/>
        <w:ind w:firstLine="480"/>
      </w:pPr>
      <w:r>
        <w:rPr>
          <w:rFonts w:ascii="Times New Roman" w:hAnsi="Times New Roman" w:eastAsia="宋体"/>
          <w:b w:val="0"/>
          <w:sz w:val="24"/>
        </w:rPr>
        <w:t>本科阶段参与课题的研究成果如下。若学校要求填写正式科研成果，可在本节补入已发表论文、专利或项目证明材料。</w:t>
      </w:r>
    </w:p>
    <w:p/>
    <w:p>
      <w:pPr>
        <w:spacing w:line="400" w:lineRule="exact" w:before="0" w:after="0"/>
        <w:ind w:firstLine="480"/>
      </w:pPr>
      <w:r>
        <w:rPr>
          <w:rFonts w:ascii="Times New Roman" w:hAnsi="Times New Roman" w:eastAsia="宋体"/>
          <w:b w:val="0"/>
          <w:sz w:val="24"/>
        </w:rPr>
        <w:t>参与项目：</w:t>
      </w:r>
    </w:p>
    <w:p/>
    <w:p>
      <w:pPr>
        <w:pStyle w:val="ListBullet"/>
        <w:spacing w:line="400" w:lineRule="exact" w:before="0" w:after="0"/>
      </w:pPr>
      <w:r>
        <w:rPr>
          <w:rFonts w:ascii="Times New Roman" w:hAnsi="Times New Roman" w:eastAsia="宋体"/>
          <w:sz w:val="24"/>
        </w:rPr>
        <w:t>本科毕业设计：基于大数据的佛山市南海区旅游景区文旅融合潜力研究（本人）</w:t>
      </w:r>
    </w:p>
    <w:p>
      <w:pPr>
        <w:pStyle w:val="ListBullet"/>
        <w:spacing w:line="400" w:lineRule="exact" w:before="0" w:after="0"/>
      </w:pPr>
      <w:r>
        <w:rPr>
          <w:rFonts w:ascii="Times New Roman" w:hAnsi="Times New Roman" w:eastAsia="宋体"/>
          <w:sz w:val="24"/>
        </w:rPr>
        <w:t>指导教师主持的与本研究相关的【待填写：课题组或项目名称】工作讨论（2025–2026）</w:t>
      </w:r>
    </w:p>
    <w:p/>
    <w:p>
      <w:pPr>
        <w:spacing w:line="400" w:lineRule="exact" w:before="0" w:after="0"/>
        <w:ind w:firstLine="480"/>
      </w:pPr>
      <w:r>
        <w:rPr>
          <w:rFonts w:ascii="Times New Roman" w:hAnsi="Times New Roman" w:eastAsia="宋体"/>
          <w:b w:val="0"/>
          <w:sz w:val="24"/>
        </w:rPr>
        <w:t>产出：</w:t>
      </w:r>
    </w:p>
    <w:p/>
    <w:p>
      <w:pPr>
        <w:pStyle w:val="ListBullet"/>
        <w:spacing w:line="400" w:lineRule="exact" w:before="0" w:after="0"/>
      </w:pPr>
      <w:r>
        <w:rPr>
          <w:rFonts w:ascii="Times New Roman" w:hAnsi="Times New Roman" w:eastAsia="宋体"/>
          <w:sz w:val="24"/>
        </w:rPr>
        <w:t>开题答辩材料 docs/ppt/孟帅_毕设开题.pdf</w:t>
      </w:r>
    </w:p>
    <w:p>
      <w:pPr>
        <w:pStyle w:val="ListBullet"/>
        <w:spacing w:line="400" w:lineRule="exact" w:before="0" w:after="0"/>
      </w:pPr>
      <w:r>
        <w:rPr>
          <w:rFonts w:ascii="Times New Roman" w:hAnsi="Times New Roman" w:eastAsia="宋体"/>
          <w:sz w:val="24"/>
        </w:rPr>
        <w:t>中期答辩材料 docs/ppt/孟帅_中期答辩.pdf</w:t>
      </w:r>
    </w:p>
    <w:p>
      <w:pPr>
        <w:pStyle w:val="ListBullet"/>
        <w:spacing w:line="400" w:lineRule="exact" w:before="0" w:after="0"/>
      </w:pPr>
      <w:r>
        <w:rPr>
          <w:rFonts w:ascii="Times New Roman" w:hAnsi="Times New Roman" w:eastAsia="宋体"/>
          <w:sz w:val="24"/>
        </w:rPr>
        <w:t>南海区文化载体与耦合分析数据集（见仓库 data/ 与 output/tables/）</w:t>
      </w:r>
    </w:p>
    <w:p>
      <w:pPr>
        <w:pStyle w:val="ListBullet"/>
        <w:spacing w:line="400" w:lineRule="exact" w:before="0" w:after="0"/>
      </w:pPr>
      <w:r>
        <w:rPr>
          <w:rFonts w:ascii="Times New Roman" w:hAnsi="Times New Roman" w:eastAsia="宋体"/>
          <w:sz w:val="24"/>
        </w:rPr>
        <w:t>指数与相关分析脚本 code/analysis/build_indices.py、potential_correlation.py</w:t>
      </w:r>
    </w:p>
    <w:p/>
    <w:p>
      <w:r>
        <w:br w:type="page"/>
      </w:r>
    </w:p>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