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51598"/>
        <w15:color w:val="DBDBDB"/>
        <w:docPartObj>
          <w:docPartGallery w:val="Table of Contents"/>
          <w:docPartUnique/>
        </w:docPartObj>
      </w:sdtPr>
      <w:sdtContent>
        <w:p w14:paraId="04A431E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61E587B">
          <w:pPr>
            <w:pStyle w:val="46"/>
            <w:tabs>
              <w:tab w:val="right" w:leader="dot" w:pos="8731"/>
              <w:tab w:val="clear" w:pos="8381"/>
            </w:tabs>
          </w:pPr>
          <w:r>
            <w:fldChar w:fldCharType="begin"/>
          </w:r>
          <w:r>
            <w:instrText xml:space="preserve">TOC \o "1-9" \h \u </w:instrText>
          </w:r>
          <w:r>
            <w:fldChar w:fldCharType="separate"/>
          </w:r>
          <w:r>
            <w:fldChar w:fldCharType="begin"/>
          </w:r>
          <w:r>
            <w:instrText xml:space="preserve"> HYPERLINK \l _Toc11207 </w:instrText>
          </w:r>
          <w:r>
            <w:fldChar w:fldCharType="separate"/>
          </w:r>
          <w:r>
            <w:rPr>
              <w:rFonts w:ascii="Times New Roman" w:hAnsi="Times New Roman" w:eastAsia="黑体"/>
            </w:rPr>
            <w:t>关于论文使用授权的说明</w:t>
          </w:r>
          <w:r>
            <w:tab/>
          </w:r>
          <w:r>
            <w:fldChar w:fldCharType="begin"/>
          </w:r>
          <w:r>
            <w:instrText xml:space="preserve"> PAGEREF _Toc11207 \h </w:instrText>
          </w:r>
          <w:r>
            <w:fldChar w:fldCharType="separate"/>
          </w:r>
          <w:r>
            <w:t>5</w:t>
          </w:r>
          <w:r>
            <w:fldChar w:fldCharType="end"/>
          </w:r>
          <w:r>
            <w:fldChar w:fldCharType="end"/>
          </w:r>
        </w:p>
        <w:p w14:paraId="3C0C7439">
          <w:pPr>
            <w:pStyle w:val="46"/>
            <w:tabs>
              <w:tab w:val="right" w:leader="dot" w:pos="8731"/>
              <w:tab w:val="clear" w:pos="8381"/>
            </w:tabs>
          </w:pPr>
          <w:r>
            <w:fldChar w:fldCharType="begin"/>
          </w:r>
          <w:r>
            <w:instrText xml:space="preserve"> HYPERLINK \l _Toc247 </w:instrText>
          </w:r>
          <w:r>
            <w:fldChar w:fldCharType="separate"/>
          </w:r>
          <w:r>
            <w:rPr>
              <w:rFonts w:ascii="Times New Roman" w:hAnsi="Times New Roman" w:eastAsia="黑体"/>
            </w:rPr>
            <w:t>摘　　要</w:t>
          </w:r>
          <w:r>
            <w:tab/>
          </w:r>
          <w:r>
            <w:fldChar w:fldCharType="begin"/>
          </w:r>
          <w:r>
            <w:instrText xml:space="preserve"> PAGEREF _Toc247 \h </w:instrText>
          </w:r>
          <w:r>
            <w:fldChar w:fldCharType="separate"/>
          </w:r>
          <w:r>
            <w:t>6</w:t>
          </w:r>
          <w:r>
            <w:fldChar w:fldCharType="end"/>
          </w:r>
          <w:r>
            <w:fldChar w:fldCharType="end"/>
          </w:r>
        </w:p>
        <w:p w14:paraId="57EB219F">
          <w:pPr>
            <w:pStyle w:val="46"/>
            <w:tabs>
              <w:tab w:val="right" w:leader="dot" w:pos="8731"/>
              <w:tab w:val="clear" w:pos="8381"/>
            </w:tabs>
          </w:pPr>
          <w:r>
            <w:fldChar w:fldCharType="begin"/>
          </w:r>
          <w:r>
            <w:instrText xml:space="preserve"> HYPERLINK \l _Toc6721 </w:instrText>
          </w:r>
          <w:r>
            <w:fldChar w:fldCharType="separate"/>
          </w:r>
          <w:r>
            <w:rPr>
              <w:rFonts w:ascii="Times New Roman" w:hAnsi="Times New Roman" w:eastAsia="黑体"/>
            </w:rPr>
            <w:t>Abstract</w:t>
          </w:r>
          <w:r>
            <w:tab/>
          </w:r>
          <w:r>
            <w:fldChar w:fldCharType="begin"/>
          </w:r>
          <w:r>
            <w:instrText xml:space="preserve"> PAGEREF _Toc6721 \h </w:instrText>
          </w:r>
          <w:r>
            <w:fldChar w:fldCharType="separate"/>
          </w:r>
          <w:r>
            <w:t>7</w:t>
          </w:r>
          <w:r>
            <w:fldChar w:fldCharType="end"/>
          </w:r>
          <w:r>
            <w:fldChar w:fldCharType="end"/>
          </w:r>
        </w:p>
        <w:p w14:paraId="6C6D7C69">
          <w:pPr>
            <w:pStyle w:val="46"/>
            <w:tabs>
              <w:tab w:val="right" w:leader="dot" w:pos="8731"/>
              <w:tab w:val="clear" w:pos="8381"/>
            </w:tabs>
          </w:pPr>
          <w:r>
            <w:fldChar w:fldCharType="begin"/>
          </w:r>
          <w:r>
            <w:instrText xml:space="preserve"> HYPERLINK \l _Toc16902 </w:instrText>
          </w:r>
          <w:r>
            <w:fldChar w:fldCharType="separate"/>
          </w:r>
          <w:r>
            <w:rPr>
              <w:rFonts w:ascii="Times New Roman" w:hAnsi="Times New Roman" w:eastAsia="黑体"/>
            </w:rPr>
            <w:t>目　　录</w:t>
          </w:r>
          <w:r>
            <w:tab/>
          </w:r>
          <w:r>
            <w:fldChar w:fldCharType="begin"/>
          </w:r>
          <w:r>
            <w:instrText xml:space="preserve"> PAGEREF _Toc16902 \h </w:instrText>
          </w:r>
          <w:r>
            <w:fldChar w:fldCharType="separate"/>
          </w:r>
          <w:r>
            <w:t>9</w:t>
          </w:r>
          <w:r>
            <w:fldChar w:fldCharType="end"/>
          </w:r>
          <w:r>
            <w:fldChar w:fldCharType="end"/>
          </w:r>
        </w:p>
        <w:p w14:paraId="30D9356B">
          <w:pPr>
            <w:pStyle w:val="46"/>
            <w:tabs>
              <w:tab w:val="right" w:leader="dot" w:pos="8731"/>
              <w:tab w:val="clear" w:pos="8381"/>
            </w:tabs>
          </w:pPr>
          <w:r>
            <w:fldChar w:fldCharType="begin"/>
          </w:r>
          <w:r>
            <w:instrText xml:space="preserve"> HYPERLINK \l _Toc30015 </w:instrText>
          </w:r>
          <w:r>
            <w:fldChar w:fldCharType="separate"/>
          </w:r>
          <w:r>
            <w:rPr>
              <w:rFonts w:ascii="Times New Roman" w:hAnsi="Times New Roman" w:eastAsia="黑体"/>
            </w:rPr>
            <w:t>插图清单</w:t>
          </w:r>
          <w:r>
            <w:tab/>
          </w:r>
          <w:r>
            <w:fldChar w:fldCharType="begin"/>
          </w:r>
          <w:r>
            <w:instrText xml:space="preserve"> PAGEREF _Toc30015 \h </w:instrText>
          </w:r>
          <w:r>
            <w:fldChar w:fldCharType="separate"/>
          </w:r>
          <w:r>
            <w:t>11</w:t>
          </w:r>
          <w:r>
            <w:fldChar w:fldCharType="end"/>
          </w:r>
          <w:r>
            <w:fldChar w:fldCharType="end"/>
          </w:r>
        </w:p>
        <w:p w14:paraId="09165ACC">
          <w:pPr>
            <w:pStyle w:val="46"/>
            <w:tabs>
              <w:tab w:val="right" w:leader="dot" w:pos="8731"/>
              <w:tab w:val="clear" w:pos="8381"/>
            </w:tabs>
          </w:pPr>
          <w:r>
            <w:fldChar w:fldCharType="begin"/>
          </w:r>
          <w:r>
            <w:instrText xml:space="preserve"> HYPERLINK \l _Toc2985 </w:instrText>
          </w:r>
          <w:r>
            <w:fldChar w:fldCharType="separate"/>
          </w:r>
          <w:r>
            <w:rPr>
              <w:rFonts w:ascii="Times New Roman" w:hAnsi="Times New Roman" w:eastAsia="黑体"/>
            </w:rPr>
            <w:t>附表清单</w:t>
          </w:r>
          <w:r>
            <w:tab/>
          </w:r>
          <w:r>
            <w:fldChar w:fldCharType="begin"/>
          </w:r>
          <w:r>
            <w:instrText xml:space="preserve"> PAGEREF _Toc2985 \h </w:instrText>
          </w:r>
          <w:r>
            <w:fldChar w:fldCharType="separate"/>
          </w:r>
          <w:r>
            <w:t>11</w:t>
          </w:r>
          <w:r>
            <w:fldChar w:fldCharType="end"/>
          </w:r>
          <w:r>
            <w:fldChar w:fldCharType="end"/>
          </w:r>
        </w:p>
        <w:p w14:paraId="16FE7D66">
          <w:pPr>
            <w:pStyle w:val="46"/>
            <w:tabs>
              <w:tab w:val="right" w:leader="dot" w:pos="8731"/>
              <w:tab w:val="clear" w:pos="8381"/>
            </w:tabs>
          </w:pPr>
          <w:r>
            <w:fldChar w:fldCharType="begin"/>
          </w:r>
          <w:r>
            <w:instrText xml:space="preserve"> HYPERLINK \l _Toc26901 </w:instrText>
          </w:r>
          <w:r>
            <w:fldChar w:fldCharType="separate"/>
          </w:r>
          <w:r>
            <w:rPr>
              <w:rFonts w:ascii="Times New Roman" w:hAnsi="Times New Roman" w:eastAsia="黑体"/>
            </w:rPr>
            <w:t>符号和缩略语说明</w:t>
          </w:r>
          <w:r>
            <w:tab/>
          </w:r>
          <w:r>
            <w:fldChar w:fldCharType="begin"/>
          </w:r>
          <w:r>
            <w:instrText xml:space="preserve"> PAGEREF _Toc26901 \h </w:instrText>
          </w:r>
          <w:r>
            <w:fldChar w:fldCharType="separate"/>
          </w:r>
          <w:r>
            <w:t>12</w:t>
          </w:r>
          <w:r>
            <w:fldChar w:fldCharType="end"/>
          </w:r>
          <w:r>
            <w:fldChar w:fldCharType="end"/>
          </w:r>
        </w:p>
        <w:p w14:paraId="3EB52FA9">
          <w:pPr>
            <w:pStyle w:val="46"/>
            <w:tabs>
              <w:tab w:val="right" w:leader="dot" w:pos="8731"/>
              <w:tab w:val="clear" w:pos="8381"/>
            </w:tabs>
          </w:pPr>
          <w:r>
            <w:fldChar w:fldCharType="begin"/>
          </w:r>
          <w:r>
            <w:instrText xml:space="preserve"> HYPERLINK \l _Toc7175 </w:instrText>
          </w:r>
          <w:r>
            <w:fldChar w:fldCharType="separate"/>
          </w:r>
          <w:r>
            <w:rPr>
              <w:rFonts w:ascii="Times New Roman" w:hAnsi="Times New Roman" w:eastAsia="黑体"/>
            </w:rPr>
            <w:t>第 1 章　引言</w:t>
          </w:r>
          <w:r>
            <w:tab/>
          </w:r>
          <w:r>
            <w:fldChar w:fldCharType="begin"/>
          </w:r>
          <w:r>
            <w:instrText xml:space="preserve"> PAGEREF _Toc7175 \h </w:instrText>
          </w:r>
          <w:r>
            <w:fldChar w:fldCharType="separate"/>
          </w:r>
          <w:r>
            <w:t>13</w:t>
          </w:r>
          <w:r>
            <w:fldChar w:fldCharType="end"/>
          </w:r>
          <w:r>
            <w:fldChar w:fldCharType="end"/>
          </w:r>
        </w:p>
        <w:p w14:paraId="21AD8CE2">
          <w:pPr>
            <w:pStyle w:val="45"/>
            <w:tabs>
              <w:tab w:val="right" w:leader="dot" w:pos="8731"/>
              <w:tab w:val="clear" w:pos="8381"/>
            </w:tabs>
          </w:pPr>
          <w:r>
            <w:fldChar w:fldCharType="begin"/>
          </w:r>
          <w:r>
            <w:instrText xml:space="preserve"> HYPERLINK \l _Toc23046 </w:instrText>
          </w:r>
          <w:r>
            <w:fldChar w:fldCharType="separate"/>
          </w:r>
          <w:r>
            <w:rPr>
              <w:rFonts w:ascii="Times New Roman" w:hAnsi="Times New Roman" w:eastAsia="黑体"/>
            </w:rPr>
            <w:t>1.1 研究背景与意义</w:t>
          </w:r>
          <w:r>
            <w:tab/>
          </w:r>
          <w:r>
            <w:fldChar w:fldCharType="begin"/>
          </w:r>
          <w:r>
            <w:instrText xml:space="preserve"> PAGEREF _Toc23046 \h </w:instrText>
          </w:r>
          <w:r>
            <w:fldChar w:fldCharType="separate"/>
          </w:r>
          <w:r>
            <w:t>13</w:t>
          </w:r>
          <w:r>
            <w:fldChar w:fldCharType="end"/>
          </w:r>
          <w:r>
            <w:fldChar w:fldCharType="end"/>
          </w:r>
        </w:p>
        <w:p w14:paraId="55B9DF2F">
          <w:pPr>
            <w:pStyle w:val="44"/>
            <w:tabs>
              <w:tab w:val="right" w:leader="dot" w:pos="8731"/>
              <w:tab w:val="clear" w:pos="8381"/>
            </w:tabs>
          </w:pPr>
          <w:r>
            <w:fldChar w:fldCharType="begin"/>
          </w:r>
          <w:r>
            <w:instrText xml:space="preserve"> HYPERLINK \l _Toc12853 </w:instrText>
          </w:r>
          <w:r>
            <w:fldChar w:fldCharType="separate"/>
          </w:r>
          <w:r>
            <w:rPr>
              <w:rFonts w:ascii="Times New Roman" w:hAnsi="Times New Roman" w:eastAsia="黑体"/>
            </w:rPr>
            <w:t>1.1.1 研究背景</w:t>
          </w:r>
          <w:r>
            <w:tab/>
          </w:r>
          <w:r>
            <w:fldChar w:fldCharType="begin"/>
          </w:r>
          <w:r>
            <w:instrText xml:space="preserve"> PAGEREF _Toc12853 \h </w:instrText>
          </w:r>
          <w:r>
            <w:fldChar w:fldCharType="separate"/>
          </w:r>
          <w:r>
            <w:t>13</w:t>
          </w:r>
          <w:r>
            <w:fldChar w:fldCharType="end"/>
          </w:r>
          <w:r>
            <w:fldChar w:fldCharType="end"/>
          </w:r>
        </w:p>
        <w:p w14:paraId="7846F106">
          <w:pPr>
            <w:pStyle w:val="44"/>
            <w:tabs>
              <w:tab w:val="right" w:leader="dot" w:pos="8731"/>
              <w:tab w:val="clear" w:pos="8381"/>
            </w:tabs>
          </w:pPr>
          <w:r>
            <w:fldChar w:fldCharType="begin"/>
          </w:r>
          <w:r>
            <w:instrText xml:space="preserve"> HYPERLINK \l _Toc28431 </w:instrText>
          </w:r>
          <w:r>
            <w:fldChar w:fldCharType="separate"/>
          </w:r>
          <w:r>
            <w:rPr>
              <w:rFonts w:ascii="Times New Roman" w:hAnsi="Times New Roman" w:eastAsia="黑体"/>
            </w:rPr>
            <w:t>1.1.2 研究意义</w:t>
          </w:r>
          <w:r>
            <w:tab/>
          </w:r>
          <w:r>
            <w:fldChar w:fldCharType="begin"/>
          </w:r>
          <w:r>
            <w:instrText xml:space="preserve"> PAGEREF _Toc28431 \h </w:instrText>
          </w:r>
          <w:r>
            <w:fldChar w:fldCharType="separate"/>
          </w:r>
          <w:r>
            <w:t>13</w:t>
          </w:r>
          <w:r>
            <w:fldChar w:fldCharType="end"/>
          </w:r>
          <w:r>
            <w:fldChar w:fldCharType="end"/>
          </w:r>
        </w:p>
        <w:p w14:paraId="20BF5347">
          <w:pPr>
            <w:pStyle w:val="45"/>
            <w:tabs>
              <w:tab w:val="right" w:leader="dot" w:pos="8731"/>
              <w:tab w:val="clear" w:pos="8381"/>
            </w:tabs>
          </w:pPr>
          <w:r>
            <w:fldChar w:fldCharType="begin"/>
          </w:r>
          <w:r>
            <w:instrText xml:space="preserve"> HYPERLINK \l _Toc13442 </w:instrText>
          </w:r>
          <w:r>
            <w:fldChar w:fldCharType="separate"/>
          </w:r>
          <w:r>
            <w:rPr>
              <w:rFonts w:ascii="Times New Roman" w:hAnsi="Times New Roman" w:eastAsia="黑体"/>
            </w:rPr>
            <w:t>1.2 研究目标与内容</w:t>
          </w:r>
          <w:r>
            <w:tab/>
          </w:r>
          <w:r>
            <w:fldChar w:fldCharType="begin"/>
          </w:r>
          <w:r>
            <w:instrText xml:space="preserve"> PAGEREF _Toc13442 \h </w:instrText>
          </w:r>
          <w:r>
            <w:fldChar w:fldCharType="separate"/>
          </w:r>
          <w:r>
            <w:t>14</w:t>
          </w:r>
          <w:r>
            <w:fldChar w:fldCharType="end"/>
          </w:r>
          <w:r>
            <w:fldChar w:fldCharType="end"/>
          </w:r>
        </w:p>
        <w:p w14:paraId="6AD7CB84">
          <w:pPr>
            <w:pStyle w:val="44"/>
            <w:tabs>
              <w:tab w:val="right" w:leader="dot" w:pos="8731"/>
              <w:tab w:val="clear" w:pos="8381"/>
            </w:tabs>
          </w:pPr>
          <w:r>
            <w:fldChar w:fldCharType="begin"/>
          </w:r>
          <w:r>
            <w:instrText xml:space="preserve"> HYPERLINK \l _Toc19350 </w:instrText>
          </w:r>
          <w:r>
            <w:fldChar w:fldCharType="separate"/>
          </w:r>
          <w:r>
            <w:rPr>
              <w:rFonts w:ascii="Times New Roman" w:hAnsi="Times New Roman" w:eastAsia="黑体"/>
            </w:rPr>
            <w:t>1.2.1 研究目标</w:t>
          </w:r>
          <w:r>
            <w:tab/>
          </w:r>
          <w:r>
            <w:fldChar w:fldCharType="begin"/>
          </w:r>
          <w:r>
            <w:instrText xml:space="preserve"> PAGEREF _Toc19350 \h </w:instrText>
          </w:r>
          <w:r>
            <w:fldChar w:fldCharType="separate"/>
          </w:r>
          <w:r>
            <w:t>14</w:t>
          </w:r>
          <w:r>
            <w:fldChar w:fldCharType="end"/>
          </w:r>
          <w:r>
            <w:fldChar w:fldCharType="end"/>
          </w:r>
        </w:p>
        <w:p w14:paraId="517625F0">
          <w:pPr>
            <w:pStyle w:val="44"/>
            <w:tabs>
              <w:tab w:val="right" w:leader="dot" w:pos="8731"/>
              <w:tab w:val="clear" w:pos="8381"/>
            </w:tabs>
          </w:pPr>
          <w:r>
            <w:fldChar w:fldCharType="begin"/>
          </w:r>
          <w:r>
            <w:instrText xml:space="preserve"> HYPERLINK \l _Toc32187 </w:instrText>
          </w:r>
          <w:r>
            <w:fldChar w:fldCharType="separate"/>
          </w:r>
          <w:r>
            <w:rPr>
              <w:rFonts w:ascii="Times New Roman" w:hAnsi="Times New Roman" w:eastAsia="黑体"/>
            </w:rPr>
            <w:t>1.2.2 研究内容</w:t>
          </w:r>
          <w:r>
            <w:tab/>
          </w:r>
          <w:r>
            <w:fldChar w:fldCharType="begin"/>
          </w:r>
          <w:r>
            <w:instrText xml:space="preserve"> PAGEREF _Toc32187 \h </w:instrText>
          </w:r>
          <w:r>
            <w:fldChar w:fldCharType="separate"/>
          </w:r>
          <w:r>
            <w:t>14</w:t>
          </w:r>
          <w:r>
            <w:fldChar w:fldCharType="end"/>
          </w:r>
          <w:r>
            <w:fldChar w:fldCharType="end"/>
          </w:r>
        </w:p>
        <w:p w14:paraId="6422C723">
          <w:pPr>
            <w:pStyle w:val="45"/>
            <w:tabs>
              <w:tab w:val="right" w:leader="dot" w:pos="8731"/>
              <w:tab w:val="clear" w:pos="8381"/>
            </w:tabs>
          </w:pPr>
          <w:r>
            <w:fldChar w:fldCharType="begin"/>
          </w:r>
          <w:r>
            <w:instrText xml:space="preserve"> HYPERLINK \l _Toc14362 </w:instrText>
          </w:r>
          <w:r>
            <w:fldChar w:fldCharType="separate"/>
          </w:r>
          <w:r>
            <w:rPr>
              <w:rFonts w:ascii="Times New Roman" w:hAnsi="Times New Roman" w:eastAsia="黑体"/>
            </w:rPr>
            <w:t>1.3 技术路线与论文结构</w:t>
          </w:r>
          <w:r>
            <w:tab/>
          </w:r>
          <w:r>
            <w:fldChar w:fldCharType="begin"/>
          </w:r>
          <w:r>
            <w:instrText xml:space="preserve"> PAGEREF _Toc14362 \h </w:instrText>
          </w:r>
          <w:r>
            <w:fldChar w:fldCharType="separate"/>
          </w:r>
          <w:r>
            <w:t>14</w:t>
          </w:r>
          <w:r>
            <w:fldChar w:fldCharType="end"/>
          </w:r>
          <w:r>
            <w:fldChar w:fldCharType="end"/>
          </w:r>
        </w:p>
        <w:p w14:paraId="727263F1">
          <w:pPr>
            <w:pStyle w:val="44"/>
            <w:tabs>
              <w:tab w:val="right" w:leader="dot" w:pos="8731"/>
              <w:tab w:val="clear" w:pos="8381"/>
            </w:tabs>
          </w:pPr>
          <w:r>
            <w:fldChar w:fldCharType="begin"/>
          </w:r>
          <w:r>
            <w:instrText xml:space="preserve"> HYPERLINK \l _Toc12743 </w:instrText>
          </w:r>
          <w:r>
            <w:fldChar w:fldCharType="separate"/>
          </w:r>
          <w:r>
            <w:rPr>
              <w:rFonts w:ascii="Times New Roman" w:hAnsi="Times New Roman" w:eastAsia="黑体"/>
            </w:rPr>
            <w:t>1.3.1 技术路线</w:t>
          </w:r>
          <w:r>
            <w:tab/>
          </w:r>
          <w:r>
            <w:fldChar w:fldCharType="begin"/>
          </w:r>
          <w:r>
            <w:instrText xml:space="preserve"> PAGEREF _Toc12743 \h </w:instrText>
          </w:r>
          <w:r>
            <w:fldChar w:fldCharType="separate"/>
          </w:r>
          <w:r>
            <w:t>14</w:t>
          </w:r>
          <w:r>
            <w:fldChar w:fldCharType="end"/>
          </w:r>
          <w:r>
            <w:fldChar w:fldCharType="end"/>
          </w:r>
        </w:p>
        <w:p w14:paraId="471CEE4B">
          <w:pPr>
            <w:pStyle w:val="44"/>
            <w:tabs>
              <w:tab w:val="right" w:leader="dot" w:pos="8731"/>
              <w:tab w:val="clear" w:pos="8381"/>
            </w:tabs>
          </w:pPr>
          <w:r>
            <w:fldChar w:fldCharType="begin"/>
          </w:r>
          <w:r>
            <w:instrText xml:space="preserve"> HYPERLINK \l _Toc14549 </w:instrText>
          </w:r>
          <w:r>
            <w:fldChar w:fldCharType="separate"/>
          </w:r>
          <w:r>
            <w:rPr>
              <w:rFonts w:ascii="Times New Roman" w:hAnsi="Times New Roman" w:eastAsia="黑体"/>
            </w:rPr>
            <w:t>1.3.2 论文结构</w:t>
          </w:r>
          <w:r>
            <w:tab/>
          </w:r>
          <w:r>
            <w:fldChar w:fldCharType="begin"/>
          </w:r>
          <w:r>
            <w:instrText xml:space="preserve"> PAGEREF _Toc14549 \h </w:instrText>
          </w:r>
          <w:r>
            <w:fldChar w:fldCharType="separate"/>
          </w:r>
          <w:r>
            <w:t>14</w:t>
          </w:r>
          <w:r>
            <w:fldChar w:fldCharType="end"/>
          </w:r>
          <w:r>
            <w:fldChar w:fldCharType="end"/>
          </w:r>
        </w:p>
        <w:p w14:paraId="750523BD">
          <w:pPr>
            <w:pStyle w:val="46"/>
            <w:tabs>
              <w:tab w:val="right" w:leader="dot" w:pos="8731"/>
              <w:tab w:val="clear" w:pos="8381"/>
            </w:tabs>
          </w:pPr>
          <w:r>
            <w:fldChar w:fldCharType="begin"/>
          </w:r>
          <w:r>
            <w:instrText xml:space="preserve"> HYPERLINK \l _Toc15388 </w:instrText>
          </w:r>
          <w:r>
            <w:fldChar w:fldCharType="separate"/>
          </w:r>
          <w:r>
            <w:rPr>
              <w:rFonts w:ascii="Times New Roman" w:hAnsi="Times New Roman" w:eastAsia="黑体"/>
            </w:rPr>
            <w:t>第 2 章　文献综述与相关研究述评</w:t>
          </w:r>
          <w:r>
            <w:tab/>
          </w:r>
          <w:r>
            <w:fldChar w:fldCharType="begin"/>
          </w:r>
          <w:r>
            <w:instrText xml:space="preserve"> PAGEREF _Toc15388 \h </w:instrText>
          </w:r>
          <w:r>
            <w:fldChar w:fldCharType="separate"/>
          </w:r>
          <w:r>
            <w:t>15</w:t>
          </w:r>
          <w:r>
            <w:fldChar w:fldCharType="end"/>
          </w:r>
          <w:r>
            <w:fldChar w:fldCharType="end"/>
          </w:r>
        </w:p>
        <w:p w14:paraId="03BCBD34">
          <w:pPr>
            <w:pStyle w:val="45"/>
            <w:tabs>
              <w:tab w:val="right" w:leader="dot" w:pos="8731"/>
              <w:tab w:val="clear" w:pos="8381"/>
            </w:tabs>
          </w:pPr>
          <w:r>
            <w:fldChar w:fldCharType="begin"/>
          </w:r>
          <w:r>
            <w:instrText xml:space="preserve"> HYPERLINK \l _Toc19175 </w:instrText>
          </w:r>
          <w:r>
            <w:fldChar w:fldCharType="separate"/>
          </w:r>
          <w:r>
            <w:rPr>
              <w:rFonts w:ascii="Times New Roman" w:hAnsi="Times New Roman" w:eastAsia="黑体"/>
            </w:rPr>
            <w:t>2.1 区域尺度文旅融合与“文化—旅游”衔接研究</w:t>
          </w:r>
          <w:r>
            <w:tab/>
          </w:r>
          <w:r>
            <w:fldChar w:fldCharType="begin"/>
          </w:r>
          <w:r>
            <w:instrText xml:space="preserve"> PAGEREF _Toc19175 \h </w:instrText>
          </w:r>
          <w:r>
            <w:fldChar w:fldCharType="separate"/>
          </w:r>
          <w:r>
            <w:t>15</w:t>
          </w:r>
          <w:r>
            <w:fldChar w:fldCharType="end"/>
          </w:r>
          <w:r>
            <w:fldChar w:fldCharType="end"/>
          </w:r>
        </w:p>
        <w:p w14:paraId="01250E7F">
          <w:pPr>
            <w:pStyle w:val="45"/>
            <w:tabs>
              <w:tab w:val="right" w:leader="dot" w:pos="8731"/>
              <w:tab w:val="clear" w:pos="8381"/>
            </w:tabs>
          </w:pPr>
          <w:r>
            <w:fldChar w:fldCharType="begin"/>
          </w:r>
          <w:r>
            <w:instrText xml:space="preserve"> HYPERLINK \l _Toc28371 </w:instrText>
          </w:r>
          <w:r>
            <w:fldChar w:fldCharType="separate"/>
          </w:r>
          <w:r>
            <w:rPr>
              <w:rFonts w:ascii="Times New Roman" w:hAnsi="Times New Roman" w:eastAsia="黑体"/>
            </w:rPr>
            <w:t>2.2 大数据、文本挖掘与知识图谱在文旅研究中的应用</w:t>
          </w:r>
          <w:r>
            <w:tab/>
          </w:r>
          <w:r>
            <w:fldChar w:fldCharType="begin"/>
          </w:r>
          <w:r>
            <w:instrText xml:space="preserve"> PAGEREF _Toc28371 \h </w:instrText>
          </w:r>
          <w:r>
            <w:fldChar w:fldCharType="separate"/>
          </w:r>
          <w:r>
            <w:t>15</w:t>
          </w:r>
          <w:r>
            <w:fldChar w:fldCharType="end"/>
          </w:r>
          <w:r>
            <w:fldChar w:fldCharType="end"/>
          </w:r>
        </w:p>
        <w:p w14:paraId="27938DEB">
          <w:pPr>
            <w:pStyle w:val="45"/>
            <w:tabs>
              <w:tab w:val="right" w:leader="dot" w:pos="8731"/>
              <w:tab w:val="clear" w:pos="8381"/>
            </w:tabs>
          </w:pPr>
          <w:r>
            <w:fldChar w:fldCharType="begin"/>
          </w:r>
          <w:r>
            <w:instrText xml:space="preserve"> HYPERLINK \l _Toc918 </w:instrText>
          </w:r>
          <w:r>
            <w:fldChar w:fldCharType="separate"/>
          </w:r>
          <w:r>
            <w:rPr>
              <w:rFonts w:ascii="Times New Roman" w:hAnsi="Times New Roman" w:eastAsia="黑体"/>
            </w:rPr>
            <w:t>2.3 物质遗产、非遗与旅游产品耦合的研究进展</w:t>
          </w:r>
          <w:r>
            <w:tab/>
          </w:r>
          <w:r>
            <w:fldChar w:fldCharType="begin"/>
          </w:r>
          <w:r>
            <w:instrText xml:space="preserve"> PAGEREF _Toc918 \h </w:instrText>
          </w:r>
          <w:r>
            <w:fldChar w:fldCharType="separate"/>
          </w:r>
          <w:r>
            <w:t>15</w:t>
          </w:r>
          <w:r>
            <w:fldChar w:fldCharType="end"/>
          </w:r>
          <w:r>
            <w:fldChar w:fldCharType="end"/>
          </w:r>
        </w:p>
        <w:p w14:paraId="177CBDBC">
          <w:pPr>
            <w:pStyle w:val="45"/>
            <w:tabs>
              <w:tab w:val="right" w:leader="dot" w:pos="8731"/>
              <w:tab w:val="clear" w:pos="8381"/>
            </w:tabs>
          </w:pPr>
          <w:r>
            <w:fldChar w:fldCharType="begin"/>
          </w:r>
          <w:r>
            <w:instrText xml:space="preserve"> HYPERLINK \l _Toc12137 </w:instrText>
          </w:r>
          <w:r>
            <w:fldChar w:fldCharType="separate"/>
          </w:r>
          <w:r>
            <w:rPr>
              <w:rFonts w:ascii="Times New Roman" w:hAnsi="Times New Roman" w:eastAsia="黑体"/>
            </w:rPr>
            <w:t>2.4 佛山市、珠三角及同尺度区域的相关研究</w:t>
          </w:r>
          <w:r>
            <w:tab/>
          </w:r>
          <w:r>
            <w:fldChar w:fldCharType="begin"/>
          </w:r>
          <w:r>
            <w:instrText xml:space="preserve"> PAGEREF _Toc12137 \h </w:instrText>
          </w:r>
          <w:r>
            <w:fldChar w:fldCharType="separate"/>
          </w:r>
          <w:r>
            <w:t>16</w:t>
          </w:r>
          <w:r>
            <w:fldChar w:fldCharType="end"/>
          </w:r>
          <w:r>
            <w:fldChar w:fldCharType="end"/>
          </w:r>
        </w:p>
        <w:p w14:paraId="1824CF28">
          <w:pPr>
            <w:pStyle w:val="45"/>
            <w:tabs>
              <w:tab w:val="right" w:leader="dot" w:pos="8731"/>
              <w:tab w:val="clear" w:pos="8381"/>
            </w:tabs>
          </w:pPr>
          <w:r>
            <w:fldChar w:fldCharType="begin"/>
          </w:r>
          <w:r>
            <w:instrText xml:space="preserve"> HYPERLINK \l _Toc27280 </w:instrText>
          </w:r>
          <w:r>
            <w:fldChar w:fldCharType="separate"/>
          </w:r>
          <w:r>
            <w:rPr>
              <w:rFonts w:ascii="Times New Roman" w:hAnsi="Times New Roman" w:eastAsia="黑体"/>
            </w:rPr>
            <w:t>2.5 研究述评与本研究定位</w:t>
          </w:r>
          <w:r>
            <w:tab/>
          </w:r>
          <w:r>
            <w:fldChar w:fldCharType="begin"/>
          </w:r>
          <w:r>
            <w:instrText xml:space="preserve"> PAGEREF _Toc27280 \h </w:instrText>
          </w:r>
          <w:r>
            <w:fldChar w:fldCharType="separate"/>
          </w:r>
          <w:r>
            <w:t>16</w:t>
          </w:r>
          <w:r>
            <w:fldChar w:fldCharType="end"/>
          </w:r>
          <w:r>
            <w:fldChar w:fldCharType="end"/>
          </w:r>
        </w:p>
        <w:p w14:paraId="3A0BAF9A">
          <w:pPr>
            <w:pStyle w:val="46"/>
            <w:tabs>
              <w:tab w:val="right" w:leader="dot" w:pos="8731"/>
              <w:tab w:val="clear" w:pos="8381"/>
            </w:tabs>
          </w:pPr>
          <w:r>
            <w:fldChar w:fldCharType="begin"/>
          </w:r>
          <w:r>
            <w:instrText xml:space="preserve"> HYPERLINK \l _Toc18025 </w:instrText>
          </w:r>
          <w:r>
            <w:fldChar w:fldCharType="separate"/>
          </w:r>
          <w:r>
            <w:rPr>
              <w:rFonts w:ascii="Times New Roman" w:hAnsi="Times New Roman" w:eastAsia="黑体"/>
            </w:rPr>
            <w:t>第 3 章　研究区域与数据基础</w:t>
          </w:r>
          <w:r>
            <w:tab/>
          </w:r>
          <w:r>
            <w:fldChar w:fldCharType="begin"/>
          </w:r>
          <w:r>
            <w:instrText xml:space="preserve"> PAGEREF _Toc18025 \h </w:instrText>
          </w:r>
          <w:r>
            <w:fldChar w:fldCharType="separate"/>
          </w:r>
          <w:r>
            <w:t>18</w:t>
          </w:r>
          <w:r>
            <w:fldChar w:fldCharType="end"/>
          </w:r>
          <w:r>
            <w:fldChar w:fldCharType="end"/>
          </w:r>
        </w:p>
        <w:p w14:paraId="55F0D4C2">
          <w:pPr>
            <w:pStyle w:val="45"/>
            <w:tabs>
              <w:tab w:val="right" w:leader="dot" w:pos="8731"/>
              <w:tab w:val="clear" w:pos="8381"/>
            </w:tabs>
          </w:pPr>
          <w:r>
            <w:fldChar w:fldCharType="begin"/>
          </w:r>
          <w:r>
            <w:instrText xml:space="preserve"> HYPERLINK \l _Toc28513 </w:instrText>
          </w:r>
          <w:r>
            <w:fldChar w:fldCharType="separate"/>
          </w:r>
          <w:r>
            <w:rPr>
              <w:rFonts w:ascii="Times New Roman" w:hAnsi="Times New Roman" w:eastAsia="黑体"/>
            </w:rPr>
            <w:t>3.1 研究区域概况</w:t>
          </w:r>
          <w:r>
            <w:tab/>
          </w:r>
          <w:r>
            <w:fldChar w:fldCharType="begin"/>
          </w:r>
          <w:r>
            <w:instrText xml:space="preserve"> PAGEREF _Toc28513 \h </w:instrText>
          </w:r>
          <w:r>
            <w:fldChar w:fldCharType="separate"/>
          </w:r>
          <w:r>
            <w:t>18</w:t>
          </w:r>
          <w:r>
            <w:fldChar w:fldCharType="end"/>
          </w:r>
          <w:r>
            <w:fldChar w:fldCharType="end"/>
          </w:r>
        </w:p>
        <w:p w14:paraId="15290649">
          <w:pPr>
            <w:pStyle w:val="44"/>
            <w:tabs>
              <w:tab w:val="right" w:leader="dot" w:pos="8731"/>
              <w:tab w:val="clear" w:pos="8381"/>
            </w:tabs>
          </w:pPr>
          <w:r>
            <w:fldChar w:fldCharType="begin"/>
          </w:r>
          <w:r>
            <w:instrText xml:space="preserve"> HYPERLINK \l _Toc20891 </w:instrText>
          </w:r>
          <w:r>
            <w:fldChar w:fldCharType="separate"/>
          </w:r>
          <w:r>
            <w:rPr>
              <w:rFonts w:ascii="Times New Roman" w:hAnsi="Times New Roman" w:eastAsia="黑体"/>
            </w:rPr>
            <w:t>3.1.1 地理位置与行政区划</w:t>
          </w:r>
          <w:r>
            <w:tab/>
          </w:r>
          <w:r>
            <w:fldChar w:fldCharType="begin"/>
          </w:r>
          <w:r>
            <w:instrText xml:space="preserve"> PAGEREF _Toc20891 \h </w:instrText>
          </w:r>
          <w:r>
            <w:fldChar w:fldCharType="separate"/>
          </w:r>
          <w:r>
            <w:t>18</w:t>
          </w:r>
          <w:r>
            <w:fldChar w:fldCharType="end"/>
          </w:r>
          <w:r>
            <w:fldChar w:fldCharType="end"/>
          </w:r>
        </w:p>
        <w:p w14:paraId="56B519AB">
          <w:pPr>
            <w:pStyle w:val="44"/>
            <w:tabs>
              <w:tab w:val="right" w:leader="dot" w:pos="8731"/>
              <w:tab w:val="clear" w:pos="8381"/>
            </w:tabs>
          </w:pPr>
          <w:r>
            <w:fldChar w:fldCharType="begin"/>
          </w:r>
          <w:r>
            <w:instrText xml:space="preserve"> HYPERLINK \l _Toc7035 </w:instrText>
          </w:r>
          <w:r>
            <w:fldChar w:fldCharType="separate"/>
          </w:r>
          <w:r>
            <w:rPr>
              <w:rFonts w:ascii="Times New Roman" w:hAnsi="Times New Roman" w:eastAsia="黑体"/>
            </w:rPr>
            <w:t>3.1.2 文旅资源家底</w:t>
          </w:r>
          <w:r>
            <w:tab/>
          </w:r>
          <w:r>
            <w:fldChar w:fldCharType="begin"/>
          </w:r>
          <w:r>
            <w:instrText xml:space="preserve"> PAGEREF _Toc7035 \h </w:instrText>
          </w:r>
          <w:r>
            <w:fldChar w:fldCharType="separate"/>
          </w:r>
          <w:r>
            <w:t>18</w:t>
          </w:r>
          <w:r>
            <w:fldChar w:fldCharType="end"/>
          </w:r>
          <w:r>
            <w:fldChar w:fldCharType="end"/>
          </w:r>
        </w:p>
        <w:p w14:paraId="464CA4D0">
          <w:pPr>
            <w:pStyle w:val="45"/>
            <w:tabs>
              <w:tab w:val="right" w:leader="dot" w:pos="8731"/>
              <w:tab w:val="clear" w:pos="8381"/>
            </w:tabs>
          </w:pPr>
          <w:r>
            <w:fldChar w:fldCharType="begin"/>
          </w:r>
          <w:r>
            <w:instrText xml:space="preserve"> HYPERLINK \l _Toc5221 </w:instrText>
          </w:r>
          <w:r>
            <w:fldChar w:fldCharType="separate"/>
          </w:r>
          <w:r>
            <w:rPr>
              <w:rFonts w:ascii="Times New Roman" w:hAnsi="Times New Roman" w:eastAsia="黑体"/>
            </w:rPr>
            <w:t>3.2 数据来源与处理</w:t>
          </w:r>
          <w:r>
            <w:tab/>
          </w:r>
          <w:r>
            <w:fldChar w:fldCharType="begin"/>
          </w:r>
          <w:r>
            <w:instrText xml:space="preserve"> PAGEREF _Toc5221 \h </w:instrText>
          </w:r>
          <w:r>
            <w:fldChar w:fldCharType="separate"/>
          </w:r>
          <w:r>
            <w:t>19</w:t>
          </w:r>
          <w:r>
            <w:fldChar w:fldCharType="end"/>
          </w:r>
          <w:r>
            <w:fldChar w:fldCharType="end"/>
          </w:r>
        </w:p>
        <w:p w14:paraId="610FD208">
          <w:pPr>
            <w:pStyle w:val="44"/>
            <w:tabs>
              <w:tab w:val="right" w:leader="dot" w:pos="8731"/>
              <w:tab w:val="clear" w:pos="8381"/>
            </w:tabs>
          </w:pPr>
          <w:r>
            <w:fldChar w:fldCharType="begin"/>
          </w:r>
          <w:r>
            <w:instrText xml:space="preserve"> HYPERLINK \l _Toc28023 </w:instrText>
          </w:r>
          <w:r>
            <w:fldChar w:fldCharType="separate"/>
          </w:r>
          <w:r>
            <w:rPr>
              <w:rFonts w:ascii="Times New Roman" w:hAnsi="Times New Roman" w:eastAsia="黑体"/>
            </w:rPr>
            <w:t>3.2.1 典籍文献数据</w:t>
          </w:r>
          <w:r>
            <w:tab/>
          </w:r>
          <w:r>
            <w:fldChar w:fldCharType="begin"/>
          </w:r>
          <w:r>
            <w:instrText xml:space="preserve"> PAGEREF _Toc28023 \h </w:instrText>
          </w:r>
          <w:r>
            <w:fldChar w:fldCharType="separate"/>
          </w:r>
          <w:r>
            <w:t>19</w:t>
          </w:r>
          <w:r>
            <w:fldChar w:fldCharType="end"/>
          </w:r>
          <w:r>
            <w:fldChar w:fldCharType="end"/>
          </w:r>
        </w:p>
        <w:p w14:paraId="2288347A">
          <w:pPr>
            <w:pStyle w:val="44"/>
            <w:tabs>
              <w:tab w:val="right" w:leader="dot" w:pos="8731"/>
              <w:tab w:val="clear" w:pos="8381"/>
            </w:tabs>
          </w:pPr>
          <w:r>
            <w:fldChar w:fldCharType="begin"/>
          </w:r>
          <w:r>
            <w:instrText xml:space="preserve"> HYPERLINK \l _Toc132 </w:instrText>
          </w:r>
          <w:r>
            <w:fldChar w:fldCharType="separate"/>
          </w:r>
          <w:r>
            <w:rPr>
              <w:rFonts w:ascii="Times New Roman" w:hAnsi="Times New Roman" w:eastAsia="黑体"/>
            </w:rPr>
            <w:t>3.2.2 旅游 POI 数据</w:t>
          </w:r>
          <w:r>
            <w:tab/>
          </w:r>
          <w:r>
            <w:fldChar w:fldCharType="begin"/>
          </w:r>
          <w:r>
            <w:instrText xml:space="preserve"> PAGEREF _Toc132 \h </w:instrText>
          </w:r>
          <w:r>
            <w:fldChar w:fldCharType="separate"/>
          </w:r>
          <w:r>
            <w:t>19</w:t>
          </w:r>
          <w:r>
            <w:fldChar w:fldCharType="end"/>
          </w:r>
          <w:r>
            <w:fldChar w:fldCharType="end"/>
          </w:r>
        </w:p>
        <w:p w14:paraId="477EADE5">
          <w:pPr>
            <w:pStyle w:val="44"/>
            <w:tabs>
              <w:tab w:val="right" w:leader="dot" w:pos="8731"/>
              <w:tab w:val="clear" w:pos="8381"/>
            </w:tabs>
          </w:pPr>
          <w:r>
            <w:fldChar w:fldCharType="begin"/>
          </w:r>
          <w:r>
            <w:instrText xml:space="preserve"> HYPERLINK \l _Toc28546 </w:instrText>
          </w:r>
          <w:r>
            <w:fldChar w:fldCharType="separate"/>
          </w:r>
          <w:r>
            <w:rPr>
              <w:rFonts w:ascii="Times New Roman" w:hAnsi="Times New Roman" w:eastAsia="黑体"/>
            </w:rPr>
            <w:t>3.2.3 用户评论数据</w:t>
          </w:r>
          <w:r>
            <w:tab/>
          </w:r>
          <w:r>
            <w:fldChar w:fldCharType="begin"/>
          </w:r>
          <w:r>
            <w:instrText xml:space="preserve"> PAGEREF _Toc28546 \h </w:instrText>
          </w:r>
          <w:r>
            <w:fldChar w:fldCharType="separate"/>
          </w:r>
          <w:r>
            <w:t>19</w:t>
          </w:r>
          <w:r>
            <w:fldChar w:fldCharType="end"/>
          </w:r>
          <w:r>
            <w:fldChar w:fldCharType="end"/>
          </w:r>
        </w:p>
        <w:p w14:paraId="21BB7D90">
          <w:pPr>
            <w:pStyle w:val="44"/>
            <w:tabs>
              <w:tab w:val="right" w:leader="dot" w:pos="8731"/>
              <w:tab w:val="clear" w:pos="8381"/>
            </w:tabs>
          </w:pPr>
          <w:r>
            <w:fldChar w:fldCharType="begin"/>
          </w:r>
          <w:r>
            <w:instrText xml:space="preserve"> HYPERLINK \l _Toc24908 </w:instrText>
          </w:r>
          <w:r>
            <w:fldChar w:fldCharType="separate"/>
          </w:r>
          <w:r>
            <w:rPr>
              <w:rFonts w:ascii="Times New Roman" w:hAnsi="Times New Roman" w:eastAsia="黑体"/>
            </w:rPr>
            <w:t>3.2.4 非遗名录数据</w:t>
          </w:r>
          <w:r>
            <w:tab/>
          </w:r>
          <w:r>
            <w:fldChar w:fldCharType="begin"/>
          </w:r>
          <w:r>
            <w:instrText xml:space="preserve"> PAGEREF _Toc24908 \h </w:instrText>
          </w:r>
          <w:r>
            <w:fldChar w:fldCharType="separate"/>
          </w:r>
          <w:r>
            <w:t>20</w:t>
          </w:r>
          <w:r>
            <w:fldChar w:fldCharType="end"/>
          </w:r>
          <w:r>
            <w:fldChar w:fldCharType="end"/>
          </w:r>
        </w:p>
        <w:p w14:paraId="3B5A5F7D">
          <w:pPr>
            <w:pStyle w:val="44"/>
            <w:tabs>
              <w:tab w:val="right" w:leader="dot" w:pos="8731"/>
              <w:tab w:val="clear" w:pos="8381"/>
            </w:tabs>
          </w:pPr>
          <w:r>
            <w:fldChar w:fldCharType="begin"/>
          </w:r>
          <w:r>
            <w:instrText xml:space="preserve"> HYPERLINK \l _Toc27153 </w:instrText>
          </w:r>
          <w:r>
            <w:fldChar w:fldCharType="separate"/>
          </w:r>
          <w:r>
            <w:rPr>
              <w:rFonts w:ascii="Times New Roman" w:hAnsi="Times New Roman" w:eastAsia="黑体"/>
            </w:rPr>
            <w:t>3.2.5 政府普查文化载体（核心桥梁清单）</w:t>
          </w:r>
          <w:r>
            <w:tab/>
          </w:r>
          <w:r>
            <w:fldChar w:fldCharType="begin"/>
          </w:r>
          <w:r>
            <w:instrText xml:space="preserve"> PAGEREF _Toc27153 \h </w:instrText>
          </w:r>
          <w:r>
            <w:fldChar w:fldCharType="separate"/>
          </w:r>
          <w:r>
            <w:t>20</w:t>
          </w:r>
          <w:r>
            <w:fldChar w:fldCharType="end"/>
          </w:r>
          <w:r>
            <w:fldChar w:fldCharType="end"/>
          </w:r>
        </w:p>
        <w:p w14:paraId="5FD9778D">
          <w:pPr>
            <w:pStyle w:val="45"/>
            <w:tabs>
              <w:tab w:val="right" w:leader="dot" w:pos="8731"/>
              <w:tab w:val="clear" w:pos="8381"/>
            </w:tabs>
          </w:pPr>
          <w:r>
            <w:fldChar w:fldCharType="begin"/>
          </w:r>
          <w:r>
            <w:instrText xml:space="preserve"> HYPERLINK \l _Toc9733 </w:instrText>
          </w:r>
          <w:r>
            <w:fldChar w:fldCharType="separate"/>
          </w:r>
          <w:r>
            <w:rPr>
              <w:rFonts w:ascii="Times New Roman" w:hAnsi="Times New Roman" w:eastAsia="黑体"/>
            </w:rPr>
            <w:t>3.3 数据覆盖与局限性</w:t>
          </w:r>
          <w:r>
            <w:tab/>
          </w:r>
          <w:r>
            <w:fldChar w:fldCharType="begin"/>
          </w:r>
          <w:r>
            <w:instrText xml:space="preserve"> PAGEREF _Toc9733 \h </w:instrText>
          </w:r>
          <w:r>
            <w:fldChar w:fldCharType="separate"/>
          </w:r>
          <w:r>
            <w:t>21</w:t>
          </w:r>
          <w:r>
            <w:fldChar w:fldCharType="end"/>
          </w:r>
          <w:r>
            <w:fldChar w:fldCharType="end"/>
          </w:r>
        </w:p>
        <w:p w14:paraId="7408B5F7">
          <w:pPr>
            <w:pStyle w:val="46"/>
            <w:tabs>
              <w:tab w:val="right" w:leader="dot" w:pos="8731"/>
              <w:tab w:val="clear" w:pos="8381"/>
            </w:tabs>
          </w:pPr>
          <w:r>
            <w:fldChar w:fldCharType="begin"/>
          </w:r>
          <w:r>
            <w:instrText xml:space="preserve"> HYPERLINK \l _Toc23888 </w:instrText>
          </w:r>
          <w:r>
            <w:fldChar w:fldCharType="separate"/>
          </w:r>
          <w:r>
            <w:rPr>
              <w:rFonts w:ascii="Times New Roman" w:hAnsi="Times New Roman" w:eastAsia="黑体"/>
            </w:rPr>
            <w:t>第 4 章　文化知识体系构建：知识图谱的实现</w:t>
          </w:r>
          <w:r>
            <w:tab/>
          </w:r>
          <w:r>
            <w:fldChar w:fldCharType="begin"/>
          </w:r>
          <w:r>
            <w:instrText xml:space="preserve"> PAGEREF _Toc23888 \h </w:instrText>
          </w:r>
          <w:r>
            <w:fldChar w:fldCharType="separate"/>
          </w:r>
          <w:r>
            <w:t>22</w:t>
          </w:r>
          <w:r>
            <w:fldChar w:fldCharType="end"/>
          </w:r>
          <w:r>
            <w:fldChar w:fldCharType="end"/>
          </w:r>
        </w:p>
        <w:p w14:paraId="78F41C3E">
          <w:pPr>
            <w:pStyle w:val="45"/>
            <w:tabs>
              <w:tab w:val="right" w:leader="dot" w:pos="8731"/>
              <w:tab w:val="clear" w:pos="8381"/>
            </w:tabs>
          </w:pPr>
          <w:r>
            <w:fldChar w:fldCharType="begin"/>
          </w:r>
          <w:r>
            <w:instrText xml:space="preserve"> HYPERLINK \l _Toc27687 </w:instrText>
          </w:r>
          <w:r>
            <w:fldChar w:fldCharType="separate"/>
          </w:r>
          <w:r>
            <w:rPr>
              <w:rFonts w:ascii="Times New Roman" w:hAnsi="Times New Roman" w:eastAsia="黑体"/>
            </w:rPr>
            <w:t>4.1 实体与关系的定义</w:t>
          </w:r>
          <w:r>
            <w:tab/>
          </w:r>
          <w:r>
            <w:fldChar w:fldCharType="begin"/>
          </w:r>
          <w:r>
            <w:instrText xml:space="preserve"> PAGEREF _Toc27687 \h </w:instrText>
          </w:r>
          <w:r>
            <w:fldChar w:fldCharType="separate"/>
          </w:r>
          <w:r>
            <w:t>22</w:t>
          </w:r>
          <w:r>
            <w:fldChar w:fldCharType="end"/>
          </w:r>
          <w:r>
            <w:fldChar w:fldCharType="end"/>
          </w:r>
        </w:p>
        <w:p w14:paraId="11CB712B">
          <w:pPr>
            <w:pStyle w:val="44"/>
            <w:tabs>
              <w:tab w:val="right" w:leader="dot" w:pos="8731"/>
              <w:tab w:val="clear" w:pos="8381"/>
            </w:tabs>
          </w:pPr>
          <w:r>
            <w:fldChar w:fldCharType="begin"/>
          </w:r>
          <w:r>
            <w:instrText xml:space="preserve"> HYPERLINK \l _Toc32489 </w:instrText>
          </w:r>
          <w:r>
            <w:fldChar w:fldCharType="separate"/>
          </w:r>
          <w:r>
            <w:rPr>
              <w:rFonts w:ascii="Times New Roman" w:hAnsi="Times New Roman" w:eastAsia="黑体"/>
            </w:rPr>
            <w:t>4.1.1 实体分类</w:t>
          </w:r>
          <w:r>
            <w:tab/>
          </w:r>
          <w:r>
            <w:fldChar w:fldCharType="begin"/>
          </w:r>
          <w:r>
            <w:instrText xml:space="preserve"> PAGEREF _Toc32489 \h </w:instrText>
          </w:r>
          <w:r>
            <w:fldChar w:fldCharType="separate"/>
          </w:r>
          <w:r>
            <w:t>22</w:t>
          </w:r>
          <w:r>
            <w:fldChar w:fldCharType="end"/>
          </w:r>
          <w:r>
            <w:fldChar w:fldCharType="end"/>
          </w:r>
        </w:p>
        <w:p w14:paraId="153CF97A">
          <w:pPr>
            <w:pStyle w:val="44"/>
            <w:tabs>
              <w:tab w:val="right" w:leader="dot" w:pos="8731"/>
              <w:tab w:val="clear" w:pos="8381"/>
            </w:tabs>
          </w:pPr>
          <w:r>
            <w:fldChar w:fldCharType="begin"/>
          </w:r>
          <w:r>
            <w:instrText xml:space="preserve"> HYPERLINK \l _Toc12418 </w:instrText>
          </w:r>
          <w:r>
            <w:fldChar w:fldCharType="separate"/>
          </w:r>
          <w:r>
            <w:rPr>
              <w:rFonts w:ascii="Times New Roman" w:hAnsi="Times New Roman" w:eastAsia="黑体"/>
            </w:rPr>
            <w:t>4.1.2 关系分类</w:t>
          </w:r>
          <w:r>
            <w:tab/>
          </w:r>
          <w:r>
            <w:fldChar w:fldCharType="begin"/>
          </w:r>
          <w:r>
            <w:instrText xml:space="preserve"> PAGEREF _Toc12418 \h </w:instrText>
          </w:r>
          <w:r>
            <w:fldChar w:fldCharType="separate"/>
          </w:r>
          <w:r>
            <w:t>22</w:t>
          </w:r>
          <w:r>
            <w:fldChar w:fldCharType="end"/>
          </w:r>
          <w:r>
            <w:fldChar w:fldCharType="end"/>
          </w:r>
        </w:p>
        <w:p w14:paraId="51712134">
          <w:pPr>
            <w:pStyle w:val="45"/>
            <w:tabs>
              <w:tab w:val="right" w:leader="dot" w:pos="8731"/>
              <w:tab w:val="clear" w:pos="8381"/>
            </w:tabs>
          </w:pPr>
          <w:r>
            <w:fldChar w:fldCharType="begin"/>
          </w:r>
          <w:r>
            <w:instrText xml:space="preserve"> HYPERLINK \l _Toc9998 </w:instrText>
          </w:r>
          <w:r>
            <w:fldChar w:fldCharType="separate"/>
          </w:r>
          <w:r>
            <w:rPr>
              <w:rFonts w:ascii="Times New Roman" w:hAnsi="Times New Roman" w:eastAsia="黑体"/>
            </w:rPr>
            <w:t>4.2 基于大语言模型的抽取过程</w:t>
          </w:r>
          <w:r>
            <w:tab/>
          </w:r>
          <w:r>
            <w:fldChar w:fldCharType="begin"/>
          </w:r>
          <w:r>
            <w:instrText xml:space="preserve"> PAGEREF _Toc9998 \h </w:instrText>
          </w:r>
          <w:r>
            <w:fldChar w:fldCharType="separate"/>
          </w:r>
          <w:r>
            <w:t>22</w:t>
          </w:r>
          <w:r>
            <w:fldChar w:fldCharType="end"/>
          </w:r>
          <w:r>
            <w:fldChar w:fldCharType="end"/>
          </w:r>
        </w:p>
        <w:p w14:paraId="7BAB81DB">
          <w:pPr>
            <w:pStyle w:val="44"/>
            <w:tabs>
              <w:tab w:val="right" w:leader="dot" w:pos="8731"/>
              <w:tab w:val="clear" w:pos="8381"/>
            </w:tabs>
          </w:pPr>
          <w:r>
            <w:fldChar w:fldCharType="begin"/>
          </w:r>
          <w:r>
            <w:instrText xml:space="preserve"> HYPERLINK \l _Toc1682 </w:instrText>
          </w:r>
          <w:r>
            <w:fldChar w:fldCharType="separate"/>
          </w:r>
          <w:r>
            <w:rPr>
              <w:rFonts w:ascii="Times New Roman" w:hAnsi="Times New Roman" w:eastAsia="黑体"/>
            </w:rPr>
            <w:t>4.2.1 模型与分块</w:t>
          </w:r>
          <w:r>
            <w:tab/>
          </w:r>
          <w:r>
            <w:fldChar w:fldCharType="begin"/>
          </w:r>
          <w:r>
            <w:instrText xml:space="preserve"> PAGEREF _Toc1682 \h </w:instrText>
          </w:r>
          <w:r>
            <w:fldChar w:fldCharType="separate"/>
          </w:r>
          <w:r>
            <w:t>22</w:t>
          </w:r>
          <w:r>
            <w:fldChar w:fldCharType="end"/>
          </w:r>
          <w:r>
            <w:fldChar w:fldCharType="end"/>
          </w:r>
        </w:p>
        <w:p w14:paraId="4B83FE34">
          <w:pPr>
            <w:pStyle w:val="44"/>
            <w:tabs>
              <w:tab w:val="right" w:leader="dot" w:pos="8731"/>
              <w:tab w:val="clear" w:pos="8381"/>
            </w:tabs>
          </w:pPr>
          <w:r>
            <w:fldChar w:fldCharType="begin"/>
          </w:r>
          <w:r>
            <w:instrText xml:space="preserve"> HYPERLINK \l _Toc12027 </w:instrText>
          </w:r>
          <w:r>
            <w:fldChar w:fldCharType="separate"/>
          </w:r>
          <w:r>
            <w:rPr>
              <w:rFonts w:ascii="Times New Roman" w:hAnsi="Times New Roman" w:eastAsia="黑体"/>
            </w:rPr>
            <w:t>4.2.2 质量控制</w:t>
          </w:r>
          <w:r>
            <w:tab/>
          </w:r>
          <w:r>
            <w:fldChar w:fldCharType="begin"/>
          </w:r>
          <w:r>
            <w:instrText xml:space="preserve"> PAGEREF _Toc12027 \h </w:instrText>
          </w:r>
          <w:r>
            <w:fldChar w:fldCharType="separate"/>
          </w:r>
          <w:r>
            <w:t>23</w:t>
          </w:r>
          <w:r>
            <w:fldChar w:fldCharType="end"/>
          </w:r>
          <w:r>
            <w:fldChar w:fldCharType="end"/>
          </w:r>
        </w:p>
        <w:p w14:paraId="25483CD2">
          <w:pPr>
            <w:pStyle w:val="44"/>
            <w:tabs>
              <w:tab w:val="right" w:leader="dot" w:pos="8731"/>
              <w:tab w:val="clear" w:pos="8381"/>
            </w:tabs>
          </w:pPr>
          <w:r>
            <w:fldChar w:fldCharType="begin"/>
          </w:r>
          <w:r>
            <w:instrText xml:space="preserve"> HYPERLINK \l _Toc28563 </w:instrText>
          </w:r>
          <w:r>
            <w:fldChar w:fldCharType="separate"/>
          </w:r>
          <w:r>
            <w:rPr>
              <w:rFonts w:ascii="Times New Roman" w:hAnsi="Times New Roman" w:eastAsia="黑体"/>
            </w:rPr>
            <w:t>4.2.3 合并与入库</w:t>
          </w:r>
          <w:r>
            <w:tab/>
          </w:r>
          <w:r>
            <w:fldChar w:fldCharType="begin"/>
          </w:r>
          <w:r>
            <w:instrText xml:space="preserve"> PAGEREF _Toc28563 \h </w:instrText>
          </w:r>
          <w:r>
            <w:fldChar w:fldCharType="separate"/>
          </w:r>
          <w:r>
            <w:t>23</w:t>
          </w:r>
          <w:r>
            <w:fldChar w:fldCharType="end"/>
          </w:r>
          <w:r>
            <w:fldChar w:fldCharType="end"/>
          </w:r>
        </w:p>
        <w:p w14:paraId="05DD17E4">
          <w:pPr>
            <w:pStyle w:val="45"/>
            <w:tabs>
              <w:tab w:val="right" w:leader="dot" w:pos="8731"/>
              <w:tab w:val="clear" w:pos="8381"/>
            </w:tabs>
          </w:pPr>
          <w:r>
            <w:fldChar w:fldCharType="begin"/>
          </w:r>
          <w:r>
            <w:instrText xml:space="preserve"> HYPERLINK \l _Toc5184 </w:instrText>
          </w:r>
          <w:r>
            <w:fldChar w:fldCharType="separate"/>
          </w:r>
          <w:r>
            <w:rPr>
              <w:rFonts w:ascii="Times New Roman" w:hAnsi="Times New Roman" w:eastAsia="黑体"/>
            </w:rPr>
            <w:t>4.3 图数据库的构建与可视化</w:t>
          </w:r>
          <w:r>
            <w:tab/>
          </w:r>
          <w:r>
            <w:fldChar w:fldCharType="begin"/>
          </w:r>
          <w:r>
            <w:instrText xml:space="preserve"> PAGEREF _Toc5184 \h </w:instrText>
          </w:r>
          <w:r>
            <w:fldChar w:fldCharType="separate"/>
          </w:r>
          <w:r>
            <w:t>23</w:t>
          </w:r>
          <w:r>
            <w:fldChar w:fldCharType="end"/>
          </w:r>
          <w:r>
            <w:fldChar w:fldCharType="end"/>
          </w:r>
        </w:p>
        <w:p w14:paraId="43AAB4C9">
          <w:pPr>
            <w:pStyle w:val="44"/>
            <w:tabs>
              <w:tab w:val="right" w:leader="dot" w:pos="8731"/>
              <w:tab w:val="clear" w:pos="8381"/>
            </w:tabs>
          </w:pPr>
          <w:r>
            <w:fldChar w:fldCharType="begin"/>
          </w:r>
          <w:r>
            <w:instrText xml:space="preserve"> HYPERLINK \l _Toc30480 </w:instrText>
          </w:r>
          <w:r>
            <w:fldChar w:fldCharType="separate"/>
          </w:r>
          <w:r>
            <w:rPr>
              <w:rFonts w:ascii="Times New Roman" w:hAnsi="Times New Roman" w:eastAsia="黑体"/>
            </w:rPr>
            <w:t>4.3.1 构建过程</w:t>
          </w:r>
          <w:r>
            <w:tab/>
          </w:r>
          <w:r>
            <w:fldChar w:fldCharType="begin"/>
          </w:r>
          <w:r>
            <w:instrText xml:space="preserve"> PAGEREF _Toc30480 \h </w:instrText>
          </w:r>
          <w:r>
            <w:fldChar w:fldCharType="separate"/>
          </w:r>
          <w:r>
            <w:t>23</w:t>
          </w:r>
          <w:r>
            <w:fldChar w:fldCharType="end"/>
          </w:r>
          <w:r>
            <w:fldChar w:fldCharType="end"/>
          </w:r>
        </w:p>
        <w:p w14:paraId="254A908A">
          <w:pPr>
            <w:pStyle w:val="44"/>
            <w:tabs>
              <w:tab w:val="right" w:leader="dot" w:pos="8731"/>
              <w:tab w:val="clear" w:pos="8381"/>
            </w:tabs>
          </w:pPr>
          <w:r>
            <w:fldChar w:fldCharType="begin"/>
          </w:r>
          <w:r>
            <w:instrText xml:space="preserve"> HYPERLINK \l _Toc3981 </w:instrText>
          </w:r>
          <w:r>
            <w:fldChar w:fldCharType="separate"/>
          </w:r>
          <w:r>
            <w:rPr>
              <w:rFonts w:ascii="Times New Roman" w:hAnsi="Times New Roman" w:eastAsia="黑体"/>
            </w:rPr>
            <w:t>4.3.2 典型子图展示</w:t>
          </w:r>
          <w:r>
            <w:tab/>
          </w:r>
          <w:r>
            <w:fldChar w:fldCharType="begin"/>
          </w:r>
          <w:r>
            <w:instrText xml:space="preserve"> PAGEREF _Toc3981 \h </w:instrText>
          </w:r>
          <w:r>
            <w:fldChar w:fldCharType="separate"/>
          </w:r>
          <w:r>
            <w:t>24</w:t>
          </w:r>
          <w:r>
            <w:fldChar w:fldCharType="end"/>
          </w:r>
          <w:r>
            <w:fldChar w:fldCharType="end"/>
          </w:r>
        </w:p>
        <w:p w14:paraId="790FEC7E">
          <w:pPr>
            <w:pStyle w:val="46"/>
            <w:tabs>
              <w:tab w:val="right" w:leader="dot" w:pos="8731"/>
              <w:tab w:val="clear" w:pos="8381"/>
            </w:tabs>
          </w:pPr>
          <w:r>
            <w:fldChar w:fldCharType="begin"/>
          </w:r>
          <w:r>
            <w:instrText xml:space="preserve"> HYPERLINK \l _Toc10492 </w:instrText>
          </w:r>
          <w:r>
            <w:fldChar w:fldCharType="separate"/>
          </w:r>
          <w:r>
            <w:rPr>
              <w:rFonts w:ascii="Times New Roman" w:hAnsi="Times New Roman" w:eastAsia="黑体"/>
            </w:rPr>
            <w:t>第 5 章　旅游产品体系刻画与耦合分析</w:t>
          </w:r>
          <w:r>
            <w:tab/>
          </w:r>
          <w:r>
            <w:fldChar w:fldCharType="begin"/>
          </w:r>
          <w:r>
            <w:instrText xml:space="preserve"> PAGEREF _Toc10492 \h </w:instrText>
          </w:r>
          <w:r>
            <w:fldChar w:fldCharType="separate"/>
          </w:r>
          <w:r>
            <w:t>25</w:t>
          </w:r>
          <w:r>
            <w:fldChar w:fldCharType="end"/>
          </w:r>
          <w:r>
            <w:fldChar w:fldCharType="end"/>
          </w:r>
        </w:p>
        <w:p w14:paraId="0183BF01">
          <w:pPr>
            <w:pStyle w:val="45"/>
            <w:tabs>
              <w:tab w:val="right" w:leader="dot" w:pos="8731"/>
              <w:tab w:val="clear" w:pos="8381"/>
            </w:tabs>
          </w:pPr>
          <w:r>
            <w:fldChar w:fldCharType="begin"/>
          </w:r>
          <w:r>
            <w:instrText xml:space="preserve"> HYPERLINK \l _Toc745 </w:instrText>
          </w:r>
          <w:r>
            <w:fldChar w:fldCharType="separate"/>
          </w:r>
          <w:r>
            <w:rPr>
              <w:rFonts w:ascii="Times New Roman" w:hAnsi="Times New Roman" w:eastAsia="黑体"/>
            </w:rPr>
            <w:t>5.1 旅游产品体系的结构</w:t>
          </w:r>
          <w:r>
            <w:tab/>
          </w:r>
          <w:r>
            <w:fldChar w:fldCharType="begin"/>
          </w:r>
          <w:r>
            <w:instrText xml:space="preserve"> PAGEREF _Toc745 \h </w:instrText>
          </w:r>
          <w:r>
            <w:fldChar w:fldCharType="separate"/>
          </w:r>
          <w:r>
            <w:t>25</w:t>
          </w:r>
          <w:r>
            <w:fldChar w:fldCharType="end"/>
          </w:r>
          <w:r>
            <w:fldChar w:fldCharType="end"/>
          </w:r>
        </w:p>
        <w:p w14:paraId="59936B50">
          <w:pPr>
            <w:pStyle w:val="44"/>
            <w:tabs>
              <w:tab w:val="right" w:leader="dot" w:pos="8731"/>
              <w:tab w:val="clear" w:pos="8381"/>
            </w:tabs>
          </w:pPr>
          <w:r>
            <w:fldChar w:fldCharType="begin"/>
          </w:r>
          <w:r>
            <w:instrText xml:space="preserve"> HYPERLINK \l _Toc21921 </w:instrText>
          </w:r>
          <w:r>
            <w:fldChar w:fldCharType="separate"/>
          </w:r>
          <w:r>
            <w:rPr>
              <w:rFonts w:ascii="Times New Roman" w:hAnsi="Times New Roman" w:eastAsia="黑体"/>
            </w:rPr>
            <w:t>5.1.1 类型构成</w:t>
          </w:r>
          <w:r>
            <w:tab/>
          </w:r>
          <w:r>
            <w:fldChar w:fldCharType="begin"/>
          </w:r>
          <w:r>
            <w:instrText xml:space="preserve"> PAGEREF _Toc21921 \h </w:instrText>
          </w:r>
          <w:r>
            <w:fldChar w:fldCharType="separate"/>
          </w:r>
          <w:r>
            <w:t>25</w:t>
          </w:r>
          <w:r>
            <w:fldChar w:fldCharType="end"/>
          </w:r>
          <w:r>
            <w:fldChar w:fldCharType="end"/>
          </w:r>
        </w:p>
        <w:p w14:paraId="0C69AADB">
          <w:pPr>
            <w:pStyle w:val="44"/>
            <w:tabs>
              <w:tab w:val="right" w:leader="dot" w:pos="8731"/>
              <w:tab w:val="clear" w:pos="8381"/>
            </w:tabs>
          </w:pPr>
          <w:r>
            <w:fldChar w:fldCharType="begin"/>
          </w:r>
          <w:r>
            <w:instrText xml:space="preserve"> HYPERLINK \l _Toc621 </w:instrText>
          </w:r>
          <w:r>
            <w:fldChar w:fldCharType="separate"/>
          </w:r>
          <w:r>
            <w:rPr>
              <w:rFonts w:ascii="Times New Roman" w:hAnsi="Times New Roman" w:eastAsia="黑体"/>
            </w:rPr>
            <w:t>5.1.2 镇街分布</w:t>
          </w:r>
          <w:r>
            <w:tab/>
          </w:r>
          <w:r>
            <w:fldChar w:fldCharType="begin"/>
          </w:r>
          <w:r>
            <w:instrText xml:space="preserve"> PAGEREF _Toc621 \h </w:instrText>
          </w:r>
          <w:r>
            <w:fldChar w:fldCharType="separate"/>
          </w:r>
          <w:r>
            <w:t>25</w:t>
          </w:r>
          <w:r>
            <w:fldChar w:fldCharType="end"/>
          </w:r>
          <w:r>
            <w:fldChar w:fldCharType="end"/>
          </w:r>
        </w:p>
        <w:p w14:paraId="67E8D789">
          <w:pPr>
            <w:pStyle w:val="45"/>
            <w:tabs>
              <w:tab w:val="right" w:leader="dot" w:pos="8731"/>
              <w:tab w:val="clear" w:pos="8381"/>
            </w:tabs>
          </w:pPr>
          <w:r>
            <w:fldChar w:fldCharType="begin"/>
          </w:r>
          <w:r>
            <w:instrText xml:space="preserve"> HYPERLINK \l _Toc31200 </w:instrText>
          </w:r>
          <w:r>
            <w:fldChar w:fldCharType="separate"/>
          </w:r>
          <w:r>
            <w:rPr>
              <w:rFonts w:ascii="Times New Roman" w:hAnsi="Times New Roman" w:eastAsia="黑体"/>
            </w:rPr>
            <w:t>5.2 文化—旅游耦合桥梁：物质遗产为主、非遗为补充</w:t>
          </w:r>
          <w:r>
            <w:tab/>
          </w:r>
          <w:r>
            <w:fldChar w:fldCharType="begin"/>
          </w:r>
          <w:r>
            <w:instrText xml:space="preserve"> PAGEREF _Toc31200 \h </w:instrText>
          </w:r>
          <w:r>
            <w:fldChar w:fldCharType="separate"/>
          </w:r>
          <w:r>
            <w:t>25</w:t>
          </w:r>
          <w:r>
            <w:fldChar w:fldCharType="end"/>
          </w:r>
          <w:r>
            <w:fldChar w:fldCharType="end"/>
          </w:r>
        </w:p>
        <w:p w14:paraId="44057324">
          <w:pPr>
            <w:pStyle w:val="44"/>
            <w:tabs>
              <w:tab w:val="right" w:leader="dot" w:pos="8731"/>
              <w:tab w:val="clear" w:pos="8381"/>
            </w:tabs>
          </w:pPr>
          <w:r>
            <w:fldChar w:fldCharType="begin"/>
          </w:r>
          <w:r>
            <w:instrText xml:space="preserve"> HYPERLINK \l _Toc5110 </w:instrText>
          </w:r>
          <w:r>
            <w:fldChar w:fldCharType="separate"/>
          </w:r>
          <w:r>
            <w:rPr>
              <w:rFonts w:ascii="Times New Roman" w:hAnsi="Times New Roman" w:eastAsia="黑体"/>
            </w:rPr>
            <w:t>5.2.1 桥梁的操作化设计</w:t>
          </w:r>
          <w:r>
            <w:tab/>
          </w:r>
          <w:r>
            <w:fldChar w:fldCharType="begin"/>
          </w:r>
          <w:r>
            <w:instrText xml:space="preserve"> PAGEREF _Toc5110 \h </w:instrText>
          </w:r>
          <w:r>
            <w:fldChar w:fldCharType="separate"/>
          </w:r>
          <w:r>
            <w:t>25</w:t>
          </w:r>
          <w:r>
            <w:fldChar w:fldCharType="end"/>
          </w:r>
          <w:r>
            <w:fldChar w:fldCharType="end"/>
          </w:r>
        </w:p>
        <w:p w14:paraId="25E4C884">
          <w:pPr>
            <w:pStyle w:val="44"/>
            <w:tabs>
              <w:tab w:val="right" w:leader="dot" w:pos="8731"/>
              <w:tab w:val="clear" w:pos="8381"/>
            </w:tabs>
          </w:pPr>
          <w:r>
            <w:fldChar w:fldCharType="begin"/>
          </w:r>
          <w:r>
            <w:instrText xml:space="preserve"> HYPERLINK \l _Toc5783 </w:instrText>
          </w:r>
          <w:r>
            <w:fldChar w:fldCharType="separate"/>
          </w:r>
          <w:r>
            <w:rPr>
              <w:rFonts w:ascii="Times New Roman" w:hAnsi="Times New Roman" w:eastAsia="黑体"/>
            </w:rPr>
            <w:t>5.2.2 动态补充：依托空间的非遗项目</w:t>
          </w:r>
          <w:r>
            <w:tab/>
          </w:r>
          <w:r>
            <w:fldChar w:fldCharType="begin"/>
          </w:r>
          <w:r>
            <w:instrText xml:space="preserve"> PAGEREF _Toc5783 \h </w:instrText>
          </w:r>
          <w:r>
            <w:fldChar w:fldCharType="separate"/>
          </w:r>
          <w:r>
            <w:t>26</w:t>
          </w:r>
          <w:r>
            <w:fldChar w:fldCharType="end"/>
          </w:r>
          <w:r>
            <w:fldChar w:fldCharType="end"/>
          </w:r>
        </w:p>
        <w:p w14:paraId="7D6291F4">
          <w:pPr>
            <w:pStyle w:val="44"/>
            <w:tabs>
              <w:tab w:val="right" w:leader="dot" w:pos="8731"/>
              <w:tab w:val="clear" w:pos="8381"/>
            </w:tabs>
          </w:pPr>
          <w:r>
            <w:fldChar w:fldCharType="begin"/>
          </w:r>
          <w:r>
            <w:instrText xml:space="preserve"> HYPERLINK \l _Toc25978 </w:instrText>
          </w:r>
          <w:r>
            <w:fldChar w:fldCharType="separate"/>
          </w:r>
          <w:r>
            <w:rPr>
              <w:rFonts w:ascii="Times New Roman" w:hAnsi="Times New Roman" w:eastAsia="黑体"/>
            </w:rPr>
            <w:t>5.2.3 两条数据线的汇流</w:t>
          </w:r>
          <w:r>
            <w:tab/>
          </w:r>
          <w:r>
            <w:fldChar w:fldCharType="begin"/>
          </w:r>
          <w:r>
            <w:instrText xml:space="preserve"> PAGEREF _Toc25978 \h </w:instrText>
          </w:r>
          <w:r>
            <w:fldChar w:fldCharType="separate"/>
          </w:r>
          <w:r>
            <w:t>26</w:t>
          </w:r>
          <w:r>
            <w:fldChar w:fldCharType="end"/>
          </w:r>
          <w:r>
            <w:fldChar w:fldCharType="end"/>
          </w:r>
        </w:p>
        <w:p w14:paraId="173F04FE">
          <w:pPr>
            <w:pStyle w:val="44"/>
            <w:tabs>
              <w:tab w:val="right" w:leader="dot" w:pos="8731"/>
              <w:tab w:val="clear" w:pos="8381"/>
            </w:tabs>
          </w:pPr>
          <w:r>
            <w:fldChar w:fldCharType="begin"/>
          </w:r>
          <w:r>
            <w:instrText xml:space="preserve"> HYPERLINK \l _Toc22577 </w:instrText>
          </w:r>
          <w:r>
            <w:fldChar w:fldCharType="separate"/>
          </w:r>
          <w:r>
            <w:rPr>
              <w:rFonts w:ascii="Times New Roman" w:hAnsi="Times New Roman" w:eastAsia="黑体"/>
            </w:rPr>
            <w:t>5.2.4 匹配规则</w:t>
          </w:r>
          <w:r>
            <w:tab/>
          </w:r>
          <w:r>
            <w:fldChar w:fldCharType="begin"/>
          </w:r>
          <w:r>
            <w:instrText xml:space="preserve"> PAGEREF _Toc22577 \h </w:instrText>
          </w:r>
          <w:r>
            <w:fldChar w:fldCharType="separate"/>
          </w:r>
          <w:r>
            <w:t>26</w:t>
          </w:r>
          <w:r>
            <w:fldChar w:fldCharType="end"/>
          </w:r>
          <w:r>
            <w:fldChar w:fldCharType="end"/>
          </w:r>
        </w:p>
        <w:p w14:paraId="46E015DF">
          <w:pPr>
            <w:pStyle w:val="45"/>
            <w:tabs>
              <w:tab w:val="right" w:leader="dot" w:pos="8731"/>
              <w:tab w:val="clear" w:pos="8381"/>
            </w:tabs>
          </w:pPr>
          <w:r>
            <w:fldChar w:fldCharType="begin"/>
          </w:r>
          <w:r>
            <w:instrText xml:space="preserve"> HYPERLINK \l _Toc30425 </w:instrText>
          </w:r>
          <w:r>
            <w:fldChar w:fldCharType="separate"/>
          </w:r>
          <w:r>
            <w:rPr>
              <w:rFonts w:ascii="Times New Roman" w:hAnsi="Times New Roman" w:eastAsia="黑体"/>
            </w:rPr>
            <w:t>5.3 文化—旅游量化指数与错位指数</w:t>
          </w:r>
          <w:r>
            <w:tab/>
          </w:r>
          <w:r>
            <w:fldChar w:fldCharType="begin"/>
          </w:r>
          <w:r>
            <w:instrText xml:space="preserve"> PAGEREF _Toc30425 \h </w:instrText>
          </w:r>
          <w:r>
            <w:fldChar w:fldCharType="separate"/>
          </w:r>
          <w:r>
            <w:t>27</w:t>
          </w:r>
          <w:r>
            <w:fldChar w:fldCharType="end"/>
          </w:r>
          <w:r>
            <w:fldChar w:fldCharType="end"/>
          </w:r>
        </w:p>
        <w:p w14:paraId="41F56A8F">
          <w:pPr>
            <w:pStyle w:val="44"/>
            <w:tabs>
              <w:tab w:val="right" w:leader="dot" w:pos="8731"/>
              <w:tab w:val="clear" w:pos="8381"/>
            </w:tabs>
          </w:pPr>
          <w:r>
            <w:fldChar w:fldCharType="begin"/>
          </w:r>
          <w:r>
            <w:instrText xml:space="preserve"> HYPERLINK \l _Toc14245 </w:instrText>
          </w:r>
          <w:r>
            <w:fldChar w:fldCharType="separate"/>
          </w:r>
          <w:r>
            <w:rPr>
              <w:rFonts w:ascii="Times New Roman" w:hAnsi="Times New Roman" w:eastAsia="黑体"/>
            </w:rPr>
            <w:t>5.3.1 文化记忆指数（CMI）</w:t>
          </w:r>
          <w:r>
            <w:tab/>
          </w:r>
          <w:r>
            <w:fldChar w:fldCharType="begin"/>
          </w:r>
          <w:r>
            <w:instrText xml:space="preserve"> PAGEREF _Toc14245 \h </w:instrText>
          </w:r>
          <w:r>
            <w:fldChar w:fldCharType="separate"/>
          </w:r>
          <w:r>
            <w:t>27</w:t>
          </w:r>
          <w:r>
            <w:fldChar w:fldCharType="end"/>
          </w:r>
          <w:r>
            <w:fldChar w:fldCharType="end"/>
          </w:r>
        </w:p>
        <w:p w14:paraId="601431E5">
          <w:pPr>
            <w:pStyle w:val="44"/>
            <w:tabs>
              <w:tab w:val="right" w:leader="dot" w:pos="8731"/>
              <w:tab w:val="clear" w:pos="8381"/>
            </w:tabs>
          </w:pPr>
          <w:r>
            <w:fldChar w:fldCharType="begin"/>
          </w:r>
          <w:r>
            <w:instrText xml:space="preserve"> HYPERLINK \l _Toc23397 </w:instrText>
          </w:r>
          <w:r>
            <w:fldChar w:fldCharType="separate"/>
          </w:r>
          <w:r>
            <w:rPr>
              <w:rFonts w:ascii="Times New Roman" w:hAnsi="Times New Roman" w:eastAsia="黑体"/>
            </w:rPr>
            <w:t>5.3.2 官方认证指数（OAI）</w:t>
          </w:r>
          <w:r>
            <w:tab/>
          </w:r>
          <w:r>
            <w:fldChar w:fldCharType="begin"/>
          </w:r>
          <w:r>
            <w:instrText xml:space="preserve"> PAGEREF _Toc23397 \h </w:instrText>
          </w:r>
          <w:r>
            <w:fldChar w:fldCharType="separate"/>
          </w:r>
          <w:r>
            <w:t>27</w:t>
          </w:r>
          <w:r>
            <w:fldChar w:fldCharType="end"/>
          </w:r>
          <w:r>
            <w:fldChar w:fldCharType="end"/>
          </w:r>
        </w:p>
        <w:p w14:paraId="24CAD4DC">
          <w:pPr>
            <w:pStyle w:val="44"/>
            <w:tabs>
              <w:tab w:val="right" w:leader="dot" w:pos="8731"/>
              <w:tab w:val="clear" w:pos="8381"/>
            </w:tabs>
          </w:pPr>
          <w:r>
            <w:fldChar w:fldCharType="begin"/>
          </w:r>
          <w:r>
            <w:instrText xml:space="preserve"> HYPERLINK \l _Toc18539 </w:instrText>
          </w:r>
          <w:r>
            <w:fldChar w:fldCharType="separate"/>
          </w:r>
          <w:r>
            <w:rPr>
              <w:rFonts w:ascii="Times New Roman" w:hAnsi="Times New Roman" w:eastAsia="黑体"/>
            </w:rPr>
            <w:t>5.3.3 旅游热度指数（THI）</w:t>
          </w:r>
          <w:r>
            <w:tab/>
          </w:r>
          <w:r>
            <w:fldChar w:fldCharType="begin"/>
          </w:r>
          <w:r>
            <w:instrText xml:space="preserve"> PAGEREF _Toc18539 \h </w:instrText>
          </w:r>
          <w:r>
            <w:fldChar w:fldCharType="separate"/>
          </w:r>
          <w:r>
            <w:t>27</w:t>
          </w:r>
          <w:r>
            <w:fldChar w:fldCharType="end"/>
          </w:r>
          <w:r>
            <w:fldChar w:fldCharType="end"/>
          </w:r>
        </w:p>
        <w:p w14:paraId="0F58E21B">
          <w:pPr>
            <w:pStyle w:val="44"/>
            <w:tabs>
              <w:tab w:val="right" w:leader="dot" w:pos="8731"/>
              <w:tab w:val="clear" w:pos="8381"/>
            </w:tabs>
          </w:pPr>
          <w:r>
            <w:fldChar w:fldCharType="begin"/>
          </w:r>
          <w:r>
            <w:instrText xml:space="preserve"> HYPERLINK \l _Toc6261 </w:instrText>
          </w:r>
          <w:r>
            <w:fldChar w:fldCharType="separate"/>
          </w:r>
          <w:r>
            <w:rPr>
              <w:rFonts w:ascii="Times New Roman" w:hAnsi="Times New Roman" w:eastAsia="黑体"/>
            </w:rPr>
            <w:t>5.3.4 错位指数（MI）</w:t>
          </w:r>
          <w:r>
            <w:tab/>
          </w:r>
          <w:r>
            <w:fldChar w:fldCharType="begin"/>
          </w:r>
          <w:r>
            <w:instrText xml:space="preserve"> PAGEREF _Toc6261 \h </w:instrText>
          </w:r>
          <w:r>
            <w:fldChar w:fldCharType="separate"/>
          </w:r>
          <w:r>
            <w:t>28</w:t>
          </w:r>
          <w:r>
            <w:fldChar w:fldCharType="end"/>
          </w:r>
          <w:r>
            <w:fldChar w:fldCharType="end"/>
          </w:r>
        </w:p>
        <w:p w14:paraId="02DFAA10">
          <w:pPr>
            <w:pStyle w:val="44"/>
            <w:tabs>
              <w:tab w:val="right" w:leader="dot" w:pos="8731"/>
              <w:tab w:val="clear" w:pos="8381"/>
            </w:tabs>
          </w:pPr>
          <w:r>
            <w:fldChar w:fldCharType="begin"/>
          </w:r>
          <w:r>
            <w:instrText xml:space="preserve"> HYPERLINK \l _Toc17209 </w:instrText>
          </w:r>
          <w:r>
            <w:fldChar w:fldCharType="separate"/>
          </w:r>
          <w:r>
            <w:rPr>
              <w:rFonts w:ascii="Times New Roman" w:hAnsi="Times New Roman" w:eastAsia="黑体"/>
            </w:rPr>
            <w:t>5.3.5 结果分层</w:t>
          </w:r>
          <w:r>
            <w:tab/>
          </w:r>
          <w:r>
            <w:fldChar w:fldCharType="begin"/>
          </w:r>
          <w:r>
            <w:instrText xml:space="preserve"> PAGEREF _Toc17209 \h </w:instrText>
          </w:r>
          <w:r>
            <w:fldChar w:fldCharType="separate"/>
          </w:r>
          <w:r>
            <w:t>28</w:t>
          </w:r>
          <w:r>
            <w:fldChar w:fldCharType="end"/>
          </w:r>
          <w:r>
            <w:fldChar w:fldCharType="end"/>
          </w:r>
        </w:p>
        <w:p w14:paraId="1E74B588">
          <w:pPr>
            <w:pStyle w:val="44"/>
            <w:tabs>
              <w:tab w:val="right" w:leader="dot" w:pos="8731"/>
              <w:tab w:val="clear" w:pos="8381"/>
            </w:tabs>
          </w:pPr>
          <w:r>
            <w:fldChar w:fldCharType="begin"/>
          </w:r>
          <w:r>
            <w:instrText xml:space="preserve"> HYPERLINK \l _Toc4537 </w:instrText>
          </w:r>
          <w:r>
            <w:fldChar w:fldCharType="separate"/>
          </w:r>
          <w:r>
            <w:rPr>
              <w:rFonts w:ascii="Times New Roman" w:hAnsi="Times New Roman" w:eastAsia="黑体"/>
            </w:rPr>
            <w:t>5.3.6 典型案例</w:t>
          </w:r>
          <w:r>
            <w:tab/>
          </w:r>
          <w:r>
            <w:fldChar w:fldCharType="begin"/>
          </w:r>
          <w:r>
            <w:instrText xml:space="preserve"> PAGEREF _Toc4537 \h </w:instrText>
          </w:r>
          <w:r>
            <w:fldChar w:fldCharType="separate"/>
          </w:r>
          <w:r>
            <w:t>29</w:t>
          </w:r>
          <w:r>
            <w:fldChar w:fldCharType="end"/>
          </w:r>
          <w:r>
            <w:fldChar w:fldCharType="end"/>
          </w:r>
        </w:p>
        <w:p w14:paraId="567E1B56">
          <w:pPr>
            <w:pStyle w:val="44"/>
            <w:tabs>
              <w:tab w:val="right" w:leader="dot" w:pos="8731"/>
              <w:tab w:val="clear" w:pos="8381"/>
            </w:tabs>
          </w:pPr>
          <w:r>
            <w:fldChar w:fldCharType="begin"/>
          </w:r>
          <w:r>
            <w:instrText xml:space="preserve"> HYPERLINK \l _Toc7042 </w:instrText>
          </w:r>
          <w:r>
            <w:fldChar w:fldCharType="separate"/>
          </w:r>
          <w:r>
            <w:rPr>
              <w:rFonts w:ascii="Times New Roman" w:hAnsi="Times New Roman" w:eastAsia="黑体"/>
            </w:rPr>
            <w:t>5.3.7 层级层面观察</w:t>
          </w:r>
          <w:r>
            <w:tab/>
          </w:r>
          <w:r>
            <w:fldChar w:fldCharType="begin"/>
          </w:r>
          <w:r>
            <w:instrText xml:space="preserve"> PAGEREF _Toc7042 \h </w:instrText>
          </w:r>
          <w:r>
            <w:fldChar w:fldCharType="separate"/>
          </w:r>
          <w:r>
            <w:t>30</w:t>
          </w:r>
          <w:r>
            <w:fldChar w:fldCharType="end"/>
          </w:r>
          <w:r>
            <w:fldChar w:fldCharType="end"/>
          </w:r>
        </w:p>
        <w:p w14:paraId="7673FC29">
          <w:pPr>
            <w:pStyle w:val="45"/>
            <w:tabs>
              <w:tab w:val="right" w:leader="dot" w:pos="8731"/>
              <w:tab w:val="clear" w:pos="8381"/>
            </w:tabs>
          </w:pPr>
          <w:r>
            <w:fldChar w:fldCharType="begin"/>
          </w:r>
          <w:r>
            <w:instrText xml:space="preserve"> HYPERLINK \l _Toc14650 </w:instrText>
          </w:r>
          <w:r>
            <w:fldChar w:fldCharType="separate"/>
          </w:r>
          <w:r>
            <w:rPr>
              <w:rFonts w:ascii="Times New Roman" w:hAnsi="Times New Roman" w:eastAsia="黑体"/>
            </w:rPr>
            <w:t>5.4 景区等级与游客体验的关联分析</w:t>
          </w:r>
          <w:r>
            <w:tab/>
          </w:r>
          <w:r>
            <w:fldChar w:fldCharType="begin"/>
          </w:r>
          <w:r>
            <w:instrText xml:space="preserve"> PAGEREF _Toc14650 \h </w:instrText>
          </w:r>
          <w:r>
            <w:fldChar w:fldCharType="separate"/>
          </w:r>
          <w:r>
            <w:t>30</w:t>
          </w:r>
          <w:r>
            <w:fldChar w:fldCharType="end"/>
          </w:r>
          <w:r>
            <w:fldChar w:fldCharType="end"/>
          </w:r>
        </w:p>
        <w:p w14:paraId="2D078D30">
          <w:pPr>
            <w:pStyle w:val="44"/>
            <w:tabs>
              <w:tab w:val="right" w:leader="dot" w:pos="8731"/>
              <w:tab w:val="clear" w:pos="8381"/>
            </w:tabs>
          </w:pPr>
          <w:r>
            <w:fldChar w:fldCharType="begin"/>
          </w:r>
          <w:r>
            <w:instrText xml:space="preserve"> HYPERLINK \l _Toc7691 </w:instrText>
          </w:r>
          <w:r>
            <w:fldChar w:fldCharType="separate"/>
          </w:r>
          <w:r>
            <w:rPr>
              <w:rFonts w:ascii="Times New Roman" w:hAnsi="Times New Roman" w:eastAsia="黑体"/>
            </w:rPr>
            <w:t>5.4.1 数据说明</w:t>
          </w:r>
          <w:r>
            <w:tab/>
          </w:r>
          <w:r>
            <w:fldChar w:fldCharType="begin"/>
          </w:r>
          <w:r>
            <w:instrText xml:space="preserve"> PAGEREF _Toc7691 \h </w:instrText>
          </w:r>
          <w:r>
            <w:fldChar w:fldCharType="separate"/>
          </w:r>
          <w:r>
            <w:t>30</w:t>
          </w:r>
          <w:r>
            <w:fldChar w:fldCharType="end"/>
          </w:r>
          <w:r>
            <w:fldChar w:fldCharType="end"/>
          </w:r>
        </w:p>
        <w:p w14:paraId="5BF46B5F">
          <w:pPr>
            <w:pStyle w:val="44"/>
            <w:tabs>
              <w:tab w:val="right" w:leader="dot" w:pos="8731"/>
              <w:tab w:val="clear" w:pos="8381"/>
            </w:tabs>
          </w:pPr>
          <w:r>
            <w:fldChar w:fldCharType="begin"/>
          </w:r>
          <w:r>
            <w:instrText xml:space="preserve"> HYPERLINK \l _Toc10265 </w:instrText>
          </w:r>
          <w:r>
            <w:fldChar w:fldCharType="separate"/>
          </w:r>
          <w:r>
            <w:rPr>
              <w:rFonts w:ascii="Times New Roman" w:hAnsi="Times New Roman" w:eastAsia="黑体"/>
            </w:rPr>
            <w:t>5.4.2 相关性观察</w:t>
          </w:r>
          <w:r>
            <w:tab/>
          </w:r>
          <w:r>
            <w:fldChar w:fldCharType="begin"/>
          </w:r>
          <w:r>
            <w:instrText xml:space="preserve"> PAGEREF _Toc10265 \h </w:instrText>
          </w:r>
          <w:r>
            <w:fldChar w:fldCharType="separate"/>
          </w:r>
          <w:r>
            <w:t>30</w:t>
          </w:r>
          <w:r>
            <w:fldChar w:fldCharType="end"/>
          </w:r>
          <w:r>
            <w:fldChar w:fldCharType="end"/>
          </w:r>
        </w:p>
        <w:p w14:paraId="0A31B4A9">
          <w:pPr>
            <w:pStyle w:val="44"/>
            <w:tabs>
              <w:tab w:val="right" w:leader="dot" w:pos="8731"/>
              <w:tab w:val="clear" w:pos="8381"/>
            </w:tabs>
          </w:pPr>
          <w:r>
            <w:fldChar w:fldCharType="begin"/>
          </w:r>
          <w:r>
            <w:instrText xml:space="preserve"> HYPERLINK \l _Toc18712 </w:instrText>
          </w:r>
          <w:r>
            <w:fldChar w:fldCharType="separate"/>
          </w:r>
          <w:r>
            <w:rPr>
              <w:rFonts w:ascii="Times New Roman" w:hAnsi="Times New Roman" w:eastAsia="黑体"/>
            </w:rPr>
            <w:t>5.4.3 对规划的启示</w:t>
          </w:r>
          <w:r>
            <w:tab/>
          </w:r>
          <w:r>
            <w:fldChar w:fldCharType="begin"/>
          </w:r>
          <w:r>
            <w:instrText xml:space="preserve"> PAGEREF _Toc18712 \h </w:instrText>
          </w:r>
          <w:r>
            <w:fldChar w:fldCharType="separate"/>
          </w:r>
          <w:r>
            <w:t>31</w:t>
          </w:r>
          <w:r>
            <w:fldChar w:fldCharType="end"/>
          </w:r>
          <w:r>
            <w:fldChar w:fldCharType="end"/>
          </w:r>
        </w:p>
        <w:p w14:paraId="628535D9">
          <w:pPr>
            <w:pStyle w:val="46"/>
            <w:tabs>
              <w:tab w:val="right" w:leader="dot" w:pos="8731"/>
              <w:tab w:val="clear" w:pos="8381"/>
            </w:tabs>
          </w:pPr>
          <w:r>
            <w:fldChar w:fldCharType="begin"/>
          </w:r>
          <w:r>
            <w:instrText xml:space="preserve"> HYPERLINK \l _Toc11921 </w:instrText>
          </w:r>
          <w:r>
            <w:fldChar w:fldCharType="separate"/>
          </w:r>
          <w:r>
            <w:rPr>
              <w:rFonts w:ascii="Times New Roman" w:hAnsi="Times New Roman" w:eastAsia="黑体"/>
            </w:rPr>
            <w:t>第 6 章　空间格局与潜力释放条件分析</w:t>
          </w:r>
          <w:r>
            <w:tab/>
          </w:r>
          <w:r>
            <w:fldChar w:fldCharType="begin"/>
          </w:r>
          <w:r>
            <w:instrText xml:space="preserve"> PAGEREF _Toc11921 \h </w:instrText>
          </w:r>
          <w:r>
            <w:fldChar w:fldCharType="separate"/>
          </w:r>
          <w:r>
            <w:t>32</w:t>
          </w:r>
          <w:r>
            <w:fldChar w:fldCharType="end"/>
          </w:r>
          <w:r>
            <w:fldChar w:fldCharType="end"/>
          </w:r>
        </w:p>
        <w:p w14:paraId="7A8563CB">
          <w:pPr>
            <w:pStyle w:val="45"/>
            <w:tabs>
              <w:tab w:val="right" w:leader="dot" w:pos="8731"/>
              <w:tab w:val="clear" w:pos="8381"/>
            </w:tabs>
          </w:pPr>
          <w:r>
            <w:fldChar w:fldCharType="begin"/>
          </w:r>
          <w:r>
            <w:instrText xml:space="preserve"> HYPERLINK \l _Toc21238 </w:instrText>
          </w:r>
          <w:r>
            <w:fldChar w:fldCharType="separate"/>
          </w:r>
          <w:r>
            <w:rPr>
              <w:rFonts w:ascii="Times New Roman" w:hAnsi="Times New Roman" w:eastAsia="黑体"/>
            </w:rPr>
            <w:t>6.1 空间分析方法</w:t>
          </w:r>
          <w:r>
            <w:tab/>
          </w:r>
          <w:r>
            <w:fldChar w:fldCharType="begin"/>
          </w:r>
          <w:r>
            <w:instrText xml:space="preserve"> PAGEREF _Toc21238 \h </w:instrText>
          </w:r>
          <w:r>
            <w:fldChar w:fldCharType="separate"/>
          </w:r>
          <w:r>
            <w:t>32</w:t>
          </w:r>
          <w:r>
            <w:fldChar w:fldCharType="end"/>
          </w:r>
          <w:r>
            <w:fldChar w:fldCharType="end"/>
          </w:r>
        </w:p>
        <w:p w14:paraId="4ADBFDB4">
          <w:pPr>
            <w:pStyle w:val="44"/>
            <w:tabs>
              <w:tab w:val="right" w:leader="dot" w:pos="8731"/>
              <w:tab w:val="clear" w:pos="8381"/>
            </w:tabs>
          </w:pPr>
          <w:r>
            <w:fldChar w:fldCharType="begin"/>
          </w:r>
          <w:r>
            <w:instrText xml:space="preserve"> HYPERLINK \l _Toc7369 </w:instrText>
          </w:r>
          <w:r>
            <w:fldChar w:fldCharType="separate"/>
          </w:r>
          <w:r>
            <w:rPr>
              <w:rFonts w:ascii="Times New Roman" w:hAnsi="Times New Roman" w:eastAsia="黑体"/>
            </w:rPr>
            <w:t>6.1.1 核密度估计</w:t>
          </w:r>
          <w:r>
            <w:tab/>
          </w:r>
          <w:r>
            <w:fldChar w:fldCharType="begin"/>
          </w:r>
          <w:r>
            <w:instrText xml:space="preserve"> PAGEREF _Toc7369 \h </w:instrText>
          </w:r>
          <w:r>
            <w:fldChar w:fldCharType="separate"/>
          </w:r>
          <w:r>
            <w:t>32</w:t>
          </w:r>
          <w:r>
            <w:fldChar w:fldCharType="end"/>
          </w:r>
          <w:r>
            <w:fldChar w:fldCharType="end"/>
          </w:r>
        </w:p>
        <w:p w14:paraId="1553B998">
          <w:pPr>
            <w:pStyle w:val="44"/>
            <w:tabs>
              <w:tab w:val="right" w:leader="dot" w:pos="8731"/>
              <w:tab w:val="clear" w:pos="8381"/>
            </w:tabs>
          </w:pPr>
          <w:r>
            <w:fldChar w:fldCharType="begin"/>
          </w:r>
          <w:r>
            <w:instrText xml:space="preserve"> HYPERLINK \l _Toc14836 </w:instrText>
          </w:r>
          <w:r>
            <w:fldChar w:fldCharType="separate"/>
          </w:r>
          <w:r>
            <w:rPr>
              <w:rFonts w:ascii="Times New Roman" w:hAnsi="Times New Roman" w:eastAsia="黑体"/>
            </w:rPr>
            <w:t>6.1.2 DBSCAN 聚类</w:t>
          </w:r>
          <w:r>
            <w:tab/>
          </w:r>
          <w:r>
            <w:fldChar w:fldCharType="begin"/>
          </w:r>
          <w:r>
            <w:instrText xml:space="preserve"> PAGEREF _Toc14836 \h </w:instrText>
          </w:r>
          <w:r>
            <w:fldChar w:fldCharType="separate"/>
          </w:r>
          <w:r>
            <w:t>32</w:t>
          </w:r>
          <w:r>
            <w:fldChar w:fldCharType="end"/>
          </w:r>
          <w:r>
            <w:fldChar w:fldCharType="end"/>
          </w:r>
        </w:p>
        <w:p w14:paraId="6E49DE10">
          <w:pPr>
            <w:pStyle w:val="44"/>
            <w:tabs>
              <w:tab w:val="right" w:leader="dot" w:pos="8731"/>
              <w:tab w:val="clear" w:pos="8381"/>
            </w:tabs>
          </w:pPr>
          <w:r>
            <w:fldChar w:fldCharType="begin"/>
          </w:r>
          <w:r>
            <w:instrText xml:space="preserve"> HYPERLINK \l _Toc21370 </w:instrText>
          </w:r>
          <w:r>
            <w:fldChar w:fldCharType="separate"/>
          </w:r>
          <w:r>
            <w:rPr>
              <w:rFonts w:ascii="Times New Roman" w:hAnsi="Times New Roman" w:eastAsia="黑体"/>
            </w:rPr>
            <w:t>6.1.3 空间错位图叠加</w:t>
          </w:r>
          <w:r>
            <w:tab/>
          </w:r>
          <w:r>
            <w:fldChar w:fldCharType="begin"/>
          </w:r>
          <w:r>
            <w:instrText xml:space="preserve"> PAGEREF _Toc21370 \h </w:instrText>
          </w:r>
          <w:r>
            <w:fldChar w:fldCharType="separate"/>
          </w:r>
          <w:r>
            <w:t>32</w:t>
          </w:r>
          <w:r>
            <w:fldChar w:fldCharType="end"/>
          </w:r>
          <w:r>
            <w:fldChar w:fldCharType="end"/>
          </w:r>
        </w:p>
        <w:p w14:paraId="65BD19AE">
          <w:pPr>
            <w:pStyle w:val="45"/>
            <w:tabs>
              <w:tab w:val="right" w:leader="dot" w:pos="8731"/>
              <w:tab w:val="clear" w:pos="8381"/>
            </w:tabs>
          </w:pPr>
          <w:r>
            <w:fldChar w:fldCharType="begin"/>
          </w:r>
          <w:r>
            <w:instrText xml:space="preserve"> HYPERLINK \l _Toc20744 </w:instrText>
          </w:r>
          <w:r>
            <w:fldChar w:fldCharType="separate"/>
          </w:r>
          <w:r>
            <w:rPr>
              <w:rFonts w:ascii="Times New Roman" w:hAnsi="Times New Roman" w:eastAsia="黑体"/>
            </w:rPr>
            <w:t>6.2 空间格局结果</w:t>
          </w:r>
          <w:r>
            <w:tab/>
          </w:r>
          <w:r>
            <w:fldChar w:fldCharType="begin"/>
          </w:r>
          <w:r>
            <w:instrText xml:space="preserve"> PAGEREF _Toc20744 \h </w:instrText>
          </w:r>
          <w:r>
            <w:fldChar w:fldCharType="separate"/>
          </w:r>
          <w:r>
            <w:t>32</w:t>
          </w:r>
          <w:r>
            <w:fldChar w:fldCharType="end"/>
          </w:r>
          <w:r>
            <w:fldChar w:fldCharType="end"/>
          </w:r>
        </w:p>
        <w:p w14:paraId="63C7B2A1">
          <w:pPr>
            <w:pStyle w:val="44"/>
            <w:tabs>
              <w:tab w:val="right" w:leader="dot" w:pos="8731"/>
              <w:tab w:val="clear" w:pos="8381"/>
            </w:tabs>
          </w:pPr>
          <w:r>
            <w:fldChar w:fldCharType="begin"/>
          </w:r>
          <w:r>
            <w:instrText xml:space="preserve"> HYPERLINK \l _Toc25201 </w:instrText>
          </w:r>
          <w:r>
            <w:fldChar w:fldCharType="separate"/>
          </w:r>
          <w:r>
            <w:rPr>
              <w:rFonts w:ascii="Times New Roman" w:hAnsi="Times New Roman" w:eastAsia="黑体"/>
            </w:rPr>
            <w:t>6.2.1 POI 与文化载体的热点错位</w:t>
          </w:r>
          <w:r>
            <w:tab/>
          </w:r>
          <w:r>
            <w:fldChar w:fldCharType="begin"/>
          </w:r>
          <w:r>
            <w:instrText xml:space="preserve"> PAGEREF _Toc25201 \h </w:instrText>
          </w:r>
          <w:r>
            <w:fldChar w:fldCharType="separate"/>
          </w:r>
          <w:r>
            <w:t>32</w:t>
          </w:r>
          <w:r>
            <w:fldChar w:fldCharType="end"/>
          </w:r>
          <w:r>
            <w:fldChar w:fldCharType="end"/>
          </w:r>
        </w:p>
        <w:p w14:paraId="57598C4E">
          <w:pPr>
            <w:pStyle w:val="44"/>
            <w:tabs>
              <w:tab w:val="right" w:leader="dot" w:pos="8731"/>
              <w:tab w:val="clear" w:pos="8381"/>
            </w:tabs>
          </w:pPr>
          <w:r>
            <w:fldChar w:fldCharType="begin"/>
          </w:r>
          <w:r>
            <w:instrText xml:space="preserve"> HYPERLINK \l _Toc5808 </w:instrText>
          </w:r>
          <w:r>
            <w:fldChar w:fldCharType="separate"/>
          </w:r>
          <w:r>
            <w:rPr>
              <w:rFonts w:ascii="Times New Roman" w:hAnsi="Times New Roman" w:eastAsia="黑体"/>
            </w:rPr>
            <w:t>6.2.2 镇街对比</w:t>
          </w:r>
          <w:r>
            <w:tab/>
          </w:r>
          <w:r>
            <w:fldChar w:fldCharType="begin"/>
          </w:r>
          <w:r>
            <w:instrText xml:space="preserve"> PAGEREF _Toc5808 \h </w:instrText>
          </w:r>
          <w:r>
            <w:fldChar w:fldCharType="separate"/>
          </w:r>
          <w:r>
            <w:t>33</w:t>
          </w:r>
          <w:r>
            <w:fldChar w:fldCharType="end"/>
          </w:r>
          <w:r>
            <w:fldChar w:fldCharType="end"/>
          </w:r>
        </w:p>
        <w:p w14:paraId="248F84CF">
          <w:pPr>
            <w:pStyle w:val="44"/>
            <w:tabs>
              <w:tab w:val="right" w:leader="dot" w:pos="8731"/>
              <w:tab w:val="clear" w:pos="8381"/>
            </w:tabs>
          </w:pPr>
          <w:r>
            <w:fldChar w:fldCharType="begin"/>
          </w:r>
          <w:r>
            <w:instrText xml:space="preserve"> HYPERLINK \l _Toc27763 </w:instrText>
          </w:r>
          <w:r>
            <w:fldChar w:fldCharType="separate"/>
          </w:r>
          <w:r>
            <w:rPr>
              <w:rFonts w:ascii="Times New Roman" w:hAnsi="Times New Roman" w:eastAsia="黑体"/>
            </w:rPr>
            <w:t>6.2.3 知识图谱 0 跳 / 1 跳口径复核</w:t>
          </w:r>
          <w:r>
            <w:tab/>
          </w:r>
          <w:r>
            <w:fldChar w:fldCharType="begin"/>
          </w:r>
          <w:r>
            <w:instrText xml:space="preserve"> PAGEREF _Toc27763 \h </w:instrText>
          </w:r>
          <w:r>
            <w:fldChar w:fldCharType="separate"/>
          </w:r>
          <w:r>
            <w:t>33</w:t>
          </w:r>
          <w:r>
            <w:fldChar w:fldCharType="end"/>
          </w:r>
          <w:r>
            <w:fldChar w:fldCharType="end"/>
          </w:r>
        </w:p>
        <w:p w14:paraId="1D069E35">
          <w:pPr>
            <w:pStyle w:val="45"/>
            <w:tabs>
              <w:tab w:val="right" w:leader="dot" w:pos="8731"/>
              <w:tab w:val="clear" w:pos="8381"/>
            </w:tabs>
          </w:pPr>
          <w:r>
            <w:fldChar w:fldCharType="begin"/>
          </w:r>
          <w:r>
            <w:instrText xml:space="preserve"> HYPERLINK \l _Toc20437 </w:instrText>
          </w:r>
          <w:r>
            <w:fldChar w:fldCharType="separate"/>
          </w:r>
          <w:r>
            <w:rPr>
              <w:rFonts w:ascii="Times New Roman" w:hAnsi="Times New Roman" w:eastAsia="黑体"/>
            </w:rPr>
            <w:t>6.3 潜力释放条件的相关性分析</w:t>
          </w:r>
          <w:r>
            <w:tab/>
          </w:r>
          <w:r>
            <w:fldChar w:fldCharType="begin"/>
          </w:r>
          <w:r>
            <w:instrText xml:space="preserve"> PAGEREF _Toc20437 \h </w:instrText>
          </w:r>
          <w:r>
            <w:fldChar w:fldCharType="separate"/>
          </w:r>
          <w:r>
            <w:t>34</w:t>
          </w:r>
          <w:r>
            <w:fldChar w:fldCharType="end"/>
          </w:r>
          <w:r>
            <w:fldChar w:fldCharType="end"/>
          </w:r>
        </w:p>
        <w:p w14:paraId="1EDD85C3">
          <w:pPr>
            <w:pStyle w:val="44"/>
            <w:tabs>
              <w:tab w:val="right" w:leader="dot" w:pos="8731"/>
              <w:tab w:val="clear" w:pos="8381"/>
            </w:tabs>
          </w:pPr>
          <w:r>
            <w:fldChar w:fldCharType="begin"/>
          </w:r>
          <w:r>
            <w:instrText xml:space="preserve"> HYPERLINK \l _Toc797 </w:instrText>
          </w:r>
          <w:r>
            <w:fldChar w:fldCharType="separate"/>
          </w:r>
          <w:r>
            <w:rPr>
              <w:rFonts w:ascii="Times New Roman" w:hAnsi="Times New Roman" w:eastAsia="黑体"/>
            </w:rPr>
            <w:t>6.3.1 载体级相关矩阵（n = 165）</w:t>
          </w:r>
          <w:r>
            <w:tab/>
          </w:r>
          <w:r>
            <w:fldChar w:fldCharType="begin"/>
          </w:r>
          <w:r>
            <w:instrText xml:space="preserve"> PAGEREF _Toc797 \h </w:instrText>
          </w:r>
          <w:r>
            <w:fldChar w:fldCharType="separate"/>
          </w:r>
          <w:r>
            <w:t>34</w:t>
          </w:r>
          <w:r>
            <w:fldChar w:fldCharType="end"/>
          </w:r>
          <w:r>
            <w:fldChar w:fldCharType="end"/>
          </w:r>
        </w:p>
        <w:p w14:paraId="5E6F2775">
          <w:pPr>
            <w:pStyle w:val="44"/>
            <w:tabs>
              <w:tab w:val="right" w:leader="dot" w:pos="8731"/>
              <w:tab w:val="clear" w:pos="8381"/>
            </w:tabs>
          </w:pPr>
          <w:r>
            <w:fldChar w:fldCharType="begin"/>
          </w:r>
          <w:r>
            <w:instrText xml:space="preserve"> HYPERLINK \l _Toc28337 </w:instrText>
          </w:r>
          <w:r>
            <w:fldChar w:fldCharType="separate"/>
          </w:r>
          <w:r>
            <w:rPr>
              <w:rFonts w:ascii="Times New Roman" w:hAnsi="Times New Roman" w:eastAsia="黑体"/>
            </w:rPr>
            <w:t>6.3.2 镇街级相关矩阵（n = 7）</w:t>
          </w:r>
          <w:r>
            <w:tab/>
          </w:r>
          <w:r>
            <w:fldChar w:fldCharType="begin"/>
          </w:r>
          <w:r>
            <w:instrText xml:space="preserve"> PAGEREF _Toc28337 \h </w:instrText>
          </w:r>
          <w:r>
            <w:fldChar w:fldCharType="separate"/>
          </w:r>
          <w:r>
            <w:t>35</w:t>
          </w:r>
          <w:r>
            <w:fldChar w:fldCharType="end"/>
          </w:r>
          <w:r>
            <w:fldChar w:fldCharType="end"/>
          </w:r>
        </w:p>
        <w:p w14:paraId="4E6A1887">
          <w:pPr>
            <w:pStyle w:val="44"/>
            <w:tabs>
              <w:tab w:val="right" w:leader="dot" w:pos="8731"/>
              <w:tab w:val="clear" w:pos="8381"/>
            </w:tabs>
          </w:pPr>
          <w:r>
            <w:fldChar w:fldCharType="begin"/>
          </w:r>
          <w:r>
            <w:instrText xml:space="preserve"> HYPERLINK \l _Toc669 </w:instrText>
          </w:r>
          <w:r>
            <w:fldChar w:fldCharType="separate"/>
          </w:r>
          <w:r>
            <w:rPr>
              <w:rFonts w:ascii="Times New Roman" w:hAnsi="Times New Roman" w:eastAsia="黑体"/>
            </w:rPr>
            <w:t>6.3.3 政策可干预条件与基础约束条件</w:t>
          </w:r>
          <w:r>
            <w:tab/>
          </w:r>
          <w:r>
            <w:fldChar w:fldCharType="begin"/>
          </w:r>
          <w:r>
            <w:instrText xml:space="preserve"> PAGEREF _Toc669 \h </w:instrText>
          </w:r>
          <w:r>
            <w:fldChar w:fldCharType="separate"/>
          </w:r>
          <w:r>
            <w:t>35</w:t>
          </w:r>
          <w:r>
            <w:fldChar w:fldCharType="end"/>
          </w:r>
          <w:r>
            <w:fldChar w:fldCharType="end"/>
          </w:r>
        </w:p>
        <w:p w14:paraId="3974BF90">
          <w:pPr>
            <w:pStyle w:val="45"/>
            <w:tabs>
              <w:tab w:val="right" w:leader="dot" w:pos="8731"/>
              <w:tab w:val="clear" w:pos="8381"/>
            </w:tabs>
          </w:pPr>
          <w:r>
            <w:fldChar w:fldCharType="begin"/>
          </w:r>
          <w:r>
            <w:instrText xml:space="preserve"> HYPERLINK \l _Toc19984 </w:instrText>
          </w:r>
          <w:r>
            <w:fldChar w:fldCharType="separate"/>
          </w:r>
          <w:r>
            <w:rPr>
              <w:rFonts w:ascii="Times New Roman" w:hAnsi="Times New Roman" w:eastAsia="黑体"/>
            </w:rPr>
            <w:t>6.4 九江片区的专题讨论</w:t>
          </w:r>
          <w:r>
            <w:tab/>
          </w:r>
          <w:r>
            <w:fldChar w:fldCharType="begin"/>
          </w:r>
          <w:r>
            <w:instrText xml:space="preserve"> PAGEREF _Toc19984 \h </w:instrText>
          </w:r>
          <w:r>
            <w:fldChar w:fldCharType="separate"/>
          </w:r>
          <w:r>
            <w:t>36</w:t>
          </w:r>
          <w:r>
            <w:fldChar w:fldCharType="end"/>
          </w:r>
          <w:r>
            <w:fldChar w:fldCharType="end"/>
          </w:r>
        </w:p>
        <w:p w14:paraId="466B2896">
          <w:pPr>
            <w:pStyle w:val="44"/>
            <w:tabs>
              <w:tab w:val="right" w:leader="dot" w:pos="8731"/>
              <w:tab w:val="clear" w:pos="8381"/>
            </w:tabs>
          </w:pPr>
          <w:r>
            <w:fldChar w:fldCharType="begin"/>
          </w:r>
          <w:r>
            <w:instrText xml:space="preserve"> HYPERLINK \l _Toc29831 </w:instrText>
          </w:r>
          <w:r>
            <w:fldChar w:fldCharType="separate"/>
          </w:r>
          <w:r>
            <w:rPr>
              <w:rFonts w:ascii="Times New Roman" w:hAnsi="Times New Roman" w:eastAsia="黑体"/>
            </w:rPr>
            <w:t>6.4.1 反差概况</w:t>
          </w:r>
          <w:r>
            <w:tab/>
          </w:r>
          <w:r>
            <w:fldChar w:fldCharType="begin"/>
          </w:r>
          <w:r>
            <w:instrText xml:space="preserve"> PAGEREF _Toc29831 \h </w:instrText>
          </w:r>
          <w:r>
            <w:fldChar w:fldCharType="separate"/>
          </w:r>
          <w:r>
            <w:t>36</w:t>
          </w:r>
          <w:r>
            <w:fldChar w:fldCharType="end"/>
          </w:r>
          <w:r>
            <w:fldChar w:fldCharType="end"/>
          </w:r>
        </w:p>
        <w:p w14:paraId="7511B9D1">
          <w:pPr>
            <w:pStyle w:val="44"/>
            <w:tabs>
              <w:tab w:val="right" w:leader="dot" w:pos="8731"/>
              <w:tab w:val="clear" w:pos="8381"/>
            </w:tabs>
          </w:pPr>
          <w:r>
            <w:fldChar w:fldCharType="begin"/>
          </w:r>
          <w:r>
            <w:instrText xml:space="preserve"> HYPERLINK \l _Toc19293 </w:instrText>
          </w:r>
          <w:r>
            <w:fldChar w:fldCharType="separate"/>
          </w:r>
          <w:r>
            <w:rPr>
              <w:rFonts w:ascii="Times New Roman" w:hAnsi="Times New Roman" w:eastAsia="黑体"/>
            </w:rPr>
            <w:t>6.4.2 反差的两重来源</w:t>
          </w:r>
          <w:r>
            <w:tab/>
          </w:r>
          <w:r>
            <w:fldChar w:fldCharType="begin"/>
          </w:r>
          <w:r>
            <w:instrText xml:space="preserve"> PAGEREF _Toc19293 \h </w:instrText>
          </w:r>
          <w:r>
            <w:fldChar w:fldCharType="separate"/>
          </w:r>
          <w:r>
            <w:t>36</w:t>
          </w:r>
          <w:r>
            <w:fldChar w:fldCharType="end"/>
          </w:r>
          <w:r>
            <w:fldChar w:fldCharType="end"/>
          </w:r>
        </w:p>
        <w:p w14:paraId="0DEEF3E0">
          <w:pPr>
            <w:pStyle w:val="44"/>
            <w:tabs>
              <w:tab w:val="right" w:leader="dot" w:pos="8731"/>
              <w:tab w:val="clear" w:pos="8381"/>
            </w:tabs>
          </w:pPr>
          <w:r>
            <w:fldChar w:fldCharType="begin"/>
          </w:r>
          <w:r>
            <w:instrText xml:space="preserve"> HYPERLINK \l _Toc31258 </w:instrText>
          </w:r>
          <w:r>
            <w:fldChar w:fldCharType="separate"/>
          </w:r>
          <w:r>
            <w:rPr>
              <w:rFonts w:ascii="Times New Roman" w:hAnsi="Times New Roman" w:eastAsia="黑体"/>
            </w:rPr>
            <w:t>6.4.3 对规划与研究的启示</w:t>
          </w:r>
          <w:r>
            <w:tab/>
          </w:r>
          <w:r>
            <w:fldChar w:fldCharType="begin"/>
          </w:r>
          <w:r>
            <w:instrText xml:space="preserve"> PAGEREF _Toc31258 \h </w:instrText>
          </w:r>
          <w:r>
            <w:fldChar w:fldCharType="separate"/>
          </w:r>
          <w:r>
            <w:t>37</w:t>
          </w:r>
          <w:r>
            <w:fldChar w:fldCharType="end"/>
          </w:r>
          <w:r>
            <w:fldChar w:fldCharType="end"/>
          </w:r>
        </w:p>
        <w:p w14:paraId="31434A2F">
          <w:pPr>
            <w:pStyle w:val="45"/>
            <w:tabs>
              <w:tab w:val="right" w:leader="dot" w:pos="8731"/>
              <w:tab w:val="clear" w:pos="8381"/>
            </w:tabs>
          </w:pPr>
          <w:r>
            <w:fldChar w:fldCharType="begin"/>
          </w:r>
          <w:r>
            <w:instrText xml:space="preserve"> HYPERLINK \l _Toc24156 </w:instrText>
          </w:r>
          <w:r>
            <w:fldChar w:fldCharType="separate"/>
          </w:r>
          <w:r>
            <w:rPr>
              <w:rFonts w:ascii="Times New Roman" w:hAnsi="Times New Roman" w:eastAsia="黑体"/>
            </w:rPr>
            <w:t>6.5 官方资源扩展与诊断拆分</w:t>
          </w:r>
          <w:r>
            <w:tab/>
          </w:r>
          <w:r>
            <w:fldChar w:fldCharType="begin"/>
          </w:r>
          <w:r>
            <w:instrText xml:space="preserve"> PAGEREF _Toc24156 \h </w:instrText>
          </w:r>
          <w:r>
            <w:fldChar w:fldCharType="separate"/>
          </w:r>
          <w:r>
            <w:t>37</w:t>
          </w:r>
          <w:r>
            <w:fldChar w:fldCharType="end"/>
          </w:r>
          <w:r>
            <w:fldChar w:fldCharType="end"/>
          </w:r>
        </w:p>
        <w:p w14:paraId="38207635">
          <w:pPr>
            <w:pStyle w:val="44"/>
            <w:tabs>
              <w:tab w:val="right" w:leader="dot" w:pos="8731"/>
              <w:tab w:val="clear" w:pos="8381"/>
            </w:tabs>
          </w:pPr>
          <w:r>
            <w:fldChar w:fldCharType="begin"/>
          </w:r>
          <w:r>
            <w:instrText xml:space="preserve"> HYPERLINK \l _Toc409 </w:instrText>
          </w:r>
          <w:r>
            <w:fldChar w:fldCharType="separate"/>
          </w:r>
          <w:r>
            <w:rPr>
              <w:rFonts w:ascii="Times New Roman" w:hAnsi="Times New Roman" w:eastAsia="黑体"/>
            </w:rPr>
            <w:t>6.5.1 官方资源空间化与去重</w:t>
          </w:r>
          <w:r>
            <w:tab/>
          </w:r>
          <w:r>
            <w:fldChar w:fldCharType="begin"/>
          </w:r>
          <w:r>
            <w:instrText xml:space="preserve"> PAGEREF _Toc409 \h </w:instrText>
          </w:r>
          <w:r>
            <w:fldChar w:fldCharType="separate"/>
          </w:r>
          <w:r>
            <w:t>37</w:t>
          </w:r>
          <w:r>
            <w:fldChar w:fldCharType="end"/>
          </w:r>
          <w:r>
            <w:fldChar w:fldCharType="end"/>
          </w:r>
        </w:p>
        <w:p w14:paraId="77E9AFC6">
          <w:pPr>
            <w:pStyle w:val="44"/>
            <w:tabs>
              <w:tab w:val="right" w:leader="dot" w:pos="8731"/>
              <w:tab w:val="clear" w:pos="8381"/>
            </w:tabs>
          </w:pPr>
          <w:r>
            <w:fldChar w:fldCharType="begin"/>
          </w:r>
          <w:r>
            <w:instrText xml:space="preserve"> HYPERLINK \l _Toc903 </w:instrText>
          </w:r>
          <w:r>
            <w:fldChar w:fldCharType="separate"/>
          </w:r>
          <w:r>
            <w:rPr>
              <w:rFonts w:ascii="Times New Roman" w:hAnsi="Times New Roman" w:eastAsia="黑体"/>
            </w:rPr>
            <w:t>6.5.2 典籍—官方—旅游三维诊断</w:t>
          </w:r>
          <w:r>
            <w:tab/>
          </w:r>
          <w:r>
            <w:fldChar w:fldCharType="begin"/>
          </w:r>
          <w:r>
            <w:instrText xml:space="preserve"> PAGEREF _Toc903 \h </w:instrText>
          </w:r>
          <w:r>
            <w:fldChar w:fldCharType="separate"/>
          </w:r>
          <w:r>
            <w:t>38</w:t>
          </w:r>
          <w:r>
            <w:fldChar w:fldCharType="end"/>
          </w:r>
          <w:r>
            <w:fldChar w:fldCharType="end"/>
          </w:r>
        </w:p>
        <w:p w14:paraId="1452B83F">
          <w:pPr>
            <w:pStyle w:val="46"/>
            <w:tabs>
              <w:tab w:val="right" w:leader="dot" w:pos="8731"/>
              <w:tab w:val="clear" w:pos="8381"/>
            </w:tabs>
          </w:pPr>
          <w:r>
            <w:fldChar w:fldCharType="begin"/>
          </w:r>
          <w:r>
            <w:instrText xml:space="preserve"> HYPERLINK \l _Toc26553 </w:instrText>
          </w:r>
          <w:r>
            <w:fldChar w:fldCharType="separate"/>
          </w:r>
          <w:r>
            <w:rPr>
              <w:rFonts w:ascii="Times New Roman" w:hAnsi="Times New Roman" w:eastAsia="黑体"/>
            </w:rPr>
            <w:t>第 7 章　结论与建议</w:t>
          </w:r>
          <w:r>
            <w:tab/>
          </w:r>
          <w:r>
            <w:fldChar w:fldCharType="begin"/>
          </w:r>
          <w:r>
            <w:instrText xml:space="preserve"> PAGEREF _Toc26553 \h </w:instrText>
          </w:r>
          <w:r>
            <w:fldChar w:fldCharType="separate"/>
          </w:r>
          <w:r>
            <w:t>39</w:t>
          </w:r>
          <w:r>
            <w:fldChar w:fldCharType="end"/>
          </w:r>
          <w:r>
            <w:fldChar w:fldCharType="end"/>
          </w:r>
        </w:p>
        <w:p w14:paraId="2CFC7704">
          <w:pPr>
            <w:pStyle w:val="45"/>
            <w:tabs>
              <w:tab w:val="right" w:leader="dot" w:pos="8731"/>
              <w:tab w:val="clear" w:pos="8381"/>
            </w:tabs>
          </w:pPr>
          <w:r>
            <w:fldChar w:fldCharType="begin"/>
          </w:r>
          <w:r>
            <w:instrText xml:space="preserve"> HYPERLINK \l _Toc13919 </w:instrText>
          </w:r>
          <w:r>
            <w:fldChar w:fldCharType="separate"/>
          </w:r>
          <w:r>
            <w:rPr>
              <w:rFonts w:ascii="Times New Roman" w:hAnsi="Times New Roman" w:eastAsia="黑体"/>
            </w:rPr>
            <w:t>7.1 主要研究结论</w:t>
          </w:r>
          <w:r>
            <w:tab/>
          </w:r>
          <w:r>
            <w:fldChar w:fldCharType="begin"/>
          </w:r>
          <w:r>
            <w:instrText xml:space="preserve"> PAGEREF _Toc13919 \h </w:instrText>
          </w:r>
          <w:r>
            <w:fldChar w:fldCharType="separate"/>
          </w:r>
          <w:r>
            <w:t>39</w:t>
          </w:r>
          <w:r>
            <w:fldChar w:fldCharType="end"/>
          </w:r>
          <w:r>
            <w:fldChar w:fldCharType="end"/>
          </w:r>
        </w:p>
        <w:p w14:paraId="298A96B5">
          <w:pPr>
            <w:pStyle w:val="45"/>
            <w:tabs>
              <w:tab w:val="right" w:leader="dot" w:pos="8731"/>
              <w:tab w:val="clear" w:pos="8381"/>
            </w:tabs>
          </w:pPr>
          <w:r>
            <w:fldChar w:fldCharType="begin"/>
          </w:r>
          <w:r>
            <w:instrText xml:space="preserve"> HYPERLINK \l _Toc27950 </w:instrText>
          </w:r>
          <w:r>
            <w:fldChar w:fldCharType="separate"/>
          </w:r>
          <w:r>
            <w:rPr>
              <w:rFonts w:ascii="Times New Roman" w:hAnsi="Times New Roman" w:eastAsia="黑体"/>
            </w:rPr>
            <w:t>7.2 文旅融合潜力释放与提升建议</w:t>
          </w:r>
          <w:r>
            <w:tab/>
          </w:r>
          <w:r>
            <w:fldChar w:fldCharType="begin"/>
          </w:r>
          <w:r>
            <w:instrText xml:space="preserve"> PAGEREF _Toc27950 \h </w:instrText>
          </w:r>
          <w:r>
            <w:fldChar w:fldCharType="separate"/>
          </w:r>
          <w:r>
            <w:t>40</w:t>
          </w:r>
          <w:r>
            <w:fldChar w:fldCharType="end"/>
          </w:r>
          <w:r>
            <w:fldChar w:fldCharType="end"/>
          </w:r>
        </w:p>
        <w:p w14:paraId="3804C6B2">
          <w:pPr>
            <w:pStyle w:val="44"/>
            <w:tabs>
              <w:tab w:val="right" w:leader="dot" w:pos="8731"/>
              <w:tab w:val="clear" w:pos="8381"/>
            </w:tabs>
          </w:pPr>
          <w:r>
            <w:fldChar w:fldCharType="begin"/>
          </w:r>
          <w:r>
            <w:instrText xml:space="preserve"> HYPERLINK \l _Toc25390 </w:instrText>
          </w:r>
          <w:r>
            <w:fldChar w:fldCharType="separate"/>
          </w:r>
          <w:r>
            <w:rPr>
              <w:rFonts w:ascii="Times New Roman" w:hAnsi="Times New Roman" w:eastAsia="黑体"/>
            </w:rPr>
            <w:t>7.2.1 载体层面：按错位类型分级干预</w:t>
          </w:r>
          <w:r>
            <w:tab/>
          </w:r>
          <w:r>
            <w:fldChar w:fldCharType="begin"/>
          </w:r>
          <w:r>
            <w:instrText xml:space="preserve"> PAGEREF _Toc25390 \h </w:instrText>
          </w:r>
          <w:r>
            <w:fldChar w:fldCharType="separate"/>
          </w:r>
          <w:r>
            <w:t>40</w:t>
          </w:r>
          <w:r>
            <w:fldChar w:fldCharType="end"/>
          </w:r>
          <w:r>
            <w:fldChar w:fldCharType="end"/>
          </w:r>
        </w:p>
        <w:p w14:paraId="6965BCBD">
          <w:pPr>
            <w:pStyle w:val="44"/>
            <w:tabs>
              <w:tab w:val="right" w:leader="dot" w:pos="8731"/>
              <w:tab w:val="clear" w:pos="8381"/>
            </w:tabs>
          </w:pPr>
          <w:r>
            <w:fldChar w:fldCharType="begin"/>
          </w:r>
          <w:r>
            <w:instrText xml:space="preserve"> HYPERLINK \l _Toc27093 </w:instrText>
          </w:r>
          <w:r>
            <w:fldChar w:fldCharType="separate"/>
          </w:r>
          <w:r>
            <w:rPr>
              <w:rFonts w:ascii="Times New Roman" w:hAnsi="Times New Roman" w:eastAsia="黑体"/>
            </w:rPr>
            <w:t>7.2.2 片区层面：形成西南廊道与东北都市圈的差异化策略</w:t>
          </w:r>
          <w:r>
            <w:tab/>
          </w:r>
          <w:r>
            <w:fldChar w:fldCharType="begin"/>
          </w:r>
          <w:r>
            <w:instrText xml:space="preserve"> PAGEREF _Toc27093 \h </w:instrText>
          </w:r>
          <w:r>
            <w:fldChar w:fldCharType="separate"/>
          </w:r>
          <w:r>
            <w:t>40</w:t>
          </w:r>
          <w:r>
            <w:fldChar w:fldCharType="end"/>
          </w:r>
          <w:r>
            <w:fldChar w:fldCharType="end"/>
          </w:r>
        </w:p>
        <w:p w14:paraId="5F6D597F">
          <w:pPr>
            <w:pStyle w:val="44"/>
            <w:tabs>
              <w:tab w:val="right" w:leader="dot" w:pos="8731"/>
              <w:tab w:val="clear" w:pos="8381"/>
            </w:tabs>
          </w:pPr>
          <w:r>
            <w:fldChar w:fldCharType="begin"/>
          </w:r>
          <w:r>
            <w:instrText xml:space="preserve"> HYPERLINK \l _Toc13336 </w:instrText>
          </w:r>
          <w:r>
            <w:fldChar w:fldCharType="separate"/>
          </w:r>
          <w:r>
            <w:rPr>
              <w:rFonts w:ascii="Times New Roman" w:hAnsi="Times New Roman" w:eastAsia="黑体"/>
            </w:rPr>
            <w:t>7.2.3 管理层面：将错位指数纳入动态监测</w:t>
          </w:r>
          <w:r>
            <w:tab/>
          </w:r>
          <w:r>
            <w:fldChar w:fldCharType="begin"/>
          </w:r>
          <w:r>
            <w:instrText xml:space="preserve"> PAGEREF _Toc13336 \h </w:instrText>
          </w:r>
          <w:r>
            <w:fldChar w:fldCharType="separate"/>
          </w:r>
          <w:r>
            <w:t>40</w:t>
          </w:r>
          <w:r>
            <w:fldChar w:fldCharType="end"/>
          </w:r>
          <w:r>
            <w:fldChar w:fldCharType="end"/>
          </w:r>
        </w:p>
        <w:p w14:paraId="7FFA05F6">
          <w:pPr>
            <w:pStyle w:val="45"/>
            <w:tabs>
              <w:tab w:val="right" w:leader="dot" w:pos="8731"/>
              <w:tab w:val="clear" w:pos="8381"/>
            </w:tabs>
          </w:pPr>
          <w:r>
            <w:fldChar w:fldCharType="begin"/>
          </w:r>
          <w:r>
            <w:instrText xml:space="preserve"> HYPERLINK \l _Toc12825 </w:instrText>
          </w:r>
          <w:r>
            <w:fldChar w:fldCharType="separate"/>
          </w:r>
          <w:r>
            <w:rPr>
              <w:rFonts w:ascii="Times New Roman" w:hAnsi="Times New Roman" w:eastAsia="黑体"/>
            </w:rPr>
            <w:t>7.3 研究不足与展望</w:t>
          </w:r>
          <w:r>
            <w:tab/>
          </w:r>
          <w:r>
            <w:fldChar w:fldCharType="begin"/>
          </w:r>
          <w:r>
            <w:instrText xml:space="preserve"> PAGEREF _Toc12825 \h </w:instrText>
          </w:r>
          <w:r>
            <w:fldChar w:fldCharType="separate"/>
          </w:r>
          <w:r>
            <w:t>41</w:t>
          </w:r>
          <w:r>
            <w:fldChar w:fldCharType="end"/>
          </w:r>
          <w:r>
            <w:fldChar w:fldCharType="end"/>
          </w:r>
        </w:p>
        <w:p w14:paraId="3521200D">
          <w:pPr>
            <w:pStyle w:val="44"/>
            <w:tabs>
              <w:tab w:val="right" w:leader="dot" w:pos="8731"/>
              <w:tab w:val="clear" w:pos="8381"/>
            </w:tabs>
          </w:pPr>
          <w:r>
            <w:fldChar w:fldCharType="begin"/>
          </w:r>
          <w:r>
            <w:instrText xml:space="preserve"> HYPERLINK \l _Toc31592 </w:instrText>
          </w:r>
          <w:r>
            <w:fldChar w:fldCharType="separate"/>
          </w:r>
          <w:r>
            <w:rPr>
              <w:rFonts w:ascii="Times New Roman" w:hAnsi="Times New Roman" w:eastAsia="黑体"/>
            </w:rPr>
            <w:t>7.3.1 数据层面</w:t>
          </w:r>
          <w:r>
            <w:tab/>
          </w:r>
          <w:r>
            <w:fldChar w:fldCharType="begin"/>
          </w:r>
          <w:r>
            <w:instrText xml:space="preserve"> PAGEREF _Toc31592 \h </w:instrText>
          </w:r>
          <w:r>
            <w:fldChar w:fldCharType="separate"/>
          </w:r>
          <w:r>
            <w:t>41</w:t>
          </w:r>
          <w:r>
            <w:fldChar w:fldCharType="end"/>
          </w:r>
          <w:r>
            <w:fldChar w:fldCharType="end"/>
          </w:r>
        </w:p>
        <w:p w14:paraId="7D6414B0">
          <w:pPr>
            <w:pStyle w:val="44"/>
            <w:tabs>
              <w:tab w:val="right" w:leader="dot" w:pos="8731"/>
              <w:tab w:val="clear" w:pos="8381"/>
            </w:tabs>
          </w:pPr>
          <w:r>
            <w:fldChar w:fldCharType="begin"/>
          </w:r>
          <w:r>
            <w:instrText xml:space="preserve"> HYPERLINK \l _Toc2170 </w:instrText>
          </w:r>
          <w:r>
            <w:fldChar w:fldCharType="separate"/>
          </w:r>
          <w:r>
            <w:rPr>
              <w:rFonts w:ascii="Times New Roman" w:hAnsi="Times New Roman" w:eastAsia="黑体"/>
            </w:rPr>
            <w:t>7.3.2 方法层面</w:t>
          </w:r>
          <w:r>
            <w:tab/>
          </w:r>
          <w:r>
            <w:fldChar w:fldCharType="begin"/>
          </w:r>
          <w:r>
            <w:instrText xml:space="preserve"> PAGEREF _Toc2170 \h </w:instrText>
          </w:r>
          <w:r>
            <w:fldChar w:fldCharType="separate"/>
          </w:r>
          <w:r>
            <w:t>41</w:t>
          </w:r>
          <w:r>
            <w:fldChar w:fldCharType="end"/>
          </w:r>
          <w:r>
            <w:fldChar w:fldCharType="end"/>
          </w:r>
        </w:p>
        <w:p w14:paraId="50387912">
          <w:pPr>
            <w:pStyle w:val="44"/>
            <w:tabs>
              <w:tab w:val="right" w:leader="dot" w:pos="8731"/>
              <w:tab w:val="clear" w:pos="8381"/>
            </w:tabs>
          </w:pPr>
          <w:r>
            <w:fldChar w:fldCharType="begin"/>
          </w:r>
          <w:r>
            <w:instrText xml:space="preserve"> HYPERLINK \l _Toc19827 </w:instrText>
          </w:r>
          <w:r>
            <w:fldChar w:fldCharType="separate"/>
          </w:r>
          <w:r>
            <w:rPr>
              <w:rFonts w:ascii="Times New Roman" w:hAnsi="Times New Roman" w:eastAsia="黑体"/>
            </w:rPr>
            <w:t>7.3.3 展望</w:t>
          </w:r>
          <w:r>
            <w:tab/>
          </w:r>
          <w:r>
            <w:fldChar w:fldCharType="begin"/>
          </w:r>
          <w:r>
            <w:instrText xml:space="preserve"> PAGEREF _Toc19827 \h </w:instrText>
          </w:r>
          <w:r>
            <w:fldChar w:fldCharType="separate"/>
          </w:r>
          <w:r>
            <w:t>41</w:t>
          </w:r>
          <w:r>
            <w:fldChar w:fldCharType="end"/>
          </w:r>
          <w:r>
            <w:fldChar w:fldCharType="end"/>
          </w:r>
        </w:p>
        <w:p w14:paraId="1A451833">
          <w:pPr>
            <w:pStyle w:val="46"/>
            <w:tabs>
              <w:tab w:val="right" w:leader="dot" w:pos="8731"/>
              <w:tab w:val="clear" w:pos="8381"/>
            </w:tabs>
          </w:pPr>
          <w:r>
            <w:fldChar w:fldCharType="begin"/>
          </w:r>
          <w:r>
            <w:instrText xml:space="preserve"> HYPERLINK \l _Toc1128 </w:instrText>
          </w:r>
          <w:r>
            <w:fldChar w:fldCharType="separate"/>
          </w:r>
          <w:r>
            <w:rPr>
              <w:rFonts w:ascii="Times New Roman" w:hAnsi="Times New Roman" w:eastAsia="黑体"/>
            </w:rPr>
            <w:t>参考文献</w:t>
          </w:r>
          <w:r>
            <w:tab/>
          </w:r>
          <w:r>
            <w:fldChar w:fldCharType="begin"/>
          </w:r>
          <w:r>
            <w:instrText xml:space="preserve"> PAGEREF _Toc1128 \h </w:instrText>
          </w:r>
          <w:r>
            <w:fldChar w:fldCharType="separate"/>
          </w:r>
          <w:r>
            <w:t>42</w:t>
          </w:r>
          <w:r>
            <w:fldChar w:fldCharType="end"/>
          </w:r>
          <w:r>
            <w:fldChar w:fldCharType="end"/>
          </w:r>
        </w:p>
        <w:p w14:paraId="5989AF56">
          <w:pPr>
            <w:pStyle w:val="46"/>
            <w:tabs>
              <w:tab w:val="right" w:leader="dot" w:pos="8731"/>
              <w:tab w:val="clear" w:pos="8381"/>
            </w:tabs>
          </w:pPr>
          <w:r>
            <w:fldChar w:fldCharType="begin"/>
          </w:r>
          <w:r>
            <w:instrText xml:space="preserve"> HYPERLINK \l _Toc11929 </w:instrText>
          </w:r>
          <w:r>
            <w:fldChar w:fldCharType="separate"/>
          </w:r>
          <w:r>
            <w:rPr>
              <w:rFonts w:ascii="Times New Roman" w:hAnsi="Times New Roman" w:eastAsia="黑体"/>
            </w:rPr>
            <w:t>附录 A　实体分类体系简表</w:t>
          </w:r>
          <w:r>
            <w:tab/>
          </w:r>
          <w:r>
            <w:fldChar w:fldCharType="begin"/>
          </w:r>
          <w:r>
            <w:instrText xml:space="preserve"> PAGEREF _Toc11929 \h </w:instrText>
          </w:r>
          <w:r>
            <w:fldChar w:fldCharType="separate"/>
          </w:r>
          <w:r>
            <w:t>44</w:t>
          </w:r>
          <w:r>
            <w:fldChar w:fldCharType="end"/>
          </w:r>
          <w:r>
            <w:fldChar w:fldCharType="end"/>
          </w:r>
        </w:p>
        <w:p w14:paraId="00B4F08A">
          <w:pPr>
            <w:pStyle w:val="46"/>
            <w:tabs>
              <w:tab w:val="right" w:leader="dot" w:pos="8731"/>
              <w:tab w:val="clear" w:pos="8381"/>
            </w:tabs>
          </w:pPr>
          <w:r>
            <w:fldChar w:fldCharType="begin"/>
          </w:r>
          <w:r>
            <w:instrText xml:space="preserve"> HYPERLINK \l _Toc24778 </w:instrText>
          </w:r>
          <w:r>
            <w:fldChar w:fldCharType="separate"/>
          </w:r>
          <w:r>
            <w:rPr>
              <w:rFonts w:ascii="Times New Roman" w:hAnsi="Times New Roman" w:eastAsia="黑体"/>
            </w:rPr>
            <w:t>附录 B　165 条文化载体样本分类与镇街分布统计</w:t>
          </w:r>
          <w:r>
            <w:tab/>
          </w:r>
          <w:r>
            <w:fldChar w:fldCharType="begin"/>
          </w:r>
          <w:r>
            <w:instrText xml:space="preserve"> PAGEREF _Toc24778 \h </w:instrText>
          </w:r>
          <w:r>
            <w:fldChar w:fldCharType="separate"/>
          </w:r>
          <w:r>
            <w:t>46</w:t>
          </w:r>
          <w:r>
            <w:fldChar w:fldCharType="end"/>
          </w:r>
          <w:r>
            <w:fldChar w:fldCharType="end"/>
          </w:r>
        </w:p>
        <w:p w14:paraId="5E56714C">
          <w:pPr>
            <w:pStyle w:val="46"/>
            <w:tabs>
              <w:tab w:val="right" w:leader="dot" w:pos="8731"/>
              <w:tab w:val="clear" w:pos="8381"/>
            </w:tabs>
          </w:pPr>
          <w:r>
            <w:fldChar w:fldCharType="begin"/>
          </w:r>
          <w:r>
            <w:instrText xml:space="preserve"> HYPERLINK \l _Toc7707 </w:instrText>
          </w:r>
          <w:r>
            <w:fldChar w:fldCharType="separate"/>
          </w:r>
          <w:r>
            <w:rPr>
              <w:rFonts w:ascii="Times New Roman" w:hAnsi="Times New Roman" w:eastAsia="黑体"/>
            </w:rPr>
            <w:t>附录 C　载体级指数与错位分类样例</w:t>
          </w:r>
          <w:r>
            <w:tab/>
          </w:r>
          <w:r>
            <w:fldChar w:fldCharType="begin"/>
          </w:r>
          <w:r>
            <w:instrText xml:space="preserve"> PAGEREF _Toc7707 \h </w:instrText>
          </w:r>
          <w:r>
            <w:fldChar w:fldCharType="separate"/>
          </w:r>
          <w:r>
            <w:t>47</w:t>
          </w:r>
          <w:r>
            <w:fldChar w:fldCharType="end"/>
          </w:r>
          <w:r>
            <w:fldChar w:fldCharType="end"/>
          </w:r>
        </w:p>
        <w:p w14:paraId="58858D9F">
          <w:pPr>
            <w:pStyle w:val="45"/>
            <w:tabs>
              <w:tab w:val="right" w:leader="dot" w:pos="8731"/>
              <w:tab w:val="clear" w:pos="8381"/>
            </w:tabs>
          </w:pPr>
          <w:r>
            <w:fldChar w:fldCharType="begin"/>
          </w:r>
          <w:r>
            <w:instrText xml:space="preserve"> HYPERLINK \l _Toc30698 </w:instrText>
          </w:r>
          <w:r>
            <w:fldChar w:fldCharType="separate"/>
          </w:r>
          <w:r>
            <w:rPr>
              <w:rFonts w:ascii="Times New Roman" w:hAnsi="Times New Roman" w:eastAsia="宋体"/>
            </w:rPr>
            <w:t>C.1 沉睡潜力区（MI 最负 Top 10）</w:t>
          </w:r>
          <w:r>
            <w:tab/>
          </w:r>
          <w:r>
            <w:fldChar w:fldCharType="begin"/>
          </w:r>
          <w:r>
            <w:instrText xml:space="preserve"> PAGEREF _Toc30698 \h </w:instrText>
          </w:r>
          <w:r>
            <w:fldChar w:fldCharType="separate"/>
          </w:r>
          <w:r>
            <w:t>47</w:t>
          </w:r>
          <w:r>
            <w:fldChar w:fldCharType="end"/>
          </w:r>
          <w:r>
            <w:fldChar w:fldCharType="end"/>
          </w:r>
        </w:p>
        <w:p w14:paraId="7DC7055F">
          <w:pPr>
            <w:pStyle w:val="45"/>
            <w:tabs>
              <w:tab w:val="right" w:leader="dot" w:pos="8731"/>
              <w:tab w:val="clear" w:pos="8381"/>
            </w:tabs>
          </w:pPr>
          <w:r>
            <w:fldChar w:fldCharType="begin"/>
          </w:r>
          <w:r>
            <w:instrText xml:space="preserve"> HYPERLINK \l _Toc19688 </w:instrText>
          </w:r>
          <w:r>
            <w:fldChar w:fldCharType="separate"/>
          </w:r>
          <w:r>
            <w:rPr>
              <w:rFonts w:ascii="Times New Roman" w:hAnsi="Times New Roman" w:eastAsia="宋体"/>
            </w:rPr>
            <w:t>C.2 空心景点区（MI 最正 Top 10）</w:t>
          </w:r>
          <w:r>
            <w:tab/>
          </w:r>
          <w:r>
            <w:fldChar w:fldCharType="begin"/>
          </w:r>
          <w:r>
            <w:instrText xml:space="preserve"> PAGEREF _Toc19688 \h </w:instrText>
          </w:r>
          <w:r>
            <w:fldChar w:fldCharType="separate"/>
          </w:r>
          <w:r>
            <w:t>47</w:t>
          </w:r>
          <w:r>
            <w:fldChar w:fldCharType="end"/>
          </w:r>
          <w:r>
            <w:fldChar w:fldCharType="end"/>
          </w:r>
        </w:p>
        <w:p w14:paraId="65A4D119">
          <w:pPr>
            <w:pStyle w:val="45"/>
            <w:tabs>
              <w:tab w:val="right" w:leader="dot" w:pos="8731"/>
              <w:tab w:val="clear" w:pos="8381"/>
            </w:tabs>
          </w:pPr>
          <w:r>
            <w:fldChar w:fldCharType="begin"/>
          </w:r>
          <w:r>
            <w:instrText xml:space="preserve"> HYPERLINK \l _Toc8095 </w:instrText>
          </w:r>
          <w:r>
            <w:fldChar w:fldCharType="separate"/>
          </w:r>
          <w:r>
            <w:rPr>
              <w:rFonts w:ascii="Times New Roman" w:hAnsi="Times New Roman" w:eastAsia="宋体"/>
            </w:rPr>
            <w:t>C.3 核心耦合区（|MI| 最小 Top 10）</w:t>
          </w:r>
          <w:r>
            <w:tab/>
          </w:r>
          <w:r>
            <w:fldChar w:fldCharType="begin"/>
          </w:r>
          <w:r>
            <w:instrText xml:space="preserve"> PAGEREF _Toc8095 \h </w:instrText>
          </w:r>
          <w:r>
            <w:fldChar w:fldCharType="separate"/>
          </w:r>
          <w:r>
            <w:t>47</w:t>
          </w:r>
          <w:r>
            <w:fldChar w:fldCharType="end"/>
          </w:r>
          <w:r>
            <w:fldChar w:fldCharType="end"/>
          </w:r>
        </w:p>
        <w:p w14:paraId="245753CF">
          <w:pPr>
            <w:pStyle w:val="46"/>
            <w:tabs>
              <w:tab w:val="right" w:leader="dot" w:pos="8731"/>
              <w:tab w:val="clear" w:pos="8381"/>
            </w:tabs>
          </w:pPr>
          <w:r>
            <w:fldChar w:fldCharType="begin"/>
          </w:r>
          <w:r>
            <w:instrText xml:space="preserve"> HYPERLINK \l _Toc1936 </w:instrText>
          </w:r>
          <w:r>
            <w:fldChar w:fldCharType="separate"/>
          </w:r>
          <w:r>
            <w:rPr>
              <w:rFonts w:ascii="Times New Roman" w:hAnsi="Times New Roman" w:eastAsia="黑体"/>
            </w:rPr>
            <w:t>附录 D　潜力释放条件相关矩阵</w:t>
          </w:r>
          <w:r>
            <w:tab/>
          </w:r>
          <w:r>
            <w:fldChar w:fldCharType="begin"/>
          </w:r>
          <w:r>
            <w:instrText xml:space="preserve"> PAGEREF _Toc1936 \h </w:instrText>
          </w:r>
          <w:r>
            <w:fldChar w:fldCharType="separate"/>
          </w:r>
          <w:r>
            <w:t>49</w:t>
          </w:r>
          <w:r>
            <w:fldChar w:fldCharType="end"/>
          </w:r>
          <w:r>
            <w:fldChar w:fldCharType="end"/>
          </w:r>
        </w:p>
        <w:p w14:paraId="30521003">
          <w:pPr>
            <w:pStyle w:val="45"/>
            <w:tabs>
              <w:tab w:val="right" w:leader="dot" w:pos="8731"/>
              <w:tab w:val="clear" w:pos="8381"/>
            </w:tabs>
          </w:pPr>
          <w:r>
            <w:fldChar w:fldCharType="begin"/>
          </w:r>
          <w:r>
            <w:instrText xml:space="preserve"> HYPERLINK \l _Toc28654 </w:instrText>
          </w:r>
          <w:r>
            <w:fldChar w:fldCharType="separate"/>
          </w:r>
          <w:r>
            <w:rPr>
              <w:rFonts w:ascii="Times New Roman" w:hAnsi="Times New Roman" w:eastAsia="宋体"/>
            </w:rPr>
            <w:t>D.1 载体级 Pearson 矩阵（n = 165） 见第 6.3.1 节表 6.4。</w:t>
          </w:r>
          <w:r>
            <w:tab/>
          </w:r>
          <w:r>
            <w:fldChar w:fldCharType="begin"/>
          </w:r>
          <w:r>
            <w:instrText xml:space="preserve"> PAGEREF _Toc28654 \h </w:instrText>
          </w:r>
          <w:r>
            <w:fldChar w:fldCharType="separate"/>
          </w:r>
          <w:r>
            <w:t>49</w:t>
          </w:r>
          <w:r>
            <w:fldChar w:fldCharType="end"/>
          </w:r>
          <w:r>
            <w:fldChar w:fldCharType="end"/>
          </w:r>
        </w:p>
        <w:p w14:paraId="10980E01">
          <w:pPr>
            <w:pStyle w:val="45"/>
            <w:tabs>
              <w:tab w:val="right" w:leader="dot" w:pos="8731"/>
              <w:tab w:val="clear" w:pos="8381"/>
            </w:tabs>
          </w:pPr>
          <w:r>
            <w:fldChar w:fldCharType="begin"/>
          </w:r>
          <w:r>
            <w:instrText xml:space="preserve"> HYPERLINK \l _Toc21748 </w:instrText>
          </w:r>
          <w:r>
            <w:fldChar w:fldCharType="separate"/>
          </w:r>
          <w:r>
            <w:rPr>
              <w:rFonts w:ascii="Times New Roman" w:hAnsi="Times New Roman" w:eastAsia="宋体"/>
            </w:rPr>
            <w:t>D.2 镇街级 Pearson 矩阵（n = 7） 见第 6.3.2 节表 6.5。</w:t>
          </w:r>
          <w:r>
            <w:tab/>
          </w:r>
          <w:r>
            <w:fldChar w:fldCharType="begin"/>
          </w:r>
          <w:r>
            <w:instrText xml:space="preserve"> PAGEREF _Toc21748 \h </w:instrText>
          </w:r>
          <w:r>
            <w:fldChar w:fldCharType="separate"/>
          </w:r>
          <w:r>
            <w:t>49</w:t>
          </w:r>
          <w:r>
            <w:fldChar w:fldCharType="end"/>
          </w:r>
          <w:r>
            <w:fldChar w:fldCharType="end"/>
          </w:r>
        </w:p>
        <w:p w14:paraId="39899145">
          <w:pPr>
            <w:pStyle w:val="45"/>
            <w:tabs>
              <w:tab w:val="right" w:leader="dot" w:pos="8731"/>
              <w:tab w:val="clear" w:pos="8381"/>
            </w:tabs>
          </w:pPr>
          <w:r>
            <w:fldChar w:fldCharType="begin"/>
          </w:r>
          <w:r>
            <w:instrText xml:space="preserve"> HYPERLINK \l _Toc3954 </w:instrText>
          </w:r>
          <w:r>
            <w:fldChar w:fldCharType="separate"/>
          </w:r>
          <w:r>
            <w:rPr>
              <w:rFonts w:ascii="Times New Roman" w:hAnsi="Times New Roman" w:eastAsia="宋体"/>
            </w:rPr>
            <w:t>D.3 载体级 Spearman 矩阵与镇街级 Spearman 矩阵 见补充附表。</w:t>
          </w:r>
          <w:r>
            <w:tab/>
          </w:r>
          <w:r>
            <w:fldChar w:fldCharType="begin"/>
          </w:r>
          <w:r>
            <w:instrText xml:space="preserve"> PAGEREF _Toc3954 \h </w:instrText>
          </w:r>
          <w:r>
            <w:fldChar w:fldCharType="separate"/>
          </w:r>
          <w:r>
            <w:t>49</w:t>
          </w:r>
          <w:r>
            <w:fldChar w:fldCharType="end"/>
          </w:r>
          <w:r>
            <w:fldChar w:fldCharType="end"/>
          </w:r>
        </w:p>
        <w:p w14:paraId="41F29E84">
          <w:pPr>
            <w:pStyle w:val="45"/>
            <w:tabs>
              <w:tab w:val="right" w:leader="dot" w:pos="8731"/>
              <w:tab w:val="clear" w:pos="8381"/>
            </w:tabs>
          </w:pPr>
          <w:r>
            <w:fldChar w:fldCharType="begin"/>
          </w:r>
          <w:r>
            <w:instrText xml:space="preserve"> HYPERLINK \l _Toc6009 </w:instrText>
          </w:r>
          <w:r>
            <w:fldChar w:fldCharType="separate"/>
          </w:r>
          <w:r>
            <w:rPr>
              <w:rFonts w:ascii="Times New Roman" w:hAnsi="Times New Roman" w:eastAsia="宋体"/>
            </w:rPr>
            <w:t>D.4 关键双变量对比</w:t>
          </w:r>
          <w:r>
            <w:tab/>
          </w:r>
          <w:r>
            <w:fldChar w:fldCharType="begin"/>
          </w:r>
          <w:r>
            <w:instrText xml:space="preserve"> PAGEREF _Toc6009 \h </w:instrText>
          </w:r>
          <w:r>
            <w:fldChar w:fldCharType="separate"/>
          </w:r>
          <w:r>
            <w:t>49</w:t>
          </w:r>
          <w:r>
            <w:fldChar w:fldCharType="end"/>
          </w:r>
          <w:r>
            <w:fldChar w:fldCharType="end"/>
          </w:r>
        </w:p>
        <w:p w14:paraId="44A7C54A">
          <w:pPr>
            <w:pStyle w:val="46"/>
            <w:tabs>
              <w:tab w:val="right" w:leader="dot" w:pos="8731"/>
              <w:tab w:val="clear" w:pos="8381"/>
            </w:tabs>
          </w:pPr>
          <w:r>
            <w:fldChar w:fldCharType="begin"/>
          </w:r>
          <w:r>
            <w:instrText xml:space="preserve"> HYPERLINK \l _Toc15438 </w:instrText>
          </w:r>
          <w:r>
            <w:fldChar w:fldCharType="separate"/>
          </w:r>
          <w:r>
            <w:rPr>
              <w:rFonts w:ascii="Times New Roman" w:hAnsi="Times New Roman" w:eastAsia="黑体"/>
            </w:rPr>
            <w:t>致　　谢</w:t>
          </w:r>
          <w:r>
            <w:tab/>
          </w:r>
          <w:r>
            <w:fldChar w:fldCharType="begin"/>
          </w:r>
          <w:r>
            <w:instrText xml:space="preserve"> PAGEREF _Toc15438 \h </w:instrText>
          </w:r>
          <w:r>
            <w:fldChar w:fldCharType="separate"/>
          </w:r>
          <w:r>
            <w:t>50</w:t>
          </w:r>
          <w:r>
            <w:fldChar w:fldCharType="end"/>
          </w:r>
          <w:r>
            <w:fldChar w:fldCharType="end"/>
          </w:r>
        </w:p>
        <w:p w14:paraId="6991759A">
          <w:pPr>
            <w:pStyle w:val="46"/>
            <w:tabs>
              <w:tab w:val="right" w:leader="dot" w:pos="8731"/>
              <w:tab w:val="clear" w:pos="8381"/>
            </w:tabs>
          </w:pPr>
          <w:r>
            <w:fldChar w:fldCharType="begin"/>
          </w:r>
          <w:r>
            <w:instrText xml:space="preserve"> HYPERLINK \l _Toc11458 </w:instrText>
          </w:r>
          <w:r>
            <w:fldChar w:fldCharType="separate"/>
          </w:r>
          <w:r>
            <w:rPr>
              <w:rFonts w:ascii="Times New Roman" w:hAnsi="Times New Roman" w:eastAsia="黑体"/>
            </w:rPr>
            <w:t>声　　明</w:t>
          </w:r>
          <w:r>
            <w:tab/>
          </w:r>
          <w:r>
            <w:fldChar w:fldCharType="begin"/>
          </w:r>
          <w:r>
            <w:instrText xml:space="preserve"> PAGEREF _Toc11458 \h </w:instrText>
          </w:r>
          <w:r>
            <w:fldChar w:fldCharType="separate"/>
          </w:r>
          <w:r>
            <w:t>51</w:t>
          </w:r>
          <w:r>
            <w:fldChar w:fldCharType="end"/>
          </w:r>
          <w:r>
            <w:fldChar w:fldCharType="end"/>
          </w:r>
        </w:p>
        <w:p w14:paraId="6ECD130E">
          <w:pPr>
            <w:pStyle w:val="46"/>
            <w:tabs>
              <w:tab w:val="right" w:leader="dot" w:pos="8731"/>
              <w:tab w:val="clear" w:pos="8381"/>
            </w:tabs>
          </w:pPr>
          <w:r>
            <w:fldChar w:fldCharType="begin"/>
          </w:r>
          <w:r>
            <w:instrText xml:space="preserve"> HYPERLINK \l _Toc15740 </w:instrText>
          </w:r>
          <w:r>
            <w:fldChar w:fldCharType="separate"/>
          </w:r>
          <w:r>
            <w:rPr>
              <w:rFonts w:ascii="Times New Roman" w:hAnsi="Times New Roman" w:eastAsia="黑体"/>
            </w:rPr>
            <w:t>在学期间参加课题的研究成果</w:t>
          </w:r>
          <w:r>
            <w:tab/>
          </w:r>
          <w:r>
            <w:fldChar w:fldCharType="begin"/>
          </w:r>
          <w:r>
            <w:instrText xml:space="preserve"> PAGEREF _Toc15740 \h </w:instrText>
          </w:r>
          <w:r>
            <w:fldChar w:fldCharType="separate"/>
          </w:r>
          <w:r>
            <w:t>52</w:t>
          </w:r>
          <w:r>
            <w:fldChar w:fldCharType="end"/>
          </w:r>
          <w:r>
            <w:fldChar w:fldCharType="end"/>
          </w:r>
        </w:p>
        <w:p w14:paraId="66F15AA0">
          <w:r>
            <w:fldChar w:fldCharType="end"/>
          </w:r>
        </w:p>
      </w:sdtContent>
    </w:sdt>
    <w:p w14:paraId="2329D8DC"/>
    <w:p w14:paraId="15C87602">
      <w:pPr>
        <w:spacing w:before="360" w:after="160" w:line="400" w:lineRule="exact"/>
        <w:jc w:val="center"/>
      </w:pPr>
      <w:r>
        <w:rPr>
          <w:rFonts w:ascii="Times New Roman" w:hAnsi="Times New Roman" w:eastAsia="黑体"/>
          <w:b/>
          <w:sz w:val="32"/>
        </w:rPr>
        <w:t>综 合 论 文 训 练</w:t>
      </w:r>
    </w:p>
    <w:p w14:paraId="45E06120">
      <w:pPr>
        <w:spacing w:before="240" w:after="120" w:line="400" w:lineRule="exact"/>
        <w:jc w:val="left"/>
      </w:pPr>
      <w:r>
        <w:rPr>
          <w:rFonts w:ascii="Times New Roman" w:hAnsi="Times New Roman" w:eastAsia="黑体"/>
          <w:b/>
          <w:sz w:val="28"/>
        </w:rPr>
        <w:t>本科生综合论文训练标题</w:t>
      </w:r>
    </w:p>
    <w:p w14:paraId="4745F53B">
      <w:pPr>
        <w:spacing w:before="0" w:after="0" w:line="400" w:lineRule="exact"/>
        <w:ind w:firstLine="480"/>
        <w:jc w:val="left"/>
      </w:pPr>
      <w:r>
        <w:rPr>
          <w:rFonts w:ascii="Times New Roman" w:hAnsi="Times New Roman" w:eastAsia="宋体"/>
          <w:b w:val="0"/>
          <w:sz w:val="24"/>
        </w:rPr>
        <w:t>基于大数据的佛山市南海区旅游景区文旅融合潜力研究</w:t>
      </w:r>
    </w:p>
    <w:p w14:paraId="4611985D">
      <w:pPr>
        <w:spacing w:before="0" w:after="0" w:line="400" w:lineRule="exact"/>
        <w:ind w:firstLine="480"/>
        <w:jc w:val="left"/>
      </w:pPr>
      <w:r>
        <w:rPr>
          <w:rFonts w:ascii="Times New Roman" w:hAnsi="Times New Roman" w:eastAsia="宋体"/>
          <w:b w:val="0"/>
          <w:sz w:val="24"/>
        </w:rPr>
        <w:t>系　　别：【待填写：系别】</w:t>
      </w:r>
    </w:p>
    <w:p w14:paraId="4BC7CBAE">
      <w:pPr>
        <w:spacing w:before="0" w:after="0" w:line="400" w:lineRule="exact"/>
        <w:ind w:firstLine="480"/>
        <w:jc w:val="left"/>
      </w:pPr>
      <w:r>
        <w:rPr>
          <w:rFonts w:ascii="Times New Roman" w:hAnsi="Times New Roman" w:eastAsia="宋体"/>
          <w:b w:val="0"/>
          <w:sz w:val="24"/>
        </w:rPr>
        <w:t>专　　业：【待填写：专业】</w:t>
      </w:r>
    </w:p>
    <w:p w14:paraId="4DB2B495">
      <w:pPr>
        <w:spacing w:before="0" w:after="0" w:line="400" w:lineRule="exact"/>
        <w:ind w:firstLine="480"/>
        <w:jc w:val="left"/>
      </w:pPr>
      <w:r>
        <w:rPr>
          <w:rFonts w:ascii="Times New Roman" w:hAnsi="Times New Roman" w:eastAsia="宋体"/>
          <w:b w:val="0"/>
          <w:sz w:val="24"/>
        </w:rPr>
        <w:t>姓　　名：孟　帅</w:t>
      </w:r>
    </w:p>
    <w:p w14:paraId="297F3507">
      <w:pPr>
        <w:spacing w:before="0" w:after="0" w:line="400" w:lineRule="exact"/>
        <w:ind w:firstLine="480"/>
        <w:jc w:val="left"/>
      </w:pPr>
      <w:r>
        <w:rPr>
          <w:rFonts w:ascii="Times New Roman" w:hAnsi="Times New Roman" w:eastAsia="宋体"/>
          <w:b w:val="0"/>
          <w:sz w:val="24"/>
        </w:rPr>
        <w:t>指导教师：【待填写：指导教师】</w:t>
      </w:r>
    </w:p>
    <w:p w14:paraId="16BFBBAD">
      <w:pPr>
        <w:spacing w:before="0" w:after="0" w:line="400" w:lineRule="exact"/>
        <w:ind w:firstLine="480"/>
        <w:jc w:val="left"/>
      </w:pPr>
      <w:r>
        <w:rPr>
          <w:rFonts w:ascii="Times New Roman" w:hAnsi="Times New Roman" w:eastAsia="宋体"/>
          <w:b w:val="0"/>
          <w:sz w:val="24"/>
        </w:rPr>
        <w:t>二○二六年六月</w:t>
      </w:r>
    </w:p>
    <w:p w14:paraId="57A156F5">
      <w:r>
        <w:br w:type="page"/>
      </w:r>
    </w:p>
    <w:p w14:paraId="6642B9DD">
      <w:pPr>
        <w:spacing w:before="240" w:after="120" w:line="400" w:lineRule="exact"/>
        <w:jc w:val="left"/>
        <w:outlineLvl w:val="0"/>
      </w:pPr>
      <w:bookmarkStart w:id="0" w:name="_Toc11207"/>
      <w:r>
        <w:rPr>
          <w:rFonts w:ascii="Times New Roman" w:hAnsi="Times New Roman" w:eastAsia="黑体"/>
          <w:b/>
          <w:sz w:val="28"/>
        </w:rPr>
        <w:t>关于论文使用授权的说明</w:t>
      </w:r>
      <w:bookmarkEnd w:id="0"/>
    </w:p>
    <w:p w14:paraId="7F98ED72">
      <w:pPr>
        <w:spacing w:before="0" w:after="0" w:line="400" w:lineRule="exact"/>
        <w:ind w:firstLine="480"/>
        <w:jc w:val="left"/>
      </w:pPr>
      <w:r>
        <w:rPr>
          <w:rFonts w:ascii="Times New Roman" w:hAnsi="Times New Roman" w:eastAsia="宋体"/>
          <w:b w:val="0"/>
          <w:sz w:val="24"/>
        </w:rPr>
        <w:t>本人完全了解【待填写：学校名称】有关保留、使用综合论文训练论文的规定，即：学校有权保留论文的复印件，允许论文被查阅和借阅；学校可以公布论文的全部或部分内容，可以采用影印、缩印或其他复制手段保存论文。</w:t>
      </w:r>
    </w:p>
    <w:p w14:paraId="56F18379">
      <w:pPr>
        <w:spacing w:before="0" w:after="0" w:line="400" w:lineRule="exact"/>
        <w:ind w:firstLine="480"/>
        <w:jc w:val="left"/>
      </w:pPr>
      <w:r>
        <w:rPr>
          <w:rFonts w:ascii="Times New Roman" w:hAnsi="Times New Roman" w:eastAsia="宋体"/>
          <w:b w:val="0"/>
          <w:sz w:val="24"/>
        </w:rPr>
        <w:t>作者签名：　　　　　　导师签名：</w:t>
      </w:r>
    </w:p>
    <w:p w14:paraId="0A0C57C7">
      <w:pPr>
        <w:spacing w:before="0" w:after="0" w:line="400" w:lineRule="exact"/>
        <w:ind w:firstLine="480"/>
        <w:jc w:val="left"/>
      </w:pPr>
      <w:r>
        <w:rPr>
          <w:rFonts w:ascii="Times New Roman" w:hAnsi="Times New Roman" w:eastAsia="宋体"/>
          <w:b w:val="0"/>
          <w:sz w:val="24"/>
        </w:rPr>
        <w:t>日　　期：　　　　　　日　　期：</w:t>
      </w:r>
    </w:p>
    <w:p w14:paraId="6FF5F9AD">
      <w:r>
        <w:br w:type="page"/>
      </w:r>
    </w:p>
    <w:p w14:paraId="10C5029A">
      <w:pPr>
        <w:spacing w:before="240" w:after="120" w:line="400" w:lineRule="exact"/>
        <w:jc w:val="left"/>
        <w:outlineLvl w:val="0"/>
      </w:pPr>
      <w:bookmarkStart w:id="1" w:name="_Toc247"/>
      <w:r>
        <w:rPr>
          <w:rFonts w:ascii="Times New Roman" w:hAnsi="Times New Roman" w:eastAsia="黑体"/>
          <w:b/>
          <w:sz w:val="28"/>
        </w:rPr>
        <w:t>摘　　要</w:t>
      </w:r>
      <w:bookmarkEnd w:id="1"/>
    </w:p>
    <w:p w14:paraId="0A141B9D">
      <w:pPr>
        <w:spacing w:before="0" w:after="0" w:line="400" w:lineRule="exact"/>
        <w:ind w:firstLine="480"/>
        <w:jc w:val="left"/>
      </w:pPr>
      <w:r>
        <w:rPr>
          <w:rFonts w:ascii="Times New Roman" w:hAnsi="Times New Roman" w:eastAsia="宋体"/>
          <w:b w:val="0"/>
          <w:sz w:val="24"/>
        </w:rPr>
        <w:t>佛山市南海区具有较为丰厚的历史文化资源和旅游开发基础，但在实际的旅游景区建设中，文献记载、遗产名录中的文化记忆与游客能够接触到的旅游产品之间仍存在一定错位。如何识别这种错位，并进一步判断哪些文化资源具有转化为旅游吸引物的潜力，是区县尺度文旅融合研究中需要回应的问题。基于这一背景，本文以南海区为研究对象，尝试从数据化、空间化的角度分析旅游景区文旅融合的现状与潜力。</w:t>
      </w:r>
    </w:p>
    <w:p w14:paraId="2A34C5D0">
      <w:pPr>
        <w:spacing w:before="0" w:after="0" w:line="400" w:lineRule="exact"/>
        <w:ind w:firstLine="480"/>
        <w:jc w:val="left"/>
      </w:pPr>
      <w:r>
        <w:rPr>
          <w:rFonts w:ascii="Times New Roman" w:hAnsi="Times New Roman" w:eastAsia="宋体"/>
          <w:b w:val="0"/>
          <w:sz w:val="24"/>
        </w:rPr>
        <w:t>本文建立“文化—旅游”双谱系对照框架。文化侧以地方典籍和相关文献为基础，通过文本整理、实体关系抽取和知识图谱构建，刻画南海区的文化记忆结构；旅游侧以多源 POI、平台评论和景区等级等数据为基础，分析现有旅游供给与游客体验情况。在两者之间，本文以官方认定且具有明确空间位置的物质文化载体作为主要耦合桥梁，并将非遗作为动态补充，进一步构建文化记忆指数、官方认证指数、旅游热度指数和文化—旅游错位指数，对不同载体、片区和镇街的融合状态进行比较。</w:t>
      </w:r>
    </w:p>
    <w:p w14:paraId="4D147D4E">
      <w:pPr>
        <w:spacing w:before="0" w:after="0" w:line="400" w:lineRule="exact"/>
        <w:ind w:firstLine="480"/>
        <w:jc w:val="left"/>
      </w:pPr>
      <w:r>
        <w:rPr>
          <w:rFonts w:ascii="Times New Roman" w:hAnsi="Times New Roman" w:eastAsia="宋体"/>
          <w:b w:val="0"/>
          <w:sz w:val="24"/>
        </w:rPr>
        <w:t>研究发现，南海区旅游景区的文旅融合并不是简单的资源多少问题，而是文化资源、空间载体和旅游产品之间是否形成有效衔接的问题。一些文化记忆较深、官方认证较强的地区仍未充分转化为旅游热度，表现出较为明显的“沉睡潜力”；也有部分旅游热度较高的现代景点，存在本土文化叙事不足的情况。整体来看，以物质文化载体作为耦合桥梁，能够较好地连接文献中的文化内容和现实中的旅游产品；景区评级、展示解说、交通联系和片区化组织等因素，则可以作为后续潜力释放的重要抓手。本文据此提出分层级、分片区的文旅融合提升建议，为南海区及同类区县的文化资源活化和旅游景区优化提供参考。</w:t>
      </w:r>
    </w:p>
    <w:p w14:paraId="38879050">
      <w:pPr>
        <w:spacing w:before="0" w:after="0" w:line="400" w:lineRule="exact"/>
        <w:ind w:firstLine="480"/>
        <w:jc w:val="left"/>
      </w:pPr>
      <w:r>
        <w:rPr>
          <w:rFonts w:ascii="Times New Roman" w:hAnsi="Times New Roman" w:eastAsia="宋体"/>
          <w:b/>
          <w:sz w:val="24"/>
        </w:rPr>
        <w:t>关键词</w:t>
      </w:r>
      <w:r>
        <w:rPr>
          <w:rFonts w:ascii="Times New Roman" w:hAnsi="Times New Roman" w:eastAsia="宋体"/>
          <w:b w:val="0"/>
          <w:sz w:val="24"/>
        </w:rPr>
        <w:t>：文旅融合；错位指数；物质文化遗产；知识图谱；南海区</w:t>
      </w:r>
    </w:p>
    <w:p w14:paraId="77FB4AB5">
      <w:r>
        <w:br w:type="page"/>
      </w:r>
    </w:p>
    <w:p w14:paraId="339F803D">
      <w:pPr>
        <w:spacing w:before="240" w:after="120" w:line="400" w:lineRule="exact"/>
        <w:jc w:val="left"/>
        <w:outlineLvl w:val="0"/>
      </w:pPr>
      <w:bookmarkStart w:id="2" w:name="_Toc6721"/>
      <w:r>
        <w:rPr>
          <w:rFonts w:ascii="Times New Roman" w:hAnsi="Times New Roman" w:eastAsia="黑体"/>
          <w:b/>
          <w:sz w:val="28"/>
        </w:rPr>
        <w:t>Abstract</w:t>
      </w:r>
      <w:bookmarkEnd w:id="2"/>
    </w:p>
    <w:p w14:paraId="1BAF5979">
      <w:pPr>
        <w:spacing w:before="0" w:after="0" w:line="400" w:lineRule="exact"/>
        <w:ind w:firstLine="480"/>
        <w:jc w:val="left"/>
      </w:pPr>
      <w:r>
        <w:rPr>
          <w:rFonts w:ascii="Times New Roman" w:hAnsi="Times New Roman" w:eastAsia="宋体"/>
          <w:b w:val="0"/>
          <w:sz w:val="24"/>
        </w:rPr>
        <w:t>Nanhai District in Foshan City possesses rich historical and cultural resources and a solid foundation for tourism development. However, in the actual construction of tourist attractions, a certain mismatch persists between the cultural memory recorded in written documents and heritage inventories and the tourism products accessible to visitors. Identifying this mismatch and determining which cultural resources have the potential to be transformed into tourist attractions is a question that needs to be addressed in research on culture–tourism integration at the district or county scale. Against this background, this paper takes Nanhai District as the research object and attempts to analyze the current status and potential of culture–tourism integration in tourist attractions from a data-driven and spatial perspective.</w:t>
      </w:r>
    </w:p>
    <w:p w14:paraId="293CDA5B">
      <w:pPr>
        <w:spacing w:before="0" w:after="0" w:line="400" w:lineRule="exact"/>
        <w:ind w:firstLine="480"/>
        <w:jc w:val="left"/>
      </w:pPr>
      <w:r>
        <w:rPr>
          <w:rFonts w:ascii="Times New Roman" w:hAnsi="Times New Roman" w:eastAsia="宋体"/>
          <w:b w:val="0"/>
          <w:sz w:val="24"/>
        </w:rPr>
        <w:t>This paper establishes a dual-spectrum comparative framework of “culture” and “tourism.” On the culture side, based on local chronicles and relevant literature, the structure of cultural memory in Nanhai District is characterized through text collation, entity-relationship extraction, and knowledge graph construction. On the tourism side, existing tourism supply and visitor experience are analyzed using data from multi-source points of interest (POI), online platform reviews, and attraction ratings. Between the two, officially recognized tangible cultural carriers with clear spatial locations serve as the main coupling bridge, while intangible cultural heritage is used as a dynamic supplement. Based on these, the study further constructs a cultural memory index, an official recognition index, a tourism popularity index, and a culture–tourism mismatch index, thereby comparing the integration status across different carriers, zones, and sub-districts or towns.</w:t>
      </w:r>
    </w:p>
    <w:p w14:paraId="4A51BAF4">
      <w:pPr>
        <w:spacing w:before="0" w:after="0" w:line="400" w:lineRule="exact"/>
        <w:ind w:firstLine="480"/>
        <w:jc w:val="left"/>
      </w:pPr>
      <w:r>
        <w:rPr>
          <w:rFonts w:ascii="Times New Roman" w:hAnsi="Times New Roman" w:eastAsia="宋体"/>
          <w:b w:val="0"/>
          <w:sz w:val="24"/>
        </w:rPr>
        <w:t>The findings reveal that culture–tourism integration in Nanhai’s tourist attractions is not simply a matter of how many resources exist, but rather whether an effective connection has been formed among cultural resources, spatial carriers, and tourism products. Some areas with deep cultural memory and strong official recognition have not yet been fully transformed into tourism popularity, exhibiting a pronounced “dormant potential.” There are also modern attractions with high tourism popularity that lack sufficient local cultural narratives. Overall, using tangible cultural carriers as the coupling bridge can effectively connect the cultural content in literature with real-world tourism products. Factors such as attraction ratings, interpretation and exhibition, transport connectivity, and zonal organization can serve as important levers for unlocking future potential. Based on these findings, this paper puts forward tiered and area-specific recommendations for enhancing culture–tourism integration.</w:t>
      </w:r>
    </w:p>
    <w:p w14:paraId="6E8C3CC4">
      <w:pPr>
        <w:spacing w:before="0" w:after="0" w:line="400" w:lineRule="exact"/>
        <w:ind w:firstLine="480"/>
        <w:jc w:val="left"/>
      </w:pPr>
      <w:r>
        <w:rPr>
          <w:rFonts w:ascii="Times New Roman" w:hAnsi="Times New Roman" w:eastAsia="宋体"/>
          <w:b/>
          <w:sz w:val="24"/>
        </w:rPr>
        <w:t>Keywords:</w:t>
      </w:r>
      <w:r>
        <w:rPr>
          <w:rFonts w:ascii="Times New Roman" w:hAnsi="Times New Roman" w:eastAsia="宋体"/>
          <w:b w:val="0"/>
          <w:sz w:val="24"/>
        </w:rPr>
        <w:t xml:space="preserve"> culture–tourism integration; culture–tourism mismatch index; tangible cultural heritage; knowledge graph; Nanhai District</w:t>
      </w:r>
    </w:p>
    <w:p w14:paraId="45A63501">
      <w:r>
        <w:br w:type="page"/>
      </w:r>
    </w:p>
    <w:p w14:paraId="6FB80740">
      <w:pPr>
        <w:spacing w:before="240" w:after="120" w:line="400" w:lineRule="exact"/>
        <w:jc w:val="left"/>
        <w:outlineLvl w:val="0"/>
      </w:pPr>
      <w:bookmarkStart w:id="3" w:name="_Toc16902"/>
      <w:r>
        <w:rPr>
          <w:rFonts w:ascii="Times New Roman" w:hAnsi="Times New Roman" w:eastAsia="黑体"/>
          <w:b/>
          <w:sz w:val="28"/>
        </w:rPr>
        <w:t>目　　录</w:t>
      </w:r>
      <w:bookmarkEnd w:id="3"/>
    </w:p>
    <w:p w14:paraId="61CF6D51">
      <w:pPr>
        <w:pStyle w:val="19"/>
        <w:spacing w:before="0" w:after="0" w:line="400" w:lineRule="exact"/>
      </w:pPr>
      <w:r>
        <w:rPr>
          <w:rFonts w:ascii="Times New Roman" w:hAnsi="Times New Roman" w:eastAsia="宋体"/>
          <w:b w:val="0"/>
          <w:sz w:val="24"/>
        </w:rPr>
        <w:t>第 1 章　引言</w:t>
      </w:r>
    </w:p>
    <w:p w14:paraId="404EDFE6">
      <w:pPr>
        <w:pStyle w:val="19"/>
        <w:spacing w:before="0" w:after="0" w:line="400" w:lineRule="exact"/>
      </w:pPr>
      <w:r>
        <w:rPr>
          <w:rFonts w:ascii="Times New Roman" w:hAnsi="Times New Roman" w:eastAsia="宋体"/>
          <w:b w:val="0"/>
          <w:sz w:val="24"/>
        </w:rPr>
        <w:t>1.1 研究背景与意义</w:t>
      </w:r>
    </w:p>
    <w:p w14:paraId="024BF772">
      <w:pPr>
        <w:pStyle w:val="19"/>
        <w:spacing w:before="0" w:after="0" w:line="400" w:lineRule="exact"/>
      </w:pPr>
      <w:r>
        <w:rPr>
          <w:rFonts w:ascii="Times New Roman" w:hAnsi="Times New Roman" w:eastAsia="宋体"/>
          <w:b w:val="0"/>
          <w:sz w:val="24"/>
        </w:rPr>
        <w:t>1.2 研究目标与内容</w:t>
      </w:r>
    </w:p>
    <w:p w14:paraId="48ADFA4A">
      <w:pPr>
        <w:pStyle w:val="19"/>
        <w:spacing w:before="0" w:after="0" w:line="400" w:lineRule="exact"/>
      </w:pPr>
      <w:r>
        <w:rPr>
          <w:rFonts w:ascii="Times New Roman" w:hAnsi="Times New Roman" w:eastAsia="宋体"/>
          <w:b w:val="0"/>
          <w:sz w:val="24"/>
        </w:rPr>
        <w:t>1.3 技术路线与论文结构</w:t>
      </w:r>
    </w:p>
    <w:p w14:paraId="1C017293">
      <w:pPr>
        <w:pStyle w:val="19"/>
        <w:spacing w:before="0" w:after="0" w:line="400" w:lineRule="exact"/>
      </w:pPr>
      <w:r>
        <w:rPr>
          <w:rFonts w:ascii="Times New Roman" w:hAnsi="Times New Roman" w:eastAsia="宋体"/>
          <w:b w:val="0"/>
          <w:sz w:val="24"/>
        </w:rPr>
        <w:t>第 2 章　文献综述与相关研究述评</w:t>
      </w:r>
    </w:p>
    <w:p w14:paraId="057E261C">
      <w:pPr>
        <w:pStyle w:val="19"/>
        <w:spacing w:before="0" w:after="0" w:line="400" w:lineRule="exact"/>
      </w:pPr>
      <w:r>
        <w:rPr>
          <w:rFonts w:ascii="Times New Roman" w:hAnsi="Times New Roman" w:eastAsia="宋体"/>
          <w:b w:val="0"/>
          <w:sz w:val="24"/>
        </w:rPr>
        <w:t>2.1 区域尺度文旅融合与“文化—旅游”衔接研究</w:t>
      </w:r>
    </w:p>
    <w:p w14:paraId="41A5A7A6">
      <w:pPr>
        <w:pStyle w:val="19"/>
        <w:spacing w:before="0" w:after="0" w:line="400" w:lineRule="exact"/>
      </w:pPr>
      <w:r>
        <w:rPr>
          <w:rFonts w:ascii="Times New Roman" w:hAnsi="Times New Roman" w:eastAsia="宋体"/>
          <w:b w:val="0"/>
          <w:sz w:val="24"/>
        </w:rPr>
        <w:t>2.2 大数据、文本挖掘与知识图谱在文旅研究中的应用</w:t>
      </w:r>
    </w:p>
    <w:p w14:paraId="6C640D81">
      <w:pPr>
        <w:pStyle w:val="19"/>
        <w:spacing w:before="0" w:after="0" w:line="400" w:lineRule="exact"/>
      </w:pPr>
      <w:r>
        <w:rPr>
          <w:rFonts w:ascii="Times New Roman" w:hAnsi="Times New Roman" w:eastAsia="宋体"/>
          <w:b w:val="0"/>
          <w:sz w:val="24"/>
        </w:rPr>
        <w:t>2.3 物质遗产、非遗与旅游产品耦合的研究进展</w:t>
      </w:r>
    </w:p>
    <w:p w14:paraId="029BAE82">
      <w:pPr>
        <w:pStyle w:val="19"/>
        <w:spacing w:before="0" w:after="0" w:line="400" w:lineRule="exact"/>
      </w:pPr>
      <w:r>
        <w:rPr>
          <w:rFonts w:ascii="Times New Roman" w:hAnsi="Times New Roman" w:eastAsia="宋体"/>
          <w:b w:val="0"/>
          <w:sz w:val="24"/>
        </w:rPr>
        <w:t>2.4 佛山市、珠三角及同尺度区域的相关研究</w:t>
      </w:r>
    </w:p>
    <w:p w14:paraId="69B409DD">
      <w:pPr>
        <w:pStyle w:val="19"/>
        <w:spacing w:before="0" w:after="0" w:line="400" w:lineRule="exact"/>
      </w:pPr>
      <w:r>
        <w:rPr>
          <w:rFonts w:ascii="Times New Roman" w:hAnsi="Times New Roman" w:eastAsia="宋体"/>
          <w:b w:val="0"/>
          <w:sz w:val="24"/>
        </w:rPr>
        <w:t>2.5 研究述评与本研究定位</w:t>
      </w:r>
    </w:p>
    <w:p w14:paraId="198AD4A0">
      <w:pPr>
        <w:pStyle w:val="19"/>
        <w:spacing w:before="0" w:after="0" w:line="400" w:lineRule="exact"/>
      </w:pPr>
      <w:r>
        <w:rPr>
          <w:rFonts w:ascii="Times New Roman" w:hAnsi="Times New Roman" w:eastAsia="宋体"/>
          <w:b w:val="0"/>
          <w:sz w:val="24"/>
        </w:rPr>
        <w:t>第 3 章　研究区域与数据基础</w:t>
      </w:r>
    </w:p>
    <w:p w14:paraId="0D384A27">
      <w:pPr>
        <w:pStyle w:val="19"/>
        <w:spacing w:before="0" w:after="0" w:line="400" w:lineRule="exact"/>
      </w:pPr>
      <w:r>
        <w:rPr>
          <w:rFonts w:ascii="Times New Roman" w:hAnsi="Times New Roman" w:eastAsia="宋体"/>
          <w:b w:val="0"/>
          <w:sz w:val="24"/>
        </w:rPr>
        <w:t>3.1 研究区域概况</w:t>
      </w:r>
    </w:p>
    <w:p w14:paraId="34D793DE">
      <w:pPr>
        <w:pStyle w:val="19"/>
        <w:spacing w:before="0" w:after="0" w:line="400" w:lineRule="exact"/>
      </w:pPr>
      <w:r>
        <w:rPr>
          <w:rFonts w:ascii="Times New Roman" w:hAnsi="Times New Roman" w:eastAsia="宋体"/>
          <w:b w:val="0"/>
          <w:sz w:val="24"/>
        </w:rPr>
        <w:t>3.2 数据来源与处理</w:t>
      </w:r>
    </w:p>
    <w:p w14:paraId="3D076398">
      <w:pPr>
        <w:pStyle w:val="19"/>
        <w:spacing w:before="0" w:after="0" w:line="400" w:lineRule="exact"/>
      </w:pPr>
      <w:r>
        <w:rPr>
          <w:rFonts w:ascii="Times New Roman" w:hAnsi="Times New Roman" w:eastAsia="宋体"/>
          <w:b w:val="0"/>
          <w:sz w:val="24"/>
        </w:rPr>
        <w:t>3.3 数据覆盖与局限性</w:t>
      </w:r>
    </w:p>
    <w:p w14:paraId="3C8C0D80">
      <w:pPr>
        <w:pStyle w:val="19"/>
        <w:spacing w:before="0" w:after="0" w:line="400" w:lineRule="exact"/>
      </w:pPr>
      <w:r>
        <w:rPr>
          <w:rFonts w:ascii="Times New Roman" w:hAnsi="Times New Roman" w:eastAsia="宋体"/>
          <w:b w:val="0"/>
          <w:sz w:val="24"/>
        </w:rPr>
        <w:t>第 4 章　文化知识体系构建：知识图谱的实现</w:t>
      </w:r>
    </w:p>
    <w:p w14:paraId="65A15743">
      <w:pPr>
        <w:pStyle w:val="19"/>
        <w:spacing w:before="0" w:after="0" w:line="400" w:lineRule="exact"/>
      </w:pPr>
      <w:r>
        <w:rPr>
          <w:rFonts w:ascii="Times New Roman" w:hAnsi="Times New Roman" w:eastAsia="宋体"/>
          <w:b w:val="0"/>
          <w:sz w:val="24"/>
        </w:rPr>
        <w:t>4.1 实体与关系的定义</w:t>
      </w:r>
    </w:p>
    <w:p w14:paraId="324908A8">
      <w:pPr>
        <w:pStyle w:val="19"/>
        <w:spacing w:before="0" w:after="0" w:line="400" w:lineRule="exact"/>
      </w:pPr>
      <w:r>
        <w:rPr>
          <w:rFonts w:ascii="Times New Roman" w:hAnsi="Times New Roman" w:eastAsia="宋体"/>
          <w:b w:val="0"/>
          <w:sz w:val="24"/>
        </w:rPr>
        <w:t>4.2 基于大语言模型的抽取过程</w:t>
      </w:r>
    </w:p>
    <w:p w14:paraId="3E186CF0">
      <w:pPr>
        <w:pStyle w:val="19"/>
        <w:spacing w:before="0" w:after="0" w:line="400" w:lineRule="exact"/>
      </w:pPr>
      <w:r>
        <w:rPr>
          <w:rFonts w:ascii="Times New Roman" w:hAnsi="Times New Roman" w:eastAsia="宋体"/>
          <w:b w:val="0"/>
          <w:sz w:val="24"/>
        </w:rPr>
        <w:t>4.3 图数据库的构建与可视化</w:t>
      </w:r>
    </w:p>
    <w:p w14:paraId="51877759">
      <w:pPr>
        <w:pStyle w:val="19"/>
        <w:spacing w:before="0" w:after="0" w:line="400" w:lineRule="exact"/>
      </w:pPr>
      <w:r>
        <w:rPr>
          <w:rFonts w:ascii="Times New Roman" w:hAnsi="Times New Roman" w:eastAsia="宋体"/>
          <w:b w:val="0"/>
          <w:sz w:val="24"/>
        </w:rPr>
        <w:t>第 5 章　旅游产品体系刻画与耦合分析</w:t>
      </w:r>
    </w:p>
    <w:p w14:paraId="2497C242">
      <w:pPr>
        <w:pStyle w:val="19"/>
        <w:spacing w:before="0" w:after="0" w:line="400" w:lineRule="exact"/>
      </w:pPr>
      <w:r>
        <w:rPr>
          <w:rFonts w:ascii="Times New Roman" w:hAnsi="Times New Roman" w:eastAsia="宋体"/>
          <w:b w:val="0"/>
          <w:sz w:val="24"/>
        </w:rPr>
        <w:t>5.1 旅游产品体系的结构</w:t>
      </w:r>
    </w:p>
    <w:p w14:paraId="5EA0EAED">
      <w:pPr>
        <w:pStyle w:val="19"/>
        <w:spacing w:before="0" w:after="0" w:line="400" w:lineRule="exact"/>
      </w:pPr>
      <w:r>
        <w:rPr>
          <w:rFonts w:ascii="Times New Roman" w:hAnsi="Times New Roman" w:eastAsia="宋体"/>
          <w:b w:val="0"/>
          <w:sz w:val="24"/>
        </w:rPr>
        <w:t>5.2 文化—旅游耦合桥梁：物质遗产为主、非遗为补充</w:t>
      </w:r>
    </w:p>
    <w:p w14:paraId="5A3FD3D4">
      <w:pPr>
        <w:pStyle w:val="19"/>
        <w:spacing w:before="0" w:after="0" w:line="400" w:lineRule="exact"/>
      </w:pPr>
      <w:r>
        <w:rPr>
          <w:rFonts w:ascii="Times New Roman" w:hAnsi="Times New Roman" w:eastAsia="宋体"/>
          <w:b w:val="0"/>
          <w:sz w:val="24"/>
        </w:rPr>
        <w:t>5.3 文化—旅游量化指数与错位指数</w:t>
      </w:r>
    </w:p>
    <w:p w14:paraId="0AF7AA5B">
      <w:pPr>
        <w:pStyle w:val="19"/>
        <w:spacing w:before="0" w:after="0" w:line="400" w:lineRule="exact"/>
      </w:pPr>
      <w:r>
        <w:rPr>
          <w:rFonts w:ascii="Times New Roman" w:hAnsi="Times New Roman" w:eastAsia="宋体"/>
          <w:b w:val="0"/>
          <w:sz w:val="24"/>
        </w:rPr>
        <w:t>5.4 景区等级与游客体验的关联分析</w:t>
      </w:r>
    </w:p>
    <w:p w14:paraId="48AC4F68">
      <w:pPr>
        <w:pStyle w:val="19"/>
        <w:spacing w:before="0" w:after="0" w:line="400" w:lineRule="exact"/>
      </w:pPr>
      <w:r>
        <w:rPr>
          <w:rFonts w:ascii="Times New Roman" w:hAnsi="Times New Roman" w:eastAsia="宋体"/>
          <w:b w:val="0"/>
          <w:sz w:val="24"/>
        </w:rPr>
        <w:t>第 6 章　空间格局与潜力释放条件分析</w:t>
      </w:r>
    </w:p>
    <w:p w14:paraId="2AEE77EE">
      <w:pPr>
        <w:pStyle w:val="19"/>
        <w:spacing w:before="0" w:after="0" w:line="400" w:lineRule="exact"/>
      </w:pPr>
      <w:r>
        <w:rPr>
          <w:rFonts w:ascii="Times New Roman" w:hAnsi="Times New Roman" w:eastAsia="宋体"/>
          <w:b w:val="0"/>
          <w:sz w:val="24"/>
        </w:rPr>
        <w:t>6.1 空间分析方法</w:t>
      </w:r>
    </w:p>
    <w:p w14:paraId="1849C57B">
      <w:pPr>
        <w:pStyle w:val="19"/>
        <w:spacing w:before="0" w:after="0" w:line="400" w:lineRule="exact"/>
      </w:pPr>
      <w:r>
        <w:rPr>
          <w:rFonts w:ascii="Times New Roman" w:hAnsi="Times New Roman" w:eastAsia="宋体"/>
          <w:b w:val="0"/>
          <w:sz w:val="24"/>
        </w:rPr>
        <w:t>6.2 空间格局结果</w:t>
      </w:r>
    </w:p>
    <w:p w14:paraId="7E892DD9">
      <w:pPr>
        <w:pStyle w:val="19"/>
        <w:spacing w:before="0" w:after="0" w:line="400" w:lineRule="exact"/>
      </w:pPr>
      <w:r>
        <w:rPr>
          <w:rFonts w:ascii="Times New Roman" w:hAnsi="Times New Roman" w:eastAsia="宋体"/>
          <w:b w:val="0"/>
          <w:sz w:val="24"/>
        </w:rPr>
        <w:t>6.3 潜力释放条件的相关性分析</w:t>
      </w:r>
    </w:p>
    <w:p w14:paraId="568A94FA">
      <w:pPr>
        <w:pStyle w:val="19"/>
        <w:spacing w:before="0" w:after="0" w:line="400" w:lineRule="exact"/>
      </w:pPr>
      <w:r>
        <w:rPr>
          <w:rFonts w:ascii="Times New Roman" w:hAnsi="Times New Roman" w:eastAsia="宋体"/>
          <w:b w:val="0"/>
          <w:sz w:val="24"/>
        </w:rPr>
        <w:t>6.4 九江片区的专题讨论</w:t>
      </w:r>
    </w:p>
    <w:p w14:paraId="4E048167">
      <w:pPr>
        <w:pStyle w:val="19"/>
        <w:spacing w:before="0" w:after="0" w:line="400" w:lineRule="exact"/>
      </w:pPr>
      <w:r>
        <w:rPr>
          <w:rFonts w:ascii="Times New Roman" w:hAnsi="Times New Roman" w:eastAsia="宋体"/>
          <w:b w:val="0"/>
          <w:sz w:val="24"/>
        </w:rPr>
        <w:t>第 7 章　结论与建议</w:t>
      </w:r>
    </w:p>
    <w:p w14:paraId="0E6CCE29">
      <w:pPr>
        <w:pStyle w:val="19"/>
        <w:spacing w:before="0" w:after="0" w:line="400" w:lineRule="exact"/>
      </w:pPr>
      <w:r>
        <w:rPr>
          <w:rFonts w:ascii="Times New Roman" w:hAnsi="Times New Roman" w:eastAsia="宋体"/>
          <w:b w:val="0"/>
          <w:sz w:val="24"/>
        </w:rPr>
        <w:t>7.1 主要研究结论</w:t>
      </w:r>
    </w:p>
    <w:p w14:paraId="001EB992">
      <w:pPr>
        <w:pStyle w:val="19"/>
        <w:spacing w:before="0" w:after="0" w:line="400" w:lineRule="exact"/>
      </w:pPr>
      <w:r>
        <w:rPr>
          <w:rFonts w:ascii="Times New Roman" w:hAnsi="Times New Roman" w:eastAsia="宋体"/>
          <w:b w:val="0"/>
          <w:sz w:val="24"/>
        </w:rPr>
        <w:t>7.2 文旅融合潜力释放与提升建议</w:t>
      </w:r>
    </w:p>
    <w:p w14:paraId="0669DFF9">
      <w:pPr>
        <w:pStyle w:val="19"/>
        <w:spacing w:before="0" w:after="0" w:line="400" w:lineRule="exact"/>
      </w:pPr>
      <w:r>
        <w:rPr>
          <w:rFonts w:ascii="Times New Roman" w:hAnsi="Times New Roman" w:eastAsia="宋体"/>
          <w:b w:val="0"/>
          <w:sz w:val="24"/>
        </w:rPr>
        <w:t>7.3 研究不足与展望</w:t>
      </w:r>
    </w:p>
    <w:p w14:paraId="61B15B94">
      <w:pPr>
        <w:pStyle w:val="19"/>
        <w:spacing w:before="0" w:after="0" w:line="400" w:lineRule="exact"/>
      </w:pPr>
      <w:r>
        <w:rPr>
          <w:rFonts w:ascii="Times New Roman" w:hAnsi="Times New Roman" w:eastAsia="宋体"/>
          <w:b w:val="0"/>
          <w:sz w:val="24"/>
        </w:rPr>
        <w:t>参考文献</w:t>
      </w:r>
    </w:p>
    <w:p w14:paraId="70AF8D29">
      <w:pPr>
        <w:pStyle w:val="19"/>
        <w:spacing w:before="0" w:after="0" w:line="400" w:lineRule="exact"/>
      </w:pPr>
      <w:r>
        <w:rPr>
          <w:rFonts w:ascii="Times New Roman" w:hAnsi="Times New Roman" w:eastAsia="宋体"/>
          <w:b w:val="0"/>
          <w:sz w:val="24"/>
        </w:rPr>
        <w:t>附录 A　实体分类体系简表</w:t>
      </w:r>
    </w:p>
    <w:p w14:paraId="09076AE9">
      <w:pPr>
        <w:pStyle w:val="19"/>
        <w:spacing w:before="0" w:after="0" w:line="400" w:lineRule="exact"/>
      </w:pPr>
      <w:r>
        <w:rPr>
          <w:rFonts w:ascii="Times New Roman" w:hAnsi="Times New Roman" w:eastAsia="宋体"/>
          <w:b w:val="0"/>
          <w:sz w:val="24"/>
        </w:rPr>
        <w:t>附录 B　165 条文化载体样本分类与镇街分布统计</w:t>
      </w:r>
    </w:p>
    <w:p w14:paraId="52A0B049">
      <w:pPr>
        <w:pStyle w:val="19"/>
        <w:spacing w:before="0" w:after="0" w:line="400" w:lineRule="exact"/>
      </w:pPr>
      <w:r>
        <w:rPr>
          <w:rFonts w:ascii="Times New Roman" w:hAnsi="Times New Roman" w:eastAsia="宋体"/>
          <w:b w:val="0"/>
          <w:sz w:val="24"/>
        </w:rPr>
        <w:t>附录 C　载体级指数与错位分类样例</w:t>
      </w:r>
    </w:p>
    <w:p w14:paraId="4A618DD5">
      <w:pPr>
        <w:pStyle w:val="19"/>
        <w:spacing w:before="0" w:after="0" w:line="400" w:lineRule="exact"/>
      </w:pPr>
      <w:r>
        <w:rPr>
          <w:rFonts w:ascii="Times New Roman" w:hAnsi="Times New Roman" w:eastAsia="宋体"/>
          <w:b w:val="0"/>
          <w:sz w:val="24"/>
        </w:rPr>
        <w:t>附录 D　潜力释放条件相关矩阵</w:t>
      </w:r>
    </w:p>
    <w:p w14:paraId="1A34FA96">
      <w:pPr>
        <w:pStyle w:val="19"/>
        <w:spacing w:before="0" w:after="0" w:line="400" w:lineRule="exact"/>
      </w:pPr>
      <w:r>
        <w:rPr>
          <w:rFonts w:ascii="Times New Roman" w:hAnsi="Times New Roman" w:eastAsia="宋体"/>
          <w:b w:val="0"/>
          <w:sz w:val="24"/>
        </w:rPr>
        <w:t>致　　谢</w:t>
      </w:r>
    </w:p>
    <w:p w14:paraId="02743749">
      <w:pPr>
        <w:pStyle w:val="19"/>
        <w:spacing w:before="0" w:after="0" w:line="400" w:lineRule="exact"/>
      </w:pPr>
      <w:r>
        <w:rPr>
          <w:rFonts w:ascii="Times New Roman" w:hAnsi="Times New Roman" w:eastAsia="宋体"/>
          <w:b w:val="0"/>
          <w:sz w:val="24"/>
        </w:rPr>
        <w:t>声　　明</w:t>
      </w:r>
    </w:p>
    <w:p w14:paraId="1CEEB166">
      <w:pPr>
        <w:pStyle w:val="19"/>
        <w:spacing w:before="0" w:after="0" w:line="400" w:lineRule="exact"/>
      </w:pPr>
      <w:r>
        <w:rPr>
          <w:rFonts w:ascii="Times New Roman" w:hAnsi="Times New Roman" w:eastAsia="宋体"/>
          <w:b w:val="0"/>
          <w:sz w:val="24"/>
        </w:rPr>
        <w:t>在学期间参加课题的研究成果</w:t>
      </w:r>
    </w:p>
    <w:p w14:paraId="4C57CB06">
      <w:r>
        <w:br w:type="page"/>
      </w:r>
    </w:p>
    <w:p w14:paraId="2C7B56B3">
      <w:pPr>
        <w:spacing w:before="240" w:after="120" w:line="400" w:lineRule="exact"/>
        <w:jc w:val="left"/>
        <w:outlineLvl w:val="0"/>
      </w:pPr>
      <w:bookmarkStart w:id="4" w:name="_Toc30015"/>
      <w:r>
        <w:rPr>
          <w:rFonts w:ascii="Times New Roman" w:hAnsi="Times New Roman" w:eastAsia="黑体"/>
          <w:b/>
          <w:sz w:val="28"/>
        </w:rPr>
        <w:t>插图清单</w:t>
      </w:r>
      <w:bookmarkEnd w:id="4"/>
    </w:p>
    <w:p w14:paraId="379FF692">
      <w:pPr>
        <w:pStyle w:val="19"/>
        <w:spacing w:before="0" w:after="0" w:line="400" w:lineRule="exact"/>
      </w:pPr>
      <w:r>
        <w:rPr>
          <w:rFonts w:ascii="Times New Roman" w:hAnsi="Times New Roman" w:eastAsia="宋体"/>
          <w:b w:val="0"/>
          <w:sz w:val="24"/>
        </w:rPr>
        <w:t>图 3.1　南海区文旅资源的多源数据采集与清洗流程</w:t>
      </w:r>
    </w:p>
    <w:p w14:paraId="56555D73">
      <w:pPr>
        <w:pStyle w:val="19"/>
        <w:spacing w:before="0" w:after="0" w:line="400" w:lineRule="exact"/>
      </w:pPr>
      <w:r>
        <w:rPr>
          <w:rFonts w:ascii="Times New Roman" w:hAnsi="Times New Roman" w:eastAsia="宋体"/>
          <w:b w:val="0"/>
          <w:sz w:val="24"/>
        </w:rPr>
        <w:t>图 4.1　实体—关系抽取的分块与并发处理流程</w:t>
      </w:r>
    </w:p>
    <w:p w14:paraId="27618939">
      <w:pPr>
        <w:pStyle w:val="19"/>
        <w:spacing w:before="0" w:after="0" w:line="400" w:lineRule="exact"/>
      </w:pPr>
      <w:r>
        <w:rPr>
          <w:rFonts w:ascii="Times New Roman" w:hAnsi="Times New Roman" w:eastAsia="宋体"/>
          <w:b w:val="0"/>
          <w:sz w:val="24"/>
        </w:rPr>
        <w:t>图 4.2　知识图谱全局网络与典型人物子图</w:t>
      </w:r>
    </w:p>
    <w:p w14:paraId="2D006D6F">
      <w:pPr>
        <w:pStyle w:val="19"/>
        <w:spacing w:before="0" w:after="0" w:line="400" w:lineRule="exact"/>
      </w:pPr>
      <w:r>
        <w:rPr>
          <w:rFonts w:ascii="Times New Roman" w:hAnsi="Times New Roman" w:eastAsia="宋体"/>
          <w:b w:val="0"/>
          <w:sz w:val="24"/>
        </w:rPr>
        <w:t>图 5.1　13,512 条 POI 的类型构成与镇街分布</w:t>
      </w:r>
    </w:p>
    <w:p w14:paraId="585D49A9">
      <w:pPr>
        <w:pStyle w:val="19"/>
        <w:spacing w:before="0" w:after="0" w:line="400" w:lineRule="exact"/>
      </w:pPr>
      <w:r>
        <w:rPr>
          <w:rFonts w:ascii="Times New Roman" w:hAnsi="Times New Roman" w:eastAsia="宋体"/>
          <w:b w:val="0"/>
          <w:sz w:val="24"/>
        </w:rPr>
        <w:t>图 5.2　500 m 网格文化—旅游分布与错位分层</w:t>
      </w:r>
    </w:p>
    <w:p w14:paraId="647D30DF">
      <w:pPr>
        <w:pStyle w:val="19"/>
        <w:spacing w:before="0" w:after="0" w:line="400" w:lineRule="exact"/>
      </w:pPr>
      <w:r>
        <w:rPr>
          <w:rFonts w:ascii="Times New Roman" w:hAnsi="Times New Roman" w:eastAsia="宋体"/>
          <w:b w:val="0"/>
          <w:sz w:val="24"/>
        </w:rPr>
        <w:t>图 5.3　景区评级与评论热度、评分的关系</w:t>
      </w:r>
    </w:p>
    <w:p w14:paraId="78D82D2D">
      <w:pPr>
        <w:pStyle w:val="19"/>
        <w:spacing w:before="0" w:after="0" w:line="400" w:lineRule="exact"/>
      </w:pPr>
      <w:r>
        <w:rPr>
          <w:rFonts w:ascii="Times New Roman" w:hAnsi="Times New Roman" w:eastAsia="宋体"/>
          <w:b w:val="0"/>
          <w:sz w:val="24"/>
        </w:rPr>
        <w:t>图 6.1　500 m 网格错位识别：基础口径与知识图谱口径对比</w:t>
      </w:r>
    </w:p>
    <w:p w14:paraId="20B647CE">
      <w:pPr>
        <w:pStyle w:val="19"/>
        <w:spacing w:before="0" w:after="0" w:line="400" w:lineRule="exact"/>
      </w:pPr>
      <w:r>
        <w:rPr>
          <w:rFonts w:ascii="Times New Roman" w:hAnsi="Times New Roman" w:eastAsia="宋体"/>
          <w:b w:val="0"/>
          <w:sz w:val="24"/>
        </w:rPr>
        <w:t>图 6.2　文化载体核密度图与 POI 核密度图叠加</w:t>
      </w:r>
    </w:p>
    <w:p w14:paraId="3A331EB7">
      <w:pPr>
        <w:pStyle w:val="19"/>
        <w:spacing w:before="0" w:after="0" w:line="400" w:lineRule="exact"/>
      </w:pPr>
      <w:r>
        <w:rPr>
          <w:rFonts w:ascii="Times New Roman" w:hAnsi="Times New Roman" w:eastAsia="宋体"/>
          <w:b w:val="0"/>
          <w:sz w:val="24"/>
        </w:rPr>
        <w:t>图 6.3　镇街尺度文化厚度、旅游热度与错位类型对比</w:t>
      </w:r>
    </w:p>
    <w:p w14:paraId="36F05FF4">
      <w:pPr>
        <w:pStyle w:val="19"/>
        <w:spacing w:before="0" w:after="0" w:line="400" w:lineRule="exact"/>
      </w:pPr>
      <w:r>
        <w:rPr>
          <w:rFonts w:ascii="Times New Roman" w:hAnsi="Times New Roman" w:eastAsia="宋体"/>
          <w:b w:val="0"/>
          <w:sz w:val="24"/>
        </w:rPr>
        <w:t>图 6.4　载体级相关矩阵热图（7 变量 × 7 变量）</w:t>
      </w:r>
    </w:p>
    <w:p w14:paraId="0B2DBA04">
      <w:pPr>
        <w:pStyle w:val="19"/>
        <w:spacing w:before="0" w:after="0" w:line="400" w:lineRule="exact"/>
      </w:pPr>
      <w:r>
        <w:rPr>
          <w:rFonts w:ascii="Times New Roman" w:hAnsi="Times New Roman" w:eastAsia="宋体"/>
          <w:b w:val="0"/>
          <w:sz w:val="24"/>
        </w:rPr>
        <w:t>图 6.5　九江片区错位专题图</w:t>
      </w:r>
    </w:p>
    <w:p w14:paraId="19F0AEA3">
      <w:pPr>
        <w:pStyle w:val="19"/>
        <w:spacing w:before="0" w:after="0" w:line="400" w:lineRule="exact"/>
      </w:pPr>
      <w:r>
        <w:rPr>
          <w:rFonts w:ascii="Times New Roman" w:hAnsi="Times New Roman" w:eastAsia="宋体"/>
          <w:b w:val="0"/>
          <w:sz w:val="24"/>
        </w:rPr>
        <w:t>图 6.6　官方资源扩展空间化图</w:t>
      </w:r>
    </w:p>
    <w:p w14:paraId="2369AD89">
      <w:pPr>
        <w:pStyle w:val="19"/>
        <w:spacing w:before="0" w:after="0" w:line="400" w:lineRule="exact"/>
      </w:pPr>
      <w:r>
        <w:rPr>
          <w:rFonts w:ascii="Times New Roman" w:hAnsi="Times New Roman" w:eastAsia="宋体"/>
          <w:b w:val="0"/>
          <w:sz w:val="24"/>
        </w:rPr>
        <w:t>图 6.7　500 m 网格官方资源覆盖图</w:t>
      </w:r>
    </w:p>
    <w:p w14:paraId="42FDAD52">
      <w:pPr>
        <w:pStyle w:val="19"/>
        <w:spacing w:before="0" w:after="0" w:line="400" w:lineRule="exact"/>
      </w:pPr>
      <w:r>
        <w:rPr>
          <w:rFonts w:ascii="Times New Roman" w:hAnsi="Times New Roman" w:eastAsia="宋体"/>
          <w:b w:val="0"/>
          <w:sz w:val="24"/>
        </w:rPr>
        <w:t>图 6.8　典籍—官方—旅游诊断拆分图</w:t>
      </w:r>
    </w:p>
    <w:p w14:paraId="0C10E074">
      <w:pPr>
        <w:spacing w:before="240" w:after="120" w:line="400" w:lineRule="exact"/>
        <w:jc w:val="left"/>
        <w:outlineLvl w:val="0"/>
      </w:pPr>
      <w:bookmarkStart w:id="5" w:name="_Toc2985"/>
      <w:r>
        <w:rPr>
          <w:rFonts w:ascii="Times New Roman" w:hAnsi="Times New Roman" w:eastAsia="黑体"/>
          <w:b/>
          <w:sz w:val="28"/>
        </w:rPr>
        <w:t>附表清单</w:t>
      </w:r>
      <w:bookmarkEnd w:id="5"/>
    </w:p>
    <w:p w14:paraId="41FC1184">
      <w:pPr>
        <w:pStyle w:val="19"/>
        <w:spacing w:before="0" w:after="0" w:line="400" w:lineRule="exact"/>
      </w:pPr>
      <w:r>
        <w:rPr>
          <w:rFonts w:ascii="Times New Roman" w:hAnsi="Times New Roman" w:eastAsia="宋体"/>
          <w:b w:val="0"/>
          <w:sz w:val="24"/>
        </w:rPr>
        <w:t>表 3.1　南海区主要文旅资源家底（按类别与层级）</w:t>
      </w:r>
    </w:p>
    <w:p w14:paraId="142A1DB6">
      <w:pPr>
        <w:pStyle w:val="19"/>
        <w:spacing w:before="0" w:after="0" w:line="400" w:lineRule="exact"/>
      </w:pPr>
      <w:r>
        <w:rPr>
          <w:rFonts w:ascii="Times New Roman" w:hAnsi="Times New Roman" w:eastAsia="宋体"/>
          <w:b w:val="0"/>
          <w:sz w:val="24"/>
        </w:rPr>
        <w:t>表 3.2　评论平台来源与覆盖构成</w:t>
      </w:r>
    </w:p>
    <w:p w14:paraId="61BD45B3">
      <w:pPr>
        <w:pStyle w:val="19"/>
        <w:spacing w:before="0" w:after="0" w:line="400" w:lineRule="exact"/>
      </w:pPr>
      <w:r>
        <w:rPr>
          <w:rFonts w:ascii="Times New Roman" w:hAnsi="Times New Roman" w:eastAsia="宋体"/>
          <w:b w:val="0"/>
          <w:sz w:val="24"/>
        </w:rPr>
        <w:t>表 3.3　165 条文化载体样本按类型分布</w:t>
      </w:r>
    </w:p>
    <w:p w14:paraId="48471A22">
      <w:pPr>
        <w:pStyle w:val="19"/>
        <w:spacing w:before="0" w:after="0" w:line="400" w:lineRule="exact"/>
      </w:pPr>
      <w:r>
        <w:rPr>
          <w:rFonts w:ascii="Times New Roman" w:hAnsi="Times New Roman" w:eastAsia="宋体"/>
          <w:b w:val="0"/>
          <w:sz w:val="24"/>
        </w:rPr>
        <w:t>表 5.1　13,512 条 POI 按 11 大类的构成</w:t>
      </w:r>
    </w:p>
    <w:p w14:paraId="06FE8F6E">
      <w:pPr>
        <w:pStyle w:val="19"/>
        <w:spacing w:before="0" w:after="0" w:line="400" w:lineRule="exact"/>
      </w:pPr>
      <w:r>
        <w:rPr>
          <w:rFonts w:ascii="Times New Roman" w:hAnsi="Times New Roman" w:eastAsia="宋体"/>
          <w:b w:val="0"/>
          <w:sz w:val="24"/>
        </w:rPr>
        <w:t>表 5.2　错位分层四象限的载体计数</w:t>
      </w:r>
    </w:p>
    <w:p w14:paraId="370DB09E">
      <w:pPr>
        <w:pStyle w:val="19"/>
        <w:spacing w:before="0" w:after="0" w:line="400" w:lineRule="exact"/>
      </w:pPr>
      <w:r>
        <w:rPr>
          <w:rFonts w:ascii="Times New Roman" w:hAnsi="Times New Roman" w:eastAsia="宋体"/>
          <w:b w:val="0"/>
          <w:sz w:val="24"/>
        </w:rPr>
        <w:t>表 5.3　沉睡潜力区典型载体</w:t>
      </w:r>
    </w:p>
    <w:p w14:paraId="086D96D8">
      <w:pPr>
        <w:pStyle w:val="19"/>
        <w:spacing w:before="0" w:after="0" w:line="400" w:lineRule="exact"/>
      </w:pPr>
      <w:r>
        <w:rPr>
          <w:rFonts w:ascii="Times New Roman" w:hAnsi="Times New Roman" w:eastAsia="宋体"/>
          <w:b w:val="0"/>
          <w:sz w:val="24"/>
        </w:rPr>
        <w:t>表 5.4　空心景点区典型载体</w:t>
      </w:r>
    </w:p>
    <w:p w14:paraId="5EF4F54D">
      <w:pPr>
        <w:pStyle w:val="19"/>
        <w:spacing w:before="0" w:after="0" w:line="400" w:lineRule="exact"/>
      </w:pPr>
      <w:r>
        <w:rPr>
          <w:rFonts w:ascii="Times New Roman" w:hAnsi="Times New Roman" w:eastAsia="宋体"/>
          <w:b w:val="0"/>
          <w:sz w:val="24"/>
        </w:rPr>
        <w:t>表 5.5　核心耦合区典型载体</w:t>
      </w:r>
    </w:p>
    <w:p w14:paraId="412F8EB7">
      <w:pPr>
        <w:pStyle w:val="19"/>
        <w:spacing w:before="0" w:after="0" w:line="400" w:lineRule="exact"/>
      </w:pPr>
      <w:r>
        <w:rPr>
          <w:rFonts w:ascii="Times New Roman" w:hAnsi="Times New Roman" w:eastAsia="宋体"/>
          <w:b w:val="0"/>
          <w:sz w:val="24"/>
        </w:rPr>
        <w:t>表 5.6　A 级景区相关系数（n = 16）</w:t>
      </w:r>
    </w:p>
    <w:p w14:paraId="22895C06">
      <w:pPr>
        <w:pStyle w:val="19"/>
        <w:spacing w:before="0" w:after="0" w:line="400" w:lineRule="exact"/>
      </w:pPr>
      <w:r>
        <w:rPr>
          <w:rFonts w:ascii="Times New Roman" w:hAnsi="Times New Roman" w:eastAsia="宋体"/>
          <w:b w:val="0"/>
          <w:sz w:val="24"/>
        </w:rPr>
        <w:t>表 6.1　镇街尺度的 POI、核心文化载体与指数均值对比</w:t>
      </w:r>
    </w:p>
    <w:p w14:paraId="6C9A91B9">
      <w:pPr>
        <w:pStyle w:val="19"/>
        <w:spacing w:before="0" w:after="0" w:line="400" w:lineRule="exact"/>
      </w:pPr>
      <w:r>
        <w:rPr>
          <w:rFonts w:ascii="Times New Roman" w:hAnsi="Times New Roman" w:eastAsia="宋体"/>
          <w:b w:val="0"/>
          <w:sz w:val="24"/>
        </w:rPr>
        <w:t>表 6.2　500 m 网格 0 跳 / 1 跳错位分类对比</w:t>
      </w:r>
    </w:p>
    <w:p w14:paraId="793B1331">
      <w:pPr>
        <w:pStyle w:val="19"/>
        <w:spacing w:before="0" w:after="0" w:line="400" w:lineRule="exact"/>
      </w:pPr>
      <w:r>
        <w:rPr>
          <w:rFonts w:ascii="Times New Roman" w:hAnsi="Times New Roman" w:eastAsia="宋体"/>
          <w:b w:val="0"/>
          <w:sz w:val="24"/>
        </w:rPr>
        <w:t>表 6.3　镇街尺度 1 跳知识图谱口径摘要</w:t>
      </w:r>
    </w:p>
    <w:p w14:paraId="4DDDA685">
      <w:pPr>
        <w:pStyle w:val="19"/>
        <w:spacing w:before="0" w:after="0" w:line="400" w:lineRule="exact"/>
      </w:pPr>
      <w:r>
        <w:rPr>
          <w:rFonts w:ascii="Times New Roman" w:hAnsi="Times New Roman" w:eastAsia="宋体"/>
          <w:b w:val="0"/>
          <w:sz w:val="24"/>
        </w:rPr>
        <w:t>表 6.4　载体级指标相关矩阵（n = 165）</w:t>
      </w:r>
    </w:p>
    <w:p w14:paraId="347989CB">
      <w:pPr>
        <w:pStyle w:val="19"/>
        <w:spacing w:before="0" w:after="0" w:line="400" w:lineRule="exact"/>
      </w:pPr>
      <w:r>
        <w:rPr>
          <w:rFonts w:ascii="Times New Roman" w:hAnsi="Times New Roman" w:eastAsia="宋体"/>
          <w:b w:val="0"/>
          <w:sz w:val="24"/>
        </w:rPr>
        <w:t>表 6.5　镇街级指标相关矩阵（n = 7）</w:t>
      </w:r>
    </w:p>
    <w:p w14:paraId="66637912">
      <w:pPr>
        <w:pStyle w:val="19"/>
        <w:spacing w:before="0" w:after="0" w:line="400" w:lineRule="exact"/>
      </w:pPr>
      <w:r>
        <w:rPr>
          <w:rFonts w:ascii="Times New Roman" w:hAnsi="Times New Roman" w:eastAsia="宋体"/>
          <w:b w:val="0"/>
          <w:sz w:val="24"/>
        </w:rPr>
        <w:t>表 6.6　政策可干预条件与基础约束条件的划分</w:t>
      </w:r>
    </w:p>
    <w:p w14:paraId="3749B190">
      <w:pPr>
        <w:pStyle w:val="19"/>
        <w:spacing w:before="0" w:after="0" w:line="400" w:lineRule="exact"/>
      </w:pPr>
      <w:r>
        <w:rPr>
          <w:rFonts w:ascii="Times New Roman" w:hAnsi="Times New Roman" w:eastAsia="宋体"/>
          <w:b w:val="0"/>
          <w:sz w:val="24"/>
        </w:rPr>
        <w:t>表 6.7　官方资源扩展与去重统计</w:t>
      </w:r>
    </w:p>
    <w:p w14:paraId="036C9DEF">
      <w:pPr>
        <w:pStyle w:val="19"/>
        <w:spacing w:before="0" w:after="0" w:line="400" w:lineRule="exact"/>
      </w:pPr>
      <w:r>
        <w:rPr>
          <w:rFonts w:ascii="Times New Roman" w:hAnsi="Times New Roman" w:eastAsia="宋体"/>
          <w:b w:val="0"/>
          <w:sz w:val="24"/>
        </w:rPr>
        <w:t>表 6.8　镇街典籍—官方—旅游诊断拆分摘要</w:t>
      </w:r>
    </w:p>
    <w:p w14:paraId="6F3CEE5F">
      <w:r>
        <w:br w:type="page"/>
      </w:r>
    </w:p>
    <w:p w14:paraId="6A0A5380">
      <w:pPr>
        <w:spacing w:before="240" w:after="120" w:line="400" w:lineRule="exact"/>
        <w:jc w:val="left"/>
        <w:outlineLvl w:val="0"/>
      </w:pPr>
      <w:bookmarkStart w:id="6" w:name="_Toc26901"/>
      <w:r>
        <w:rPr>
          <w:rFonts w:ascii="Times New Roman" w:hAnsi="Times New Roman" w:eastAsia="黑体"/>
          <w:b/>
          <w:sz w:val="28"/>
        </w:rPr>
        <w:t>符号和缩略语说明</w:t>
      </w:r>
      <w:bookmarkEnd w:id="6"/>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365"/>
        <w:gridCol w:w="4365"/>
      </w:tblGrid>
      <w:tr w14:paraId="49C9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3695C1F9">
            <w:pPr>
              <w:spacing w:before="0" w:after="0" w:line="320" w:lineRule="exact"/>
              <w:jc w:val="center"/>
            </w:pPr>
            <w:r>
              <w:rPr>
                <w:rFonts w:ascii="Times New Roman" w:hAnsi="Times New Roman" w:eastAsia="宋体"/>
                <w:b/>
                <w:sz w:val="21"/>
              </w:rPr>
              <w:t>符号 / 缩略语</w:t>
            </w:r>
          </w:p>
        </w:tc>
        <w:tc>
          <w:tcPr>
            <w:tcW w:w="4365" w:type="dxa"/>
            <w:vAlign w:val="center"/>
          </w:tcPr>
          <w:p w14:paraId="730C8BCD">
            <w:pPr>
              <w:spacing w:before="0" w:after="0" w:line="320" w:lineRule="exact"/>
              <w:jc w:val="center"/>
            </w:pPr>
            <w:r>
              <w:rPr>
                <w:rFonts w:ascii="Times New Roman" w:hAnsi="Times New Roman" w:eastAsia="宋体"/>
                <w:b/>
                <w:sz w:val="21"/>
              </w:rPr>
              <w:t>含义</w:t>
            </w:r>
          </w:p>
        </w:tc>
      </w:tr>
      <w:tr w14:paraId="1093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09F66B06">
            <w:pPr>
              <w:spacing w:before="0" w:after="0" w:line="320" w:lineRule="exact"/>
              <w:jc w:val="left"/>
            </w:pPr>
            <w:r>
              <w:rPr>
                <w:rFonts w:ascii="Times New Roman" w:hAnsi="Times New Roman" w:eastAsia="宋体"/>
                <w:b w:val="0"/>
                <w:sz w:val="21"/>
              </w:rPr>
              <w:t>POI</w:t>
            </w:r>
          </w:p>
        </w:tc>
        <w:tc>
          <w:tcPr>
            <w:tcW w:w="4365" w:type="dxa"/>
            <w:vAlign w:val="center"/>
          </w:tcPr>
          <w:p w14:paraId="78ABFB36">
            <w:pPr>
              <w:spacing w:before="0" w:after="0" w:line="320" w:lineRule="exact"/>
              <w:jc w:val="left"/>
            </w:pPr>
            <w:r>
              <w:rPr>
                <w:rFonts w:ascii="Times New Roman" w:hAnsi="Times New Roman" w:eastAsia="宋体"/>
                <w:b w:val="0"/>
                <w:sz w:val="21"/>
              </w:rPr>
              <w:t>兴趣点（Point of Interest）</w:t>
            </w:r>
          </w:p>
        </w:tc>
      </w:tr>
      <w:tr w14:paraId="303B9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2C9CFDAE">
            <w:pPr>
              <w:spacing w:before="0" w:after="0" w:line="320" w:lineRule="exact"/>
              <w:jc w:val="left"/>
            </w:pPr>
            <w:r>
              <w:rPr>
                <w:rFonts w:ascii="Times New Roman" w:hAnsi="Times New Roman" w:eastAsia="宋体"/>
                <w:b w:val="0"/>
                <w:sz w:val="21"/>
              </w:rPr>
              <w:t>LLM</w:t>
            </w:r>
          </w:p>
        </w:tc>
        <w:tc>
          <w:tcPr>
            <w:tcW w:w="4365" w:type="dxa"/>
            <w:vAlign w:val="center"/>
          </w:tcPr>
          <w:p w14:paraId="1862A8E8">
            <w:pPr>
              <w:spacing w:before="0" w:after="0" w:line="320" w:lineRule="exact"/>
              <w:jc w:val="left"/>
            </w:pPr>
            <w:r>
              <w:rPr>
                <w:rFonts w:ascii="Times New Roman" w:hAnsi="Times New Roman" w:eastAsia="宋体"/>
                <w:b w:val="0"/>
                <w:sz w:val="21"/>
              </w:rPr>
              <w:t>大语言模型（Large Language Model）</w:t>
            </w:r>
          </w:p>
        </w:tc>
      </w:tr>
      <w:tr w14:paraId="5130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1CCFEF63">
            <w:pPr>
              <w:spacing w:before="0" w:after="0" w:line="320" w:lineRule="exact"/>
              <w:jc w:val="left"/>
            </w:pPr>
            <w:r>
              <w:rPr>
                <w:rFonts w:ascii="Times New Roman" w:hAnsi="Times New Roman" w:eastAsia="宋体"/>
                <w:b w:val="0"/>
                <w:sz w:val="21"/>
              </w:rPr>
              <w:t>NER</w:t>
            </w:r>
          </w:p>
        </w:tc>
        <w:tc>
          <w:tcPr>
            <w:tcW w:w="4365" w:type="dxa"/>
            <w:vAlign w:val="center"/>
          </w:tcPr>
          <w:p w14:paraId="332EE42B">
            <w:pPr>
              <w:spacing w:before="0" w:after="0" w:line="320" w:lineRule="exact"/>
              <w:jc w:val="left"/>
            </w:pPr>
            <w:r>
              <w:rPr>
                <w:rFonts w:ascii="Times New Roman" w:hAnsi="Times New Roman" w:eastAsia="宋体"/>
                <w:b w:val="0"/>
                <w:sz w:val="21"/>
              </w:rPr>
              <w:t>命名实体识别（Named Entity Recognition）</w:t>
            </w:r>
          </w:p>
        </w:tc>
      </w:tr>
      <w:tr w14:paraId="6AD6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3D042904">
            <w:pPr>
              <w:spacing w:before="0" w:after="0" w:line="320" w:lineRule="exact"/>
              <w:jc w:val="left"/>
            </w:pPr>
            <w:r>
              <w:rPr>
                <w:rFonts w:ascii="Times New Roman" w:hAnsi="Times New Roman" w:eastAsia="宋体"/>
                <w:b w:val="0"/>
                <w:sz w:val="21"/>
              </w:rPr>
              <w:t>KDE</w:t>
            </w:r>
          </w:p>
        </w:tc>
        <w:tc>
          <w:tcPr>
            <w:tcW w:w="4365" w:type="dxa"/>
            <w:vAlign w:val="center"/>
          </w:tcPr>
          <w:p w14:paraId="6DE4DA7A">
            <w:pPr>
              <w:spacing w:before="0" w:after="0" w:line="320" w:lineRule="exact"/>
              <w:jc w:val="left"/>
            </w:pPr>
            <w:r>
              <w:rPr>
                <w:rFonts w:ascii="Times New Roman" w:hAnsi="Times New Roman" w:eastAsia="宋体"/>
                <w:b w:val="0"/>
                <w:sz w:val="21"/>
              </w:rPr>
              <w:t>核密度估计（Kernel Density Estimation）</w:t>
            </w:r>
          </w:p>
        </w:tc>
      </w:tr>
      <w:tr w14:paraId="47DD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5A4A0494">
            <w:pPr>
              <w:spacing w:before="0" w:after="0" w:line="320" w:lineRule="exact"/>
              <w:jc w:val="left"/>
            </w:pPr>
            <w:r>
              <w:rPr>
                <w:rFonts w:ascii="Times New Roman" w:hAnsi="Times New Roman" w:eastAsia="宋体"/>
                <w:b w:val="0"/>
                <w:sz w:val="21"/>
              </w:rPr>
              <w:t>DBSCAN</w:t>
            </w:r>
          </w:p>
        </w:tc>
        <w:tc>
          <w:tcPr>
            <w:tcW w:w="4365" w:type="dxa"/>
            <w:vAlign w:val="center"/>
          </w:tcPr>
          <w:p w14:paraId="56DF019E">
            <w:pPr>
              <w:spacing w:before="0" w:after="0" w:line="320" w:lineRule="exact"/>
              <w:jc w:val="left"/>
            </w:pPr>
            <w:r>
              <w:rPr>
                <w:rFonts w:ascii="Times New Roman" w:hAnsi="Times New Roman" w:eastAsia="宋体"/>
                <w:b w:val="0"/>
                <w:sz w:val="21"/>
              </w:rPr>
              <w:t>基于密度的带噪声空间聚类（Density-Based Spatial Clustering of Applications with Noise）</w:t>
            </w:r>
          </w:p>
        </w:tc>
      </w:tr>
      <w:tr w14:paraId="5B9C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07255F1A">
            <w:pPr>
              <w:spacing w:before="0" w:after="0" w:line="320" w:lineRule="exact"/>
              <w:jc w:val="left"/>
            </w:pPr>
            <w:r>
              <w:rPr>
                <w:rFonts w:ascii="Times New Roman" w:hAnsi="Times New Roman" w:eastAsia="宋体"/>
                <w:b w:val="0"/>
                <w:sz w:val="21"/>
              </w:rPr>
              <w:t>CMI</w:t>
            </w:r>
          </w:p>
        </w:tc>
        <w:tc>
          <w:tcPr>
            <w:tcW w:w="4365" w:type="dxa"/>
            <w:vAlign w:val="center"/>
          </w:tcPr>
          <w:p w14:paraId="20E05659">
            <w:pPr>
              <w:spacing w:before="0" w:after="0" w:line="320" w:lineRule="exact"/>
              <w:jc w:val="left"/>
            </w:pPr>
            <w:r>
              <w:rPr>
                <w:rFonts w:ascii="Times New Roman" w:hAnsi="Times New Roman" w:eastAsia="宋体"/>
                <w:b w:val="0"/>
                <w:sz w:val="21"/>
              </w:rPr>
              <w:t>文化记忆指数（Cultural Memory Index）</w:t>
            </w:r>
          </w:p>
        </w:tc>
      </w:tr>
      <w:tr w14:paraId="5AC53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76061885">
            <w:pPr>
              <w:spacing w:before="0" w:after="0" w:line="320" w:lineRule="exact"/>
              <w:jc w:val="left"/>
            </w:pPr>
            <w:r>
              <w:rPr>
                <w:rFonts w:ascii="Times New Roman" w:hAnsi="Times New Roman" w:eastAsia="宋体"/>
                <w:b w:val="0"/>
                <w:sz w:val="21"/>
              </w:rPr>
              <w:t>OAI</w:t>
            </w:r>
          </w:p>
        </w:tc>
        <w:tc>
          <w:tcPr>
            <w:tcW w:w="4365" w:type="dxa"/>
            <w:vAlign w:val="center"/>
          </w:tcPr>
          <w:p w14:paraId="49672BB5">
            <w:pPr>
              <w:spacing w:before="0" w:after="0" w:line="320" w:lineRule="exact"/>
              <w:jc w:val="left"/>
            </w:pPr>
            <w:r>
              <w:rPr>
                <w:rFonts w:ascii="Times New Roman" w:hAnsi="Times New Roman" w:eastAsia="宋体"/>
                <w:b w:val="0"/>
                <w:sz w:val="21"/>
              </w:rPr>
              <w:t>官方认证指数（Official Accreditation Index）</w:t>
            </w:r>
          </w:p>
        </w:tc>
      </w:tr>
      <w:tr w14:paraId="36D3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482BE355">
            <w:pPr>
              <w:spacing w:before="0" w:after="0" w:line="320" w:lineRule="exact"/>
              <w:jc w:val="left"/>
            </w:pPr>
            <w:r>
              <w:rPr>
                <w:rFonts w:ascii="Times New Roman" w:hAnsi="Times New Roman" w:eastAsia="宋体"/>
                <w:b w:val="0"/>
                <w:sz w:val="21"/>
              </w:rPr>
              <w:t>THI</w:t>
            </w:r>
          </w:p>
        </w:tc>
        <w:tc>
          <w:tcPr>
            <w:tcW w:w="4365" w:type="dxa"/>
            <w:vAlign w:val="center"/>
          </w:tcPr>
          <w:p w14:paraId="223B37C9">
            <w:pPr>
              <w:spacing w:before="0" w:after="0" w:line="320" w:lineRule="exact"/>
              <w:jc w:val="left"/>
            </w:pPr>
            <w:r>
              <w:rPr>
                <w:rFonts w:ascii="Times New Roman" w:hAnsi="Times New Roman" w:eastAsia="宋体"/>
                <w:b w:val="0"/>
                <w:sz w:val="21"/>
              </w:rPr>
              <w:t>旅游热度指数（Tourism Heat Index）</w:t>
            </w:r>
          </w:p>
        </w:tc>
      </w:tr>
      <w:tr w14:paraId="12ECF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7A58A4C6">
            <w:pPr>
              <w:spacing w:before="0" w:after="0" w:line="320" w:lineRule="exact"/>
              <w:jc w:val="left"/>
            </w:pPr>
            <w:r>
              <w:rPr>
                <w:rFonts w:ascii="Times New Roman" w:hAnsi="Times New Roman" w:eastAsia="宋体"/>
                <w:b w:val="0"/>
                <w:sz w:val="21"/>
              </w:rPr>
              <w:t>MI</w:t>
            </w:r>
          </w:p>
        </w:tc>
        <w:tc>
          <w:tcPr>
            <w:tcW w:w="4365" w:type="dxa"/>
            <w:vAlign w:val="center"/>
          </w:tcPr>
          <w:p w14:paraId="10C4F7DC">
            <w:pPr>
              <w:spacing w:before="0" w:after="0" w:line="320" w:lineRule="exact"/>
              <w:jc w:val="left"/>
            </w:pPr>
            <w:r>
              <w:rPr>
                <w:rFonts w:ascii="Times New Roman" w:hAnsi="Times New Roman" w:eastAsia="宋体"/>
                <w:b w:val="0"/>
                <w:sz w:val="21"/>
              </w:rPr>
              <w:t>文化—旅游错位指数（Culture–Tourism Mismatch Index）</w:t>
            </w:r>
          </w:p>
        </w:tc>
      </w:tr>
      <w:tr w14:paraId="3ECF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5" w:type="dxa"/>
            <w:vAlign w:val="center"/>
          </w:tcPr>
          <w:p w14:paraId="5EAF1E4C">
            <w:pPr>
              <w:spacing w:before="0" w:after="0" w:line="320" w:lineRule="exact"/>
              <w:jc w:val="left"/>
            </w:pPr>
            <w:r>
              <w:rPr>
                <w:rFonts w:ascii="Times New Roman" w:hAnsi="Times New Roman" w:eastAsia="宋体"/>
                <w:b w:val="0"/>
                <w:sz w:val="21"/>
              </w:rPr>
              <w:t>C / T / M</w:t>
            </w:r>
          </w:p>
        </w:tc>
        <w:tc>
          <w:tcPr>
            <w:tcW w:w="4365" w:type="dxa"/>
            <w:vAlign w:val="center"/>
          </w:tcPr>
          <w:p w14:paraId="4C321C9C">
            <w:pPr>
              <w:spacing w:before="0" w:after="0" w:line="320" w:lineRule="exact"/>
              <w:jc w:val="left"/>
            </w:pPr>
            <w:r>
              <w:rPr>
                <w:rFonts w:ascii="Times New Roman" w:hAnsi="Times New Roman" w:eastAsia="宋体"/>
                <w:b w:val="0"/>
                <w:sz w:val="21"/>
              </w:rPr>
              <w:t>网格尺度文化厚度、旅游热度与错位值</w:t>
            </w:r>
          </w:p>
        </w:tc>
      </w:tr>
      <w:tr w14:paraId="1F78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25847981">
            <w:pPr>
              <w:spacing w:before="0" w:after="0" w:line="320" w:lineRule="exact"/>
              <w:jc w:val="left"/>
            </w:pPr>
            <w:r>
              <w:rPr>
                <w:rFonts w:ascii="Times New Roman" w:hAnsi="Times New Roman" w:eastAsia="宋体"/>
                <w:b w:val="0"/>
                <w:sz w:val="21"/>
              </w:rPr>
              <w:t>0 跳 / 1 跳</w:t>
            </w:r>
          </w:p>
        </w:tc>
        <w:tc>
          <w:tcPr>
            <w:tcW w:w="4365" w:type="dxa"/>
            <w:vAlign w:val="center"/>
          </w:tcPr>
          <w:p w14:paraId="3A53FB60">
            <w:pPr>
              <w:spacing w:before="0" w:after="0" w:line="320" w:lineRule="exact"/>
              <w:jc w:val="left"/>
            </w:pPr>
            <w:r>
              <w:rPr>
                <w:rFonts w:ascii="Times New Roman" w:hAnsi="Times New Roman" w:eastAsia="宋体"/>
                <w:b w:val="0"/>
                <w:sz w:val="21"/>
              </w:rPr>
              <w:t>知识图谱中从种子实体出发的直接触达层与一步邻居扩展层</w:t>
            </w:r>
          </w:p>
        </w:tc>
      </w:tr>
      <w:tr w14:paraId="3DFC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5096739D">
            <w:pPr>
              <w:spacing w:before="0" w:after="0" w:line="320" w:lineRule="exact"/>
              <w:jc w:val="left"/>
            </w:pPr>
            <w:r>
              <w:rPr>
                <w:rFonts w:ascii="Times New Roman" w:hAnsi="Times New Roman" w:eastAsia="宋体"/>
                <w:b w:val="0"/>
                <w:sz w:val="21"/>
              </w:rPr>
              <w:t>GB/T 7714</w:t>
            </w:r>
          </w:p>
        </w:tc>
        <w:tc>
          <w:tcPr>
            <w:tcW w:w="4365" w:type="dxa"/>
            <w:vAlign w:val="center"/>
          </w:tcPr>
          <w:p w14:paraId="10324A18">
            <w:pPr>
              <w:spacing w:before="0" w:after="0" w:line="320" w:lineRule="exact"/>
              <w:jc w:val="left"/>
            </w:pPr>
            <w:r>
              <w:rPr>
                <w:rFonts w:ascii="Times New Roman" w:hAnsi="Times New Roman" w:eastAsia="宋体"/>
                <w:b w:val="0"/>
                <w:sz w:val="21"/>
              </w:rPr>
              <w:t>国家标准《信息与文献 参考文献著录规则》</w:t>
            </w:r>
          </w:p>
        </w:tc>
      </w:tr>
      <w:tr w14:paraId="0B6E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65" w:type="dxa"/>
            <w:vAlign w:val="center"/>
          </w:tcPr>
          <w:p w14:paraId="38A195CB">
            <w:pPr>
              <w:spacing w:before="0" w:after="0" w:line="320" w:lineRule="exact"/>
              <w:jc w:val="left"/>
            </w:pPr>
            <w:r>
              <w:rPr>
                <w:rFonts w:ascii="Times New Roman" w:hAnsi="Times New Roman" w:eastAsia="宋体"/>
                <w:b w:val="0"/>
                <w:sz w:val="21"/>
              </w:rPr>
              <w:t>Neo4j</w:t>
            </w:r>
          </w:p>
        </w:tc>
        <w:tc>
          <w:tcPr>
            <w:tcW w:w="4365" w:type="dxa"/>
            <w:vAlign w:val="center"/>
          </w:tcPr>
          <w:p w14:paraId="17A2B147">
            <w:pPr>
              <w:spacing w:before="0" w:after="0" w:line="320" w:lineRule="exact"/>
              <w:jc w:val="left"/>
            </w:pPr>
            <w:r>
              <w:rPr>
                <w:rFonts w:ascii="Times New Roman" w:hAnsi="Times New Roman" w:eastAsia="宋体"/>
                <w:b w:val="0"/>
                <w:sz w:val="21"/>
              </w:rPr>
              <w:t>开源图数据库（Native Graph Database）</w:t>
            </w:r>
          </w:p>
        </w:tc>
      </w:tr>
    </w:tbl>
    <w:p w14:paraId="2FFE12EF">
      <w:r>
        <w:br w:type="page"/>
      </w:r>
    </w:p>
    <w:p w14:paraId="3BED9015">
      <w:pPr>
        <w:spacing w:before="360" w:after="160" w:line="400" w:lineRule="exact"/>
        <w:jc w:val="center"/>
        <w:outlineLvl w:val="0"/>
      </w:pPr>
      <w:bookmarkStart w:id="7" w:name="_Toc7175"/>
      <w:r>
        <w:rPr>
          <w:rFonts w:ascii="Times New Roman" w:hAnsi="Times New Roman" w:eastAsia="黑体"/>
          <w:b/>
          <w:sz w:val="32"/>
        </w:rPr>
        <w:t>第 1 章　引言</w:t>
      </w:r>
      <w:bookmarkEnd w:id="7"/>
    </w:p>
    <w:p w14:paraId="6F57E90C">
      <w:pPr>
        <w:spacing w:before="240" w:after="120" w:line="400" w:lineRule="exact"/>
        <w:jc w:val="left"/>
        <w:outlineLvl w:val="1"/>
      </w:pPr>
      <w:bookmarkStart w:id="8" w:name="_Toc23046"/>
      <w:r>
        <w:rPr>
          <w:rFonts w:ascii="Times New Roman" w:hAnsi="Times New Roman" w:eastAsia="黑体"/>
          <w:b/>
          <w:sz w:val="28"/>
        </w:rPr>
        <w:t>1.1 研究背景与意义</w:t>
      </w:r>
      <w:bookmarkEnd w:id="8"/>
    </w:p>
    <w:p w14:paraId="4B05EE8A">
      <w:pPr>
        <w:spacing w:before="240" w:after="120" w:line="400" w:lineRule="exact"/>
        <w:jc w:val="left"/>
        <w:outlineLvl w:val="2"/>
      </w:pPr>
      <w:bookmarkStart w:id="9" w:name="_Toc12853"/>
      <w:r>
        <w:rPr>
          <w:rFonts w:ascii="Times New Roman" w:hAnsi="Times New Roman" w:eastAsia="黑体"/>
          <w:b/>
          <w:sz w:val="26"/>
        </w:rPr>
        <w:t>1.1.1 研究背景</w:t>
      </w:r>
      <w:bookmarkEnd w:id="9"/>
    </w:p>
    <w:p w14:paraId="24173D5F">
      <w:pPr>
        <w:spacing w:before="0" w:after="0" w:line="400" w:lineRule="exact"/>
        <w:ind w:firstLine="480"/>
        <w:jc w:val="left"/>
      </w:pPr>
      <w:r>
        <w:rPr>
          <w:rFonts w:ascii="Times New Roman" w:hAnsi="Times New Roman" w:eastAsia="宋体"/>
          <w:b w:val="0"/>
          <w:sz w:val="24"/>
        </w:rPr>
        <w:t>近年来，国家层面持续推动文化和旅游深度融合。2018 年文化和旅游部组建后，“以文塑旅、以旅彰文”逐渐成为文旅融合工作的指导性表述；《“十四五”文化发展规划》《“十四五”旅游业发展规划》也对非物质文化遗产、历史文化名城名镇名村、风景名胜区与旅游景区体系的协同利用提出了要求。在这一政策背景下，区县尺度如何将文化资源家底转化为游客可感知、可参与、可体验的旅游产品，成为规划实践中需要回应的问题。</w:t>
      </w:r>
    </w:p>
    <w:p w14:paraId="2F59023C">
      <w:pPr>
        <w:spacing w:before="0" w:after="0" w:line="400" w:lineRule="exact"/>
        <w:ind w:firstLine="480"/>
        <w:jc w:val="left"/>
      </w:pPr>
      <w:r>
        <w:rPr>
          <w:rFonts w:ascii="Times New Roman" w:hAnsi="Times New Roman" w:eastAsia="宋体"/>
          <w:b w:val="0"/>
          <w:sz w:val="24"/>
        </w:rPr>
        <w:t>佛山市南海区位于广东省中部，是广佛同城化发展的重要区域。区内文化资源类型较为丰富：本研究整理的非遗名录共包含国家、省、市、区四级非物质文化遗产 90 项；进入核心指数计算的文化载体样本共 165 条，其中包括不可移动文物保护单位 80 处、历史文化名镇名村与传统村落 12 项、文化景观 19 项、圩市街区 18 项及非遗空间锚点 36 项。不可移动文物保护单位中，全国重点文物保护单位 2 处、省级文物保护单位 19 处、市级文物保护单位 59 处。除上述核心分析样本外，官方资源扩展底表另纳入 484 处普查口径不可移动文物，用于补充诊断与空间覆盖校验，不直接替代 165 条核心指数样本。</w:t>
      </w:r>
    </w:p>
    <w:p w14:paraId="69F0AA0E">
      <w:pPr>
        <w:spacing w:before="0" w:after="0" w:line="400" w:lineRule="exact"/>
        <w:ind w:firstLine="480"/>
        <w:jc w:val="left"/>
      </w:pPr>
      <w:r>
        <w:rPr>
          <w:rFonts w:ascii="Times New Roman" w:hAnsi="Times New Roman" w:eastAsia="宋体"/>
          <w:b w:val="0"/>
          <w:sz w:val="24"/>
        </w:rPr>
        <w:t>但是，文化资源的丰富并不必然转化为旅游体验的充分供给。在南海区现有文旅开发中，部分文化资源仍主要停留在典籍记载、保护名录或地方记忆层面，尚未稳定转化为可识别、可到达、可体验的旅游产品。文化资源与旅游活动之间的错位，在区县尺度上仍缺少可量化、可复核的识别方法，因而影响后续的资源整合、产品策划与空间治理。本研究尝试结合多源数据、大语言模型和知识图谱方法，构建面向区县文旅融合潜力识别的分析框架。</w:t>
      </w:r>
    </w:p>
    <w:p w14:paraId="2DF27093">
      <w:pPr>
        <w:spacing w:before="240" w:after="120" w:line="400" w:lineRule="exact"/>
        <w:jc w:val="left"/>
        <w:outlineLvl w:val="2"/>
      </w:pPr>
      <w:bookmarkStart w:id="10" w:name="_Toc28431"/>
      <w:r>
        <w:rPr>
          <w:rFonts w:ascii="Times New Roman" w:hAnsi="Times New Roman" w:eastAsia="黑体"/>
          <w:b/>
          <w:sz w:val="26"/>
        </w:rPr>
        <w:t>1.1.2 研究意义</w:t>
      </w:r>
      <w:bookmarkEnd w:id="10"/>
    </w:p>
    <w:p w14:paraId="5F42E7AA">
      <w:pPr>
        <w:spacing w:before="0" w:after="0" w:line="400" w:lineRule="exact"/>
        <w:ind w:firstLine="480"/>
        <w:jc w:val="left"/>
      </w:pPr>
      <w:r>
        <w:rPr>
          <w:rFonts w:ascii="Times New Roman" w:hAnsi="Times New Roman" w:eastAsia="宋体"/>
          <w:b/>
          <w:sz w:val="24"/>
        </w:rPr>
        <w:t>实践意义</w:t>
      </w:r>
      <w:r>
        <w:rPr>
          <w:rFonts w:ascii="Times New Roman" w:hAnsi="Times New Roman" w:eastAsia="宋体"/>
          <w:b w:val="0"/>
          <w:sz w:val="24"/>
        </w:rPr>
        <w:t>。研究面向南海区政府及相关规划部门，在 165 条核心文化载体样本层面给出可复核的错位诊断清单，支撑文旅资源梳理、产品策划与空间布局；并按镇街与等级提出分层级、分片区的潜力释放建议。</w:t>
      </w:r>
    </w:p>
    <w:p w14:paraId="341762F7">
      <w:pPr>
        <w:spacing w:before="0" w:after="0" w:line="400" w:lineRule="exact"/>
        <w:ind w:firstLine="480"/>
        <w:jc w:val="left"/>
      </w:pPr>
      <w:r>
        <w:rPr>
          <w:rFonts w:ascii="Times New Roman" w:hAnsi="Times New Roman" w:eastAsia="宋体"/>
          <w:b/>
          <w:sz w:val="24"/>
        </w:rPr>
        <w:t>方法意义</w:t>
      </w:r>
      <w:r>
        <w:rPr>
          <w:rFonts w:ascii="Times New Roman" w:hAnsi="Times New Roman" w:eastAsia="宋体"/>
          <w:b w:val="0"/>
          <w:sz w:val="24"/>
        </w:rPr>
        <w:t>。本研究探索将大语言模型、知识图谱、多源 POI 与评论数据结合，形成一套区县级文旅融合分析流程。其核心环节包括文化记忆指数、官方认证指数、旅游热度指数与错位指数，具有一定可迁移性，可为同类尺度的区县个案提供参考，同时也可以扩展到更大区域范围内。</w:t>
      </w:r>
    </w:p>
    <w:p w14:paraId="29D7DFA6">
      <w:pPr>
        <w:spacing w:before="240" w:after="120" w:line="400" w:lineRule="exact"/>
        <w:jc w:val="left"/>
        <w:outlineLvl w:val="1"/>
      </w:pPr>
      <w:bookmarkStart w:id="11" w:name="_Toc13442"/>
      <w:r>
        <w:rPr>
          <w:rFonts w:ascii="Times New Roman" w:hAnsi="Times New Roman" w:eastAsia="黑体"/>
          <w:b/>
          <w:sz w:val="28"/>
        </w:rPr>
        <w:t>1.2 研究目标与内容</w:t>
      </w:r>
      <w:bookmarkEnd w:id="11"/>
    </w:p>
    <w:p w14:paraId="0846293C">
      <w:pPr>
        <w:spacing w:before="240" w:after="120" w:line="400" w:lineRule="exact"/>
        <w:jc w:val="left"/>
        <w:outlineLvl w:val="2"/>
      </w:pPr>
      <w:bookmarkStart w:id="12" w:name="_Toc19350"/>
      <w:r>
        <w:rPr>
          <w:rFonts w:ascii="Times New Roman" w:hAnsi="Times New Roman" w:eastAsia="黑体"/>
          <w:b/>
          <w:sz w:val="26"/>
        </w:rPr>
        <w:t>1.2.1 研究目标</w:t>
      </w:r>
      <w:bookmarkEnd w:id="12"/>
    </w:p>
    <w:p w14:paraId="40AD3ABA">
      <w:pPr>
        <w:spacing w:before="0" w:after="0" w:line="400" w:lineRule="exact"/>
        <w:ind w:firstLine="480"/>
        <w:jc w:val="left"/>
      </w:pPr>
      <w:r>
        <w:rPr>
          <w:rFonts w:ascii="Times New Roman" w:hAnsi="Times New Roman" w:eastAsia="宋体"/>
          <w:b w:val="0"/>
          <w:sz w:val="24"/>
        </w:rPr>
        <w:t>建立以“物质遗产为主桥梁、非遗为动态补充”的双谱系对照框架，对南海区文旅融合现状进行量化识别，并对错位的结构性来源与可干预条件作出解释，最终服务于规划层面的决策建议。</w:t>
      </w:r>
    </w:p>
    <w:p w14:paraId="79ED3406">
      <w:pPr>
        <w:spacing w:before="240" w:after="120" w:line="400" w:lineRule="exact"/>
        <w:jc w:val="left"/>
        <w:outlineLvl w:val="2"/>
      </w:pPr>
      <w:bookmarkStart w:id="13" w:name="_Toc32187"/>
      <w:r>
        <w:rPr>
          <w:rFonts w:ascii="Times New Roman" w:hAnsi="Times New Roman" w:eastAsia="黑体"/>
          <w:b/>
          <w:sz w:val="26"/>
        </w:rPr>
        <w:t>1.2.2 研究内容</w:t>
      </w:r>
      <w:bookmarkEnd w:id="13"/>
    </w:p>
    <w:p w14:paraId="27F2C0F1">
      <w:pPr>
        <w:spacing w:before="0" w:after="0" w:line="400" w:lineRule="exact"/>
        <w:ind w:firstLine="480"/>
        <w:jc w:val="left"/>
      </w:pPr>
      <w:r>
        <w:rPr>
          <w:rFonts w:ascii="Times New Roman" w:hAnsi="Times New Roman" w:eastAsia="宋体"/>
          <w:b w:val="0"/>
          <w:sz w:val="24"/>
        </w:rPr>
        <w:t>本研究包含六项主要工作：（1）整理典籍、POI、评论、非遗名录与政府普查文化载体等多源数据；（2）基于典籍构建文化知识图谱；（3）基于 POI 与评论刻画旅游供给与体验；（4）以 165 条文化载体样本为主桥梁，构造文化记忆指数（CMI）、官方认证指数（OAI）、旅游热度指数（THI）与错位指数（MI）；（5）在 500 m 网格尺度引入知识图谱 0/1 跳路径复核，结合相关矩阵识别潜力释放条件；（6）给出分片区、分层级的规划建议。</w:t>
      </w:r>
    </w:p>
    <w:p w14:paraId="1C10FB0F">
      <w:pPr>
        <w:spacing w:before="240" w:after="120" w:line="400" w:lineRule="exact"/>
        <w:jc w:val="left"/>
        <w:outlineLvl w:val="1"/>
      </w:pPr>
      <w:bookmarkStart w:id="14" w:name="_Toc14362"/>
      <w:r>
        <w:rPr>
          <w:rFonts w:ascii="Times New Roman" w:hAnsi="Times New Roman" w:eastAsia="黑体"/>
          <w:b/>
          <w:sz w:val="28"/>
        </w:rPr>
        <w:t>1.3 技术路线与论文结构</w:t>
      </w:r>
      <w:bookmarkEnd w:id="14"/>
    </w:p>
    <w:p w14:paraId="59CCCBC2">
      <w:pPr>
        <w:spacing w:before="240" w:after="120" w:line="400" w:lineRule="exact"/>
        <w:jc w:val="left"/>
        <w:outlineLvl w:val="2"/>
      </w:pPr>
      <w:bookmarkStart w:id="15" w:name="_Toc12743"/>
      <w:r>
        <w:rPr>
          <w:rFonts w:ascii="Times New Roman" w:hAnsi="Times New Roman" w:eastAsia="黑体"/>
          <w:b/>
          <w:sz w:val="26"/>
        </w:rPr>
        <w:t>1.3.1 技术路线</w:t>
      </w:r>
      <w:bookmarkEnd w:id="15"/>
    </w:p>
    <w:p w14:paraId="41C9B688">
      <w:pPr>
        <w:spacing w:before="0" w:after="0" w:line="400" w:lineRule="exact"/>
        <w:ind w:firstLine="480"/>
        <w:jc w:val="left"/>
      </w:pPr>
      <w:r>
        <w:rPr>
          <w:rFonts w:ascii="Times New Roman" w:hAnsi="Times New Roman" w:eastAsia="宋体"/>
          <w:b w:val="0"/>
          <w:sz w:val="24"/>
        </w:rPr>
        <w:t>研究按“数据采集 → 清洗与结构化 → 知识图谱构建 → 桥梁匹配 → 量化指数与错位指数 → 空间分析与潜力条件识别 → 建议输出”的链条推进。采集层包括 OCR（典籍）、API 抓取（POI 与评论）、官方 Shapefile 与名录整理；清洗层包括三源 POI 去重、坐标统一与类目纠正；建图层使用大语言模型抽取后导入 Neo4j；匹配层以 165 条文化载体样本为核心桥梁，非遗作为动态补充；量化层产出四个指数与错位分类；空间层开展核密度估计、DBSCAN 聚类与相关矩阵分析；输出层形成建议与附录表单。</w:t>
      </w:r>
    </w:p>
    <w:p w14:paraId="22B6F10D">
      <w:pPr>
        <w:spacing w:before="240" w:after="120" w:line="400" w:lineRule="exact"/>
        <w:jc w:val="left"/>
        <w:outlineLvl w:val="2"/>
      </w:pPr>
      <w:bookmarkStart w:id="16" w:name="_Toc14549"/>
      <w:r>
        <w:rPr>
          <w:rFonts w:ascii="Times New Roman" w:hAnsi="Times New Roman" w:eastAsia="黑体"/>
          <w:b/>
          <w:sz w:val="26"/>
        </w:rPr>
        <w:t>1.3.2 论文结构</w:t>
      </w:r>
      <w:bookmarkEnd w:id="16"/>
    </w:p>
    <w:p w14:paraId="2BA6C3B2">
      <w:pPr>
        <w:spacing w:before="0" w:after="0" w:line="400" w:lineRule="exact"/>
        <w:ind w:firstLine="480"/>
        <w:jc w:val="left"/>
      </w:pPr>
      <w:r>
        <w:rPr>
          <w:rFonts w:ascii="Times New Roman" w:hAnsi="Times New Roman" w:eastAsia="宋体"/>
          <w:b w:val="0"/>
          <w:sz w:val="24"/>
        </w:rPr>
        <w:t>第 2 章为文献综述与相关研究述评；第 3 章介绍研究区域与数据基础；第 4 章说明知识图谱的构建方法与成果；第 5 章阐述耦合桥梁的主—补结构、量化指数与错位指数；第 6 章讨论空间格局与潜力释放条件；第 7 章给出结论与建议。</w:t>
      </w:r>
    </w:p>
    <w:p w14:paraId="629F61ED">
      <w:r>
        <w:br w:type="page"/>
      </w:r>
    </w:p>
    <w:p w14:paraId="6B2ABF9B">
      <w:pPr>
        <w:spacing w:before="360" w:after="160" w:line="400" w:lineRule="exact"/>
        <w:jc w:val="center"/>
        <w:outlineLvl w:val="0"/>
      </w:pPr>
      <w:bookmarkStart w:id="17" w:name="_Toc15388"/>
      <w:r>
        <w:rPr>
          <w:rFonts w:ascii="Times New Roman" w:hAnsi="Times New Roman" w:eastAsia="黑体"/>
          <w:b/>
          <w:sz w:val="32"/>
        </w:rPr>
        <w:t>第 2 章　文献综述与相关研究述评</w:t>
      </w:r>
      <w:bookmarkEnd w:id="17"/>
    </w:p>
    <w:p w14:paraId="3D3182D4">
      <w:pPr>
        <w:spacing w:before="240" w:after="120" w:line="400" w:lineRule="exact"/>
        <w:jc w:val="left"/>
        <w:outlineLvl w:val="1"/>
      </w:pPr>
      <w:bookmarkStart w:id="18" w:name="_Toc19175"/>
      <w:r>
        <w:rPr>
          <w:rFonts w:ascii="Times New Roman" w:hAnsi="Times New Roman" w:eastAsia="黑体"/>
          <w:b/>
          <w:sz w:val="28"/>
        </w:rPr>
        <w:t>2.1 区域尺度文旅融合与“文化—旅游”衔接研究</w:t>
      </w:r>
      <w:bookmarkEnd w:id="18"/>
    </w:p>
    <w:p w14:paraId="355315F1">
      <w:pPr>
        <w:spacing w:before="0" w:after="0" w:line="400" w:lineRule="exact"/>
        <w:ind w:firstLine="480"/>
        <w:jc w:val="left"/>
      </w:pPr>
      <w:r>
        <w:rPr>
          <w:rFonts w:ascii="Times New Roman" w:hAnsi="Times New Roman" w:eastAsia="宋体"/>
          <w:b w:val="0"/>
          <w:sz w:val="24"/>
        </w:rPr>
        <w:t>现有文旅融合研究首先形成了以测度评价、空间分异和驱动因素识别为主的区域分析路径。相关成果通常将文化产业与旅游产业视为两个相互作用的系统，通过耦合协调度、效率测度、空间自相关、空间网络和地理探测器等方法，判断融合水平的高低、区域差异及其形成原因</w:t>
      </w:r>
      <w:r>
        <w:rPr>
          <w:rFonts w:ascii="Times New Roman" w:hAnsi="Times New Roman" w:eastAsia="宋体"/>
          <w:b w:val="0"/>
          <w:sz w:val="21"/>
          <w:vertAlign w:val="superscript"/>
        </w:rPr>
        <w:t>[1,11-14]</w:t>
      </w:r>
      <w:r>
        <w:rPr>
          <w:rFonts w:ascii="Times New Roman" w:hAnsi="Times New Roman" w:eastAsia="宋体"/>
          <w:b w:val="0"/>
          <w:sz w:val="24"/>
        </w:rPr>
        <w:t>。这类研究的价值在于把“文旅融合”从政策表述转化为可以比较、可以检验的分析对象，也说明经济基础、交通条件、政策供给和产业结构等因素会影响融合结果。</w:t>
      </w:r>
    </w:p>
    <w:p w14:paraId="65DB299D">
      <w:pPr>
        <w:spacing w:before="0" w:after="0" w:line="400" w:lineRule="exact"/>
        <w:ind w:firstLine="480"/>
        <w:jc w:val="left"/>
      </w:pPr>
      <w:r>
        <w:rPr>
          <w:rFonts w:ascii="Times New Roman" w:hAnsi="Times New Roman" w:eastAsia="宋体"/>
          <w:b w:val="0"/>
          <w:sz w:val="24"/>
        </w:rPr>
        <w:t>但是，从本文的问题意识来看，区域尺度研究也存在一定局限。已有研究的空间单元多为省域、城市群或跨区域单元，重点常落在整体协调水平和区域差异上，对区县与镇街层面“文化资源如何被旅游产品承接”“文化记忆与景区供给在哪里发生错位”的解释还不够充分。近年的研究开始强调文化系统与旅游系统之间的适配关系、数智化赋能和旅游资源创新开发，提示文旅融合不能只看产业指标是否接近，还需要观察文化资源经过识别、转译、空间组织和运营传播后，是否真正进入游客可体验的产品体系</w:t>
      </w:r>
      <w:r>
        <w:rPr>
          <w:rFonts w:ascii="Times New Roman" w:hAnsi="Times New Roman" w:eastAsia="宋体"/>
          <w:b w:val="0"/>
          <w:sz w:val="21"/>
          <w:vertAlign w:val="superscript"/>
        </w:rPr>
        <w:t>[2,15-18]</w:t>
      </w:r>
      <w:r>
        <w:rPr>
          <w:rFonts w:ascii="Times New Roman" w:hAnsi="Times New Roman" w:eastAsia="宋体"/>
          <w:b w:val="0"/>
          <w:sz w:val="24"/>
        </w:rPr>
        <w:t>。因此，本文将研究尺度聚焦到佛山市南海区，把分析重点从一般意义上的“融合程度评价”转向“错位结构识别与潜力释放条件”。</w:t>
      </w:r>
    </w:p>
    <w:p w14:paraId="18C79CD2">
      <w:pPr>
        <w:spacing w:before="240" w:after="120" w:line="400" w:lineRule="exact"/>
        <w:jc w:val="left"/>
        <w:outlineLvl w:val="1"/>
      </w:pPr>
      <w:bookmarkStart w:id="19" w:name="_Toc28371"/>
      <w:r>
        <w:rPr>
          <w:rFonts w:ascii="Times New Roman" w:hAnsi="Times New Roman" w:eastAsia="黑体"/>
          <w:b/>
          <w:sz w:val="28"/>
        </w:rPr>
        <w:t>2.2 大数据、文本挖掘与知识图谱在文旅研究中的应用</w:t>
      </w:r>
      <w:bookmarkEnd w:id="19"/>
    </w:p>
    <w:p w14:paraId="33035C01">
      <w:pPr>
        <w:spacing w:before="0" w:after="0" w:line="400" w:lineRule="exact"/>
        <w:ind w:firstLine="480"/>
        <w:jc w:val="left"/>
      </w:pPr>
      <w:r>
        <w:rPr>
          <w:rFonts w:ascii="Times New Roman" w:hAnsi="Times New Roman" w:eastAsia="宋体"/>
          <w:b w:val="0"/>
          <w:sz w:val="24"/>
        </w:rPr>
        <w:t>随着开放平台数据和空间计算方法的发展，POI、游客评论和网络文本逐渐成为旅游空间研究的重要数据来源。已有研究常利用 POI 数据识别旅游要素类型、测度空间集聚特征，并结合核密度估计、最邻近指数、空间自相关等方法分析旅游供给的分布格局</w:t>
      </w:r>
      <w:r>
        <w:rPr>
          <w:rFonts w:ascii="Times New Roman" w:hAnsi="Times New Roman" w:eastAsia="宋体"/>
          <w:b w:val="0"/>
          <w:sz w:val="21"/>
          <w:vertAlign w:val="superscript"/>
        </w:rPr>
        <w:t>[3-4]</w:t>
      </w:r>
      <w:r>
        <w:rPr>
          <w:rFonts w:ascii="Times New Roman" w:hAnsi="Times New Roman" w:eastAsia="宋体"/>
          <w:b w:val="0"/>
          <w:sz w:val="24"/>
        </w:rPr>
        <w:t>。这一路径适合刻画景区、场馆、公园、古迹等对象的现状分布，也为县域或区县尺度的旅游供给分析提供了较清晰的数据基础。</w:t>
      </w:r>
    </w:p>
    <w:p w14:paraId="1C5876D7">
      <w:pPr>
        <w:spacing w:before="0" w:after="0" w:line="400" w:lineRule="exact"/>
        <w:ind w:firstLine="480"/>
        <w:jc w:val="left"/>
      </w:pPr>
      <w:r>
        <w:rPr>
          <w:rFonts w:ascii="Times New Roman" w:hAnsi="Times New Roman" w:eastAsia="宋体"/>
          <w:b w:val="0"/>
          <w:sz w:val="24"/>
        </w:rPr>
        <w:t>不过，POI 本身主要反映现实旅游供给，难以直接说明景区背后的历史文化来源和地方叙事。为弥补这一问题，知识图谱与文本挖掘方法开始被引入旅游研究，用于整合多源文本、空间对象和旅游服务信息，并支持检索、推荐、语义关联和知识组织</w:t>
      </w:r>
      <w:r>
        <w:rPr>
          <w:rFonts w:ascii="Times New Roman" w:hAnsi="Times New Roman" w:eastAsia="宋体"/>
          <w:b w:val="0"/>
          <w:sz w:val="21"/>
          <w:vertAlign w:val="superscript"/>
        </w:rPr>
        <w:t>[7-10]</w:t>
      </w:r>
      <w:r>
        <w:rPr>
          <w:rFonts w:ascii="Times New Roman" w:hAnsi="Times New Roman" w:eastAsia="宋体"/>
          <w:b w:val="0"/>
          <w:sz w:val="24"/>
        </w:rPr>
        <w:t>。从现有成果看，知识图谱在旅游领域的应用多集中于信息服务和营销场景，对地方典籍、历史记忆与现实景区供给之间关系的分析还相对不足。本文由此尝试把典籍文本中的文化记忆转化为知识图谱，再与 POI 和游客评论构成的旅游供给体系进行对照。</w:t>
      </w:r>
    </w:p>
    <w:p w14:paraId="4474B75D">
      <w:pPr>
        <w:spacing w:before="240" w:after="120" w:line="400" w:lineRule="exact"/>
        <w:jc w:val="left"/>
        <w:outlineLvl w:val="1"/>
      </w:pPr>
      <w:bookmarkStart w:id="20" w:name="_Toc918"/>
      <w:r>
        <w:rPr>
          <w:rFonts w:ascii="Times New Roman" w:hAnsi="Times New Roman" w:eastAsia="黑体"/>
          <w:b/>
          <w:sz w:val="28"/>
        </w:rPr>
        <w:t>2.3 物质遗产、非遗与旅游产品耦合的研究进展</w:t>
      </w:r>
      <w:bookmarkEnd w:id="20"/>
    </w:p>
    <w:p w14:paraId="427AB73E">
      <w:pPr>
        <w:spacing w:before="0" w:after="0" w:line="400" w:lineRule="exact"/>
        <w:ind w:firstLine="480"/>
        <w:jc w:val="left"/>
      </w:pPr>
      <w:r>
        <w:rPr>
          <w:rFonts w:ascii="Times New Roman" w:hAnsi="Times New Roman" w:eastAsia="宋体"/>
          <w:b w:val="0"/>
          <w:sz w:val="24"/>
        </w:rPr>
        <w:t>遗产资源是文旅融合中最容易被识别、也最需要谨慎转译的一类文化资源。既有研究通常以非遗名录、旅游发展指标或区域旅游数据为基础，通过耦合协调度、熵值法、核密度分析和影响因素识别等方法，讨论遗产资源与旅游系统之间的协同关系</w:t>
      </w:r>
      <w:r>
        <w:rPr>
          <w:rFonts w:ascii="Times New Roman" w:hAnsi="Times New Roman" w:eastAsia="宋体"/>
          <w:b w:val="0"/>
          <w:sz w:val="21"/>
          <w:vertAlign w:val="superscript"/>
        </w:rPr>
        <w:t>[5-6]</w:t>
      </w:r>
      <w:r>
        <w:rPr>
          <w:rFonts w:ascii="Times New Roman" w:hAnsi="Times New Roman" w:eastAsia="宋体"/>
          <w:b w:val="0"/>
          <w:sz w:val="24"/>
        </w:rPr>
        <w:t>。这类研究说明，遗产并不是天然等同于旅游产品，它需要经过空间承载、展示转化、服务配套和品牌传播，才可能形成稳定的游客体验。</w:t>
      </w:r>
    </w:p>
    <w:p w14:paraId="4FDC02BC">
      <w:pPr>
        <w:spacing w:before="0" w:after="0" w:line="400" w:lineRule="exact"/>
        <w:ind w:firstLine="480"/>
        <w:jc w:val="left"/>
      </w:pPr>
      <w:r>
        <w:rPr>
          <w:rFonts w:ascii="Times New Roman" w:hAnsi="Times New Roman" w:eastAsia="宋体"/>
          <w:b w:val="0"/>
          <w:sz w:val="24"/>
        </w:rPr>
        <w:t>对于区县和镇街尺度的研究而言，遗产—旅游耦合不能只停留在区域总量比较，还需要回到具体载体层面，判断文化资源是否有明确空间位置，是否具有官方认定等级，是否已经与景区、场馆、街区或线路发生联系。基于这一考虑，本文将官方认定的物质文化载体作为主要“耦合桥梁”，包括不可移动文物、风景名胜区、历史文化名镇名村与传统村落等。这类载体空间坐标相对明确，认证等级和品牌标识也较为稳定，能够向上承接典籍中的文化记忆，向下衔接现实旅游产品。非遗则作为动态补充进入分析：依托具体物质空间的非遗项目并入核心桥梁讨论，以传承人分布为主、缺少稳定空间载体的项目作为软性加权项。</w:t>
      </w:r>
    </w:p>
    <w:p w14:paraId="5E712EC1">
      <w:pPr>
        <w:spacing w:before="240" w:after="120" w:line="400" w:lineRule="exact"/>
        <w:jc w:val="left"/>
        <w:outlineLvl w:val="1"/>
      </w:pPr>
      <w:bookmarkStart w:id="21" w:name="_Toc12137"/>
      <w:r>
        <w:rPr>
          <w:rFonts w:ascii="Times New Roman" w:hAnsi="Times New Roman" w:eastAsia="黑体"/>
          <w:b/>
          <w:sz w:val="28"/>
        </w:rPr>
        <w:t>2.4 佛山市、珠三角及同尺度区域的相关研究</w:t>
      </w:r>
      <w:bookmarkEnd w:id="21"/>
    </w:p>
    <w:p w14:paraId="53062EDE">
      <w:pPr>
        <w:spacing w:before="0" w:after="0" w:line="400" w:lineRule="exact"/>
        <w:ind w:firstLine="480"/>
        <w:jc w:val="left"/>
      </w:pPr>
      <w:r>
        <w:rPr>
          <w:rFonts w:ascii="Times New Roman" w:hAnsi="Times New Roman" w:eastAsia="宋体"/>
          <w:b w:val="0"/>
          <w:sz w:val="24"/>
        </w:rPr>
        <w:t>与“南海区文旅融合潜力”高度对应的实证研究仍相对有限。已整理文献中，可直接参照的成果主要集中在三个方向：一是省域或城市群层面的文旅融合测度与空间效应研究</w:t>
      </w:r>
      <w:r>
        <w:rPr>
          <w:rFonts w:ascii="Times New Roman" w:hAnsi="Times New Roman" w:eastAsia="宋体"/>
          <w:b w:val="0"/>
          <w:sz w:val="21"/>
          <w:vertAlign w:val="superscript"/>
        </w:rPr>
        <w:t>[1-2,11-18]</w:t>
      </w:r>
      <w:r>
        <w:rPr>
          <w:rFonts w:ascii="Times New Roman" w:hAnsi="Times New Roman" w:eastAsia="宋体"/>
          <w:b w:val="0"/>
          <w:sz w:val="24"/>
        </w:rPr>
        <w:t>；二是基于 POI 的旅游要素分类与空间格局分析</w:t>
      </w:r>
      <w:r>
        <w:rPr>
          <w:rFonts w:ascii="Times New Roman" w:hAnsi="Times New Roman" w:eastAsia="宋体"/>
          <w:b w:val="0"/>
          <w:sz w:val="21"/>
          <w:vertAlign w:val="superscript"/>
        </w:rPr>
        <w:t>[3-4]</w:t>
      </w:r>
      <w:r>
        <w:rPr>
          <w:rFonts w:ascii="Times New Roman" w:hAnsi="Times New Roman" w:eastAsia="宋体"/>
          <w:b w:val="0"/>
          <w:sz w:val="24"/>
        </w:rPr>
        <w:t>；三是非遗或遗产资源与旅游系统之间的耦合关系研究</w:t>
      </w:r>
      <w:r>
        <w:rPr>
          <w:rFonts w:ascii="Times New Roman" w:hAnsi="Times New Roman" w:eastAsia="宋体"/>
          <w:b w:val="0"/>
          <w:sz w:val="21"/>
          <w:vertAlign w:val="superscript"/>
        </w:rPr>
        <w:t>[5-6]</w:t>
      </w:r>
      <w:r>
        <w:rPr>
          <w:rFonts w:ascii="Times New Roman" w:hAnsi="Times New Roman" w:eastAsia="宋体"/>
          <w:b w:val="0"/>
          <w:sz w:val="24"/>
        </w:rPr>
        <w:t>。这些研究能够提供概念、指标和方法基础，但还不能直接回答南海区内部七个镇街之间的文化资源差异、旅游供给差异及其错位关系。</w:t>
      </w:r>
    </w:p>
    <w:p w14:paraId="165B9947">
      <w:pPr>
        <w:spacing w:before="0" w:after="0" w:line="400" w:lineRule="exact"/>
        <w:ind w:firstLine="480"/>
        <w:jc w:val="left"/>
      </w:pPr>
      <w:r>
        <w:rPr>
          <w:rFonts w:ascii="Times New Roman" w:hAnsi="Times New Roman" w:eastAsia="宋体"/>
          <w:b w:val="0"/>
          <w:sz w:val="24"/>
        </w:rPr>
        <w:t>因此，本文不直接套用省域文旅融合评价模型，而是采用“对象下沉、方法衔接”的策略：对象层面回到南海区及其七个镇街，方法层面连接区域文旅融合评价、POI 空间分析和遗产—旅游耦合研究。这样处理的目的，是在保持研究可比性的同时，让分析结果能够回到具体片区、具体载体和具体旅游产品上。</w:t>
      </w:r>
    </w:p>
    <w:p w14:paraId="4BD7DEFB">
      <w:pPr>
        <w:spacing w:before="240" w:after="120" w:line="400" w:lineRule="exact"/>
        <w:jc w:val="left"/>
        <w:outlineLvl w:val="1"/>
      </w:pPr>
      <w:bookmarkStart w:id="22" w:name="_Toc27280"/>
      <w:r>
        <w:rPr>
          <w:rFonts w:ascii="Times New Roman" w:hAnsi="Times New Roman" w:eastAsia="黑体"/>
          <w:b/>
          <w:sz w:val="28"/>
        </w:rPr>
        <w:t>2.5 研究述评与本研究定位</w:t>
      </w:r>
      <w:bookmarkEnd w:id="22"/>
    </w:p>
    <w:p w14:paraId="1C616A2D">
      <w:pPr>
        <w:spacing w:before="0" w:after="0" w:line="400" w:lineRule="exact"/>
        <w:ind w:firstLine="480"/>
        <w:jc w:val="left"/>
      </w:pPr>
      <w:r>
        <w:rPr>
          <w:rFonts w:ascii="Times New Roman" w:hAnsi="Times New Roman" w:eastAsia="宋体"/>
          <w:b w:val="0"/>
          <w:sz w:val="24"/>
        </w:rPr>
        <w:t>总体来看，已有研究已经在三个方面为本文提供了基础：一是形成了文旅融合水平测度和空间差异分析的方法框架；二是证明了 POI、评论和知识图谱等数据方法可以用于刻画旅游供给和组织文化信息；三是从遗产与旅游耦合角度提示文化资源需要经过空间承载和产品转化，才能进入游客体验。</w:t>
      </w:r>
    </w:p>
    <w:p w14:paraId="68C7D0F8">
      <w:pPr>
        <w:spacing w:before="0" w:after="0" w:line="400" w:lineRule="exact"/>
        <w:ind w:firstLine="480"/>
        <w:jc w:val="left"/>
      </w:pPr>
      <w:r>
        <w:rPr>
          <w:rFonts w:ascii="Times New Roman" w:hAnsi="Times New Roman" w:eastAsia="宋体"/>
          <w:b w:val="0"/>
          <w:sz w:val="24"/>
        </w:rPr>
        <w:t>与此同时，现有研究也留下了本文需要回应的不足。第一，研究尺度仍偏宏观，对区县和镇街尺度的空间差异关注不足；第二，文化系统与旅游系统之间的“桥梁”常被概括为产业关系或资源关系，缺少对具体文化载体的量化对位；第三，研究结果多用于判断融合程度高低，对“文化资源丰富但旅游承接不足”这类潜力型问题讨论不够。</w:t>
      </w:r>
    </w:p>
    <w:p w14:paraId="77F74821">
      <w:pPr>
        <w:spacing w:before="0" w:after="0" w:line="400" w:lineRule="exact"/>
        <w:ind w:firstLine="480"/>
        <w:jc w:val="left"/>
      </w:pPr>
      <w:r>
        <w:rPr>
          <w:rFonts w:ascii="Times New Roman" w:hAnsi="Times New Roman" w:eastAsia="宋体"/>
          <w:b w:val="0"/>
          <w:sz w:val="24"/>
        </w:rPr>
        <w:t>基于上述述评，本文的研究定位可以概括为三个方面。第一，在尺度上由省域和城市群下沉到南海区及七个镇街，使研究结果能够回应地方规划与项目策划需求。第二，在框架上以典籍知识图谱表征“文化记忆”，以 POI 与评论表征“旅游供给”，并以 165 条核心文化载体分析样本为主桥梁、90 项区级以上非遗全量名录为动态补充，进行文化谱系与旅游供给的对照。第三，在结果导向上，本文不以区域文旅融合水平排名为主要目的，而是通过文化记忆指数、官方认证指数、旅游热度指数和错位指数，识别耦合、错位与潜力沉睡的不同状态，并进一步讨论潜力释放的空间条件和政策可干预条件。</w:t>
      </w:r>
    </w:p>
    <w:p w14:paraId="49B74647">
      <w:pPr>
        <w:spacing w:before="0" w:after="0" w:line="400" w:lineRule="exact"/>
        <w:ind w:firstLine="480"/>
        <w:jc w:val="left"/>
      </w:pPr>
      <w:r>
        <w:rPr>
          <w:rFonts w:ascii="Times New Roman" w:hAnsi="Times New Roman" w:eastAsia="宋体"/>
          <w:b w:val="0"/>
          <w:sz w:val="24"/>
        </w:rPr>
        <w:t>由此，第二章的综述并不是为了简单罗列文献，而是为后续研究建立一个基本判断：南海区文旅融合潜力的关键，不只在于文化资源或旅游产品各自有多少，还在于二者是否通过可识别的空间载体发生连接。后续章节将围绕这一判断展开数据构建、指标计算和空间分析。</w:t>
      </w:r>
    </w:p>
    <w:p w14:paraId="35888329">
      <w:r>
        <w:br w:type="page"/>
      </w:r>
    </w:p>
    <w:p w14:paraId="39E2CB8E">
      <w:pPr>
        <w:spacing w:before="360" w:after="160" w:line="400" w:lineRule="exact"/>
        <w:jc w:val="center"/>
        <w:outlineLvl w:val="0"/>
      </w:pPr>
      <w:bookmarkStart w:id="23" w:name="_Toc18025"/>
      <w:r>
        <w:rPr>
          <w:rFonts w:ascii="Times New Roman" w:hAnsi="Times New Roman" w:eastAsia="黑体"/>
          <w:b/>
          <w:sz w:val="32"/>
        </w:rPr>
        <w:t>第 3 章　研究区域与数据基础</w:t>
      </w:r>
      <w:bookmarkEnd w:id="23"/>
    </w:p>
    <w:p w14:paraId="08683ABB">
      <w:pPr>
        <w:spacing w:before="240" w:after="120" w:line="400" w:lineRule="exact"/>
        <w:jc w:val="left"/>
        <w:outlineLvl w:val="1"/>
      </w:pPr>
      <w:bookmarkStart w:id="24" w:name="_Toc28513"/>
      <w:r>
        <w:rPr>
          <w:rFonts w:ascii="Times New Roman" w:hAnsi="Times New Roman" w:eastAsia="黑体"/>
          <w:b/>
          <w:sz w:val="28"/>
        </w:rPr>
        <w:t>3.1 研究区域概况</w:t>
      </w:r>
      <w:bookmarkEnd w:id="24"/>
    </w:p>
    <w:p w14:paraId="4DFC4414">
      <w:pPr>
        <w:spacing w:before="240" w:after="120" w:line="400" w:lineRule="exact"/>
        <w:jc w:val="left"/>
        <w:outlineLvl w:val="2"/>
      </w:pPr>
      <w:bookmarkStart w:id="25" w:name="_Toc20891"/>
      <w:r>
        <w:rPr>
          <w:rFonts w:ascii="Times New Roman" w:hAnsi="Times New Roman" w:eastAsia="黑体"/>
          <w:b/>
          <w:sz w:val="26"/>
        </w:rPr>
        <w:t>3.1.1 地理位置与行政区划</w:t>
      </w:r>
      <w:bookmarkEnd w:id="25"/>
    </w:p>
    <w:p w14:paraId="5BDD00C4">
      <w:pPr>
        <w:spacing w:before="0" w:after="0" w:line="400" w:lineRule="exact"/>
        <w:ind w:firstLine="480"/>
        <w:jc w:val="left"/>
      </w:pPr>
      <w:r>
        <w:rPr>
          <w:rFonts w:ascii="Times New Roman" w:hAnsi="Times New Roman" w:eastAsia="宋体"/>
          <w:b w:val="0"/>
          <w:sz w:val="24"/>
        </w:rPr>
        <w:t>佛山市南海区位于广东省中部、珠江三角洲腹地，是广佛都市圈的重要组成部分。区位上，南海东部与广州市相接，中部邻接佛山市禅城区，西部与三水区、高明区相连，南部与顺德区毗邻。全区现辖桂城街道、大沥镇、里水镇、狮山镇、丹灶镇、西樵镇、九江镇，共 1 街 6 镇，陆域面积约 1,072 平方公里。</w:t>
      </w:r>
    </w:p>
    <w:p w14:paraId="5148CD64">
      <w:pPr>
        <w:spacing w:before="0" w:after="0" w:line="400" w:lineRule="exact"/>
        <w:ind w:firstLine="480"/>
        <w:jc w:val="left"/>
      </w:pPr>
      <w:r>
        <w:rPr>
          <w:rFonts w:ascii="Times New Roman" w:hAnsi="Times New Roman" w:eastAsia="宋体"/>
          <w:b w:val="0"/>
          <w:sz w:val="24"/>
        </w:rPr>
        <w:t>从空间结构看，南海区内部并不是单一类型的旅游目的地。桂城街道与大沥镇较早承接广佛中心城区功能外溢，现代商业、公园休闲和城市服务型空间较为集中；狮山镇依托佛山国家高新区形成较强的产业社区特征；西樵、九江、丹灶等镇则在本研究样本中保留了较多物质文化载体与非遗线索。正是这种差异，使南海区适合作为观察“文化资源—旅游供给”是否匹配的区县样本。</w:t>
      </w:r>
    </w:p>
    <w:p w14:paraId="7D7221F6">
      <w:pPr>
        <w:spacing w:before="240" w:after="120" w:line="400" w:lineRule="exact"/>
        <w:jc w:val="left"/>
        <w:outlineLvl w:val="2"/>
      </w:pPr>
      <w:bookmarkStart w:id="26" w:name="_Toc7035"/>
      <w:r>
        <w:rPr>
          <w:rFonts w:ascii="Times New Roman" w:hAnsi="Times New Roman" w:eastAsia="黑体"/>
          <w:b/>
          <w:sz w:val="26"/>
        </w:rPr>
        <w:t>3.1.2 文旅资源家底</w:t>
      </w:r>
      <w:bookmarkEnd w:id="26"/>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55"/>
        <w:gridCol w:w="1455"/>
        <w:gridCol w:w="1455"/>
        <w:gridCol w:w="1455"/>
        <w:gridCol w:w="1455"/>
        <w:gridCol w:w="1455"/>
      </w:tblGrid>
      <w:tr w14:paraId="60DA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CE24386">
            <w:pPr>
              <w:spacing w:before="0" w:after="0" w:line="320" w:lineRule="exact"/>
              <w:jc w:val="center"/>
            </w:pPr>
            <w:r>
              <w:rPr>
                <w:rFonts w:ascii="Times New Roman" w:hAnsi="Times New Roman" w:eastAsia="宋体"/>
                <w:b/>
                <w:sz w:val="21"/>
              </w:rPr>
              <w:t>类别</w:t>
            </w:r>
          </w:p>
        </w:tc>
        <w:tc>
          <w:tcPr>
            <w:tcW w:w="1455" w:type="dxa"/>
            <w:vAlign w:val="center"/>
          </w:tcPr>
          <w:p w14:paraId="48FA5241">
            <w:pPr>
              <w:spacing w:before="0" w:after="0" w:line="320" w:lineRule="exact"/>
              <w:jc w:val="center"/>
            </w:pPr>
            <w:r>
              <w:rPr>
                <w:rFonts w:ascii="Times New Roman" w:hAnsi="Times New Roman" w:eastAsia="宋体"/>
                <w:b/>
                <w:sz w:val="21"/>
              </w:rPr>
              <w:t>国家级</w:t>
            </w:r>
          </w:p>
        </w:tc>
        <w:tc>
          <w:tcPr>
            <w:tcW w:w="1455" w:type="dxa"/>
            <w:vAlign w:val="center"/>
          </w:tcPr>
          <w:p w14:paraId="3ABA9B22">
            <w:pPr>
              <w:spacing w:before="0" w:after="0" w:line="320" w:lineRule="exact"/>
              <w:jc w:val="center"/>
            </w:pPr>
            <w:r>
              <w:rPr>
                <w:rFonts w:ascii="Times New Roman" w:hAnsi="Times New Roman" w:eastAsia="宋体"/>
                <w:b/>
                <w:sz w:val="21"/>
              </w:rPr>
              <w:t>省级</w:t>
            </w:r>
          </w:p>
        </w:tc>
        <w:tc>
          <w:tcPr>
            <w:tcW w:w="1455" w:type="dxa"/>
            <w:vAlign w:val="center"/>
          </w:tcPr>
          <w:p w14:paraId="1781BC34">
            <w:pPr>
              <w:spacing w:before="0" w:after="0" w:line="320" w:lineRule="exact"/>
              <w:jc w:val="center"/>
            </w:pPr>
            <w:r>
              <w:rPr>
                <w:rFonts w:ascii="Times New Roman" w:hAnsi="Times New Roman" w:eastAsia="宋体"/>
                <w:b/>
                <w:sz w:val="21"/>
              </w:rPr>
              <w:t>市级</w:t>
            </w:r>
          </w:p>
        </w:tc>
        <w:tc>
          <w:tcPr>
            <w:tcW w:w="1455" w:type="dxa"/>
            <w:vAlign w:val="center"/>
          </w:tcPr>
          <w:p w14:paraId="2EF4F1E9">
            <w:pPr>
              <w:spacing w:before="0" w:after="0" w:line="320" w:lineRule="exact"/>
              <w:jc w:val="center"/>
            </w:pPr>
            <w:r>
              <w:rPr>
                <w:rFonts w:ascii="Times New Roman" w:hAnsi="Times New Roman" w:eastAsia="宋体"/>
                <w:b/>
                <w:sz w:val="21"/>
              </w:rPr>
              <w:t>区级 / 地方清单</w:t>
            </w:r>
          </w:p>
        </w:tc>
        <w:tc>
          <w:tcPr>
            <w:tcW w:w="1455" w:type="dxa"/>
            <w:vAlign w:val="center"/>
          </w:tcPr>
          <w:p w14:paraId="44D2325B">
            <w:pPr>
              <w:spacing w:before="0" w:after="0" w:line="320" w:lineRule="exact"/>
              <w:jc w:val="center"/>
            </w:pPr>
            <w:r>
              <w:rPr>
                <w:rFonts w:ascii="Times New Roman" w:hAnsi="Times New Roman" w:eastAsia="宋体"/>
                <w:b/>
                <w:sz w:val="21"/>
              </w:rPr>
              <w:t>合计</w:t>
            </w:r>
          </w:p>
        </w:tc>
      </w:tr>
      <w:tr w14:paraId="78B1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E095019">
            <w:pPr>
              <w:spacing w:before="0" w:after="0" w:line="320" w:lineRule="exact"/>
              <w:jc w:val="left"/>
            </w:pPr>
            <w:r>
              <w:rPr>
                <w:rFonts w:ascii="Times New Roman" w:hAnsi="Times New Roman" w:eastAsia="宋体"/>
                <w:b w:val="0"/>
                <w:sz w:val="21"/>
              </w:rPr>
              <w:t>非物质文化遗产</w:t>
            </w:r>
          </w:p>
        </w:tc>
        <w:tc>
          <w:tcPr>
            <w:tcW w:w="1455" w:type="dxa"/>
            <w:vAlign w:val="center"/>
          </w:tcPr>
          <w:p w14:paraId="6BF0A018">
            <w:pPr>
              <w:spacing w:before="0" w:after="0" w:line="320" w:lineRule="exact"/>
              <w:jc w:val="left"/>
            </w:pPr>
            <w:r>
              <w:rPr>
                <w:rFonts w:ascii="Times New Roman" w:hAnsi="Times New Roman" w:eastAsia="宋体"/>
                <w:b w:val="0"/>
                <w:sz w:val="21"/>
              </w:rPr>
              <w:t>2</w:t>
            </w:r>
          </w:p>
        </w:tc>
        <w:tc>
          <w:tcPr>
            <w:tcW w:w="1455" w:type="dxa"/>
            <w:vAlign w:val="center"/>
          </w:tcPr>
          <w:p w14:paraId="4B5380FE">
            <w:pPr>
              <w:spacing w:before="0" w:after="0" w:line="320" w:lineRule="exact"/>
              <w:jc w:val="left"/>
            </w:pPr>
            <w:r>
              <w:rPr>
                <w:rFonts w:ascii="Times New Roman" w:hAnsi="Times New Roman" w:eastAsia="宋体"/>
                <w:b w:val="0"/>
                <w:sz w:val="21"/>
              </w:rPr>
              <w:t>14</w:t>
            </w:r>
          </w:p>
        </w:tc>
        <w:tc>
          <w:tcPr>
            <w:tcW w:w="1455" w:type="dxa"/>
            <w:vAlign w:val="center"/>
          </w:tcPr>
          <w:p w14:paraId="40FA6130">
            <w:pPr>
              <w:spacing w:before="0" w:after="0" w:line="320" w:lineRule="exact"/>
              <w:jc w:val="left"/>
            </w:pPr>
            <w:r>
              <w:rPr>
                <w:rFonts w:ascii="Times New Roman" w:hAnsi="Times New Roman" w:eastAsia="宋体"/>
                <w:b w:val="0"/>
                <w:sz w:val="21"/>
              </w:rPr>
              <w:t>26</w:t>
            </w:r>
          </w:p>
        </w:tc>
        <w:tc>
          <w:tcPr>
            <w:tcW w:w="1455" w:type="dxa"/>
            <w:vAlign w:val="center"/>
          </w:tcPr>
          <w:p w14:paraId="7A867258">
            <w:pPr>
              <w:spacing w:before="0" w:after="0" w:line="320" w:lineRule="exact"/>
              <w:jc w:val="left"/>
            </w:pPr>
            <w:r>
              <w:rPr>
                <w:rFonts w:ascii="Times New Roman" w:hAnsi="Times New Roman" w:eastAsia="宋体"/>
                <w:b w:val="0"/>
                <w:sz w:val="21"/>
              </w:rPr>
              <w:t>48</w:t>
            </w:r>
          </w:p>
        </w:tc>
        <w:tc>
          <w:tcPr>
            <w:tcW w:w="1455" w:type="dxa"/>
            <w:vAlign w:val="center"/>
          </w:tcPr>
          <w:p w14:paraId="00D8DF48">
            <w:pPr>
              <w:spacing w:before="0" w:after="0" w:line="320" w:lineRule="exact"/>
              <w:jc w:val="left"/>
            </w:pPr>
            <w:r>
              <w:rPr>
                <w:rFonts w:ascii="Times New Roman" w:hAnsi="Times New Roman" w:eastAsia="宋体"/>
                <w:b w:val="0"/>
                <w:sz w:val="21"/>
              </w:rPr>
              <w:t>90</w:t>
            </w:r>
          </w:p>
        </w:tc>
      </w:tr>
      <w:tr w14:paraId="60AD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3E10337">
            <w:pPr>
              <w:spacing w:before="0" w:after="0" w:line="320" w:lineRule="exact"/>
              <w:jc w:val="left"/>
            </w:pPr>
            <w:r>
              <w:rPr>
                <w:rFonts w:ascii="Times New Roman" w:hAnsi="Times New Roman" w:eastAsia="宋体"/>
                <w:b w:val="0"/>
                <w:sz w:val="21"/>
              </w:rPr>
              <w:t>不可移动文物保护单位（核心指数样本）</w:t>
            </w:r>
          </w:p>
        </w:tc>
        <w:tc>
          <w:tcPr>
            <w:tcW w:w="1455" w:type="dxa"/>
            <w:vAlign w:val="center"/>
          </w:tcPr>
          <w:p w14:paraId="0CFE5C97">
            <w:pPr>
              <w:spacing w:before="0" w:after="0" w:line="320" w:lineRule="exact"/>
              <w:jc w:val="left"/>
            </w:pPr>
            <w:r>
              <w:rPr>
                <w:rFonts w:ascii="Times New Roman" w:hAnsi="Times New Roman" w:eastAsia="宋体"/>
                <w:b w:val="0"/>
                <w:sz w:val="21"/>
              </w:rPr>
              <w:t>2</w:t>
            </w:r>
          </w:p>
        </w:tc>
        <w:tc>
          <w:tcPr>
            <w:tcW w:w="1455" w:type="dxa"/>
            <w:vAlign w:val="center"/>
          </w:tcPr>
          <w:p w14:paraId="51CE3777">
            <w:pPr>
              <w:spacing w:before="0" w:after="0" w:line="320" w:lineRule="exact"/>
              <w:jc w:val="left"/>
            </w:pPr>
            <w:r>
              <w:rPr>
                <w:rFonts w:ascii="Times New Roman" w:hAnsi="Times New Roman" w:eastAsia="宋体"/>
                <w:b w:val="0"/>
                <w:sz w:val="21"/>
              </w:rPr>
              <w:t>19</w:t>
            </w:r>
          </w:p>
        </w:tc>
        <w:tc>
          <w:tcPr>
            <w:tcW w:w="1455" w:type="dxa"/>
            <w:vAlign w:val="center"/>
          </w:tcPr>
          <w:p w14:paraId="65528DDF">
            <w:pPr>
              <w:spacing w:before="0" w:after="0" w:line="320" w:lineRule="exact"/>
              <w:jc w:val="left"/>
            </w:pPr>
            <w:r>
              <w:rPr>
                <w:rFonts w:ascii="Times New Roman" w:hAnsi="Times New Roman" w:eastAsia="宋体"/>
                <w:b w:val="0"/>
                <w:sz w:val="21"/>
              </w:rPr>
              <w:t>59</w:t>
            </w:r>
          </w:p>
        </w:tc>
        <w:tc>
          <w:tcPr>
            <w:tcW w:w="1455" w:type="dxa"/>
            <w:vAlign w:val="center"/>
          </w:tcPr>
          <w:p w14:paraId="0A7E2D76">
            <w:pPr>
              <w:spacing w:before="0" w:after="0" w:line="320" w:lineRule="exact"/>
              <w:jc w:val="left"/>
            </w:pPr>
            <w:r>
              <w:rPr>
                <w:rFonts w:ascii="Times New Roman" w:hAnsi="Times New Roman" w:eastAsia="宋体"/>
                <w:b w:val="0"/>
                <w:sz w:val="21"/>
              </w:rPr>
              <w:t>—</w:t>
            </w:r>
          </w:p>
        </w:tc>
        <w:tc>
          <w:tcPr>
            <w:tcW w:w="1455" w:type="dxa"/>
            <w:vAlign w:val="center"/>
          </w:tcPr>
          <w:p w14:paraId="48376F5D">
            <w:pPr>
              <w:spacing w:before="0" w:after="0" w:line="320" w:lineRule="exact"/>
              <w:jc w:val="left"/>
            </w:pPr>
            <w:r>
              <w:rPr>
                <w:rFonts w:ascii="Times New Roman" w:hAnsi="Times New Roman" w:eastAsia="宋体"/>
                <w:b w:val="0"/>
                <w:sz w:val="21"/>
              </w:rPr>
              <w:t>80</w:t>
            </w:r>
          </w:p>
        </w:tc>
      </w:tr>
      <w:tr w14:paraId="45EA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3AF4EA8">
            <w:pPr>
              <w:spacing w:before="0" w:after="0" w:line="320" w:lineRule="exact"/>
              <w:jc w:val="left"/>
            </w:pPr>
            <w:r>
              <w:rPr>
                <w:rFonts w:ascii="Times New Roman" w:hAnsi="Times New Roman" w:eastAsia="宋体"/>
                <w:b w:val="0"/>
                <w:sz w:val="21"/>
              </w:rPr>
              <w:t>历史文化名村 / 传统村落</w:t>
            </w:r>
          </w:p>
        </w:tc>
        <w:tc>
          <w:tcPr>
            <w:tcW w:w="1455" w:type="dxa"/>
            <w:vAlign w:val="center"/>
          </w:tcPr>
          <w:p w14:paraId="3C5383D2">
            <w:pPr>
              <w:spacing w:before="0" w:after="0" w:line="320" w:lineRule="exact"/>
              <w:jc w:val="left"/>
            </w:pPr>
            <w:r>
              <w:rPr>
                <w:rFonts w:ascii="Times New Roman" w:hAnsi="Times New Roman" w:eastAsia="宋体"/>
                <w:b w:val="0"/>
                <w:sz w:val="21"/>
              </w:rPr>
              <w:t>4</w:t>
            </w:r>
          </w:p>
        </w:tc>
        <w:tc>
          <w:tcPr>
            <w:tcW w:w="1455" w:type="dxa"/>
            <w:vAlign w:val="center"/>
          </w:tcPr>
          <w:p w14:paraId="7D912C1B">
            <w:pPr>
              <w:spacing w:before="0" w:after="0" w:line="320" w:lineRule="exact"/>
              <w:jc w:val="left"/>
            </w:pPr>
            <w:r>
              <w:rPr>
                <w:rFonts w:ascii="Times New Roman" w:hAnsi="Times New Roman" w:eastAsia="宋体"/>
                <w:b w:val="0"/>
                <w:sz w:val="21"/>
              </w:rPr>
              <w:t>8</w:t>
            </w:r>
          </w:p>
        </w:tc>
        <w:tc>
          <w:tcPr>
            <w:tcW w:w="1455" w:type="dxa"/>
            <w:vAlign w:val="center"/>
          </w:tcPr>
          <w:p w14:paraId="6C441E63">
            <w:pPr>
              <w:spacing w:before="0" w:after="0" w:line="320" w:lineRule="exact"/>
              <w:jc w:val="left"/>
            </w:pPr>
            <w:r>
              <w:rPr>
                <w:rFonts w:ascii="Times New Roman" w:hAnsi="Times New Roman" w:eastAsia="宋体"/>
                <w:b w:val="0"/>
                <w:sz w:val="21"/>
              </w:rPr>
              <w:t>—</w:t>
            </w:r>
          </w:p>
        </w:tc>
        <w:tc>
          <w:tcPr>
            <w:tcW w:w="1455" w:type="dxa"/>
            <w:vAlign w:val="center"/>
          </w:tcPr>
          <w:p w14:paraId="7E009567">
            <w:pPr>
              <w:spacing w:before="0" w:after="0" w:line="320" w:lineRule="exact"/>
              <w:jc w:val="left"/>
            </w:pPr>
            <w:r>
              <w:rPr>
                <w:rFonts w:ascii="Times New Roman" w:hAnsi="Times New Roman" w:eastAsia="宋体"/>
                <w:b w:val="0"/>
                <w:sz w:val="21"/>
              </w:rPr>
              <w:t>—</w:t>
            </w:r>
          </w:p>
        </w:tc>
        <w:tc>
          <w:tcPr>
            <w:tcW w:w="1455" w:type="dxa"/>
            <w:vAlign w:val="center"/>
          </w:tcPr>
          <w:p w14:paraId="48944872">
            <w:pPr>
              <w:spacing w:before="0" w:after="0" w:line="320" w:lineRule="exact"/>
              <w:jc w:val="left"/>
            </w:pPr>
            <w:r>
              <w:rPr>
                <w:rFonts w:ascii="Times New Roman" w:hAnsi="Times New Roman" w:eastAsia="宋体"/>
                <w:b w:val="0"/>
                <w:sz w:val="21"/>
              </w:rPr>
              <w:t>12</w:t>
            </w:r>
          </w:p>
        </w:tc>
      </w:tr>
      <w:tr w14:paraId="00C3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71445F89">
            <w:pPr>
              <w:spacing w:before="0" w:after="0" w:line="320" w:lineRule="exact"/>
              <w:jc w:val="left"/>
            </w:pPr>
            <w:r>
              <w:rPr>
                <w:rFonts w:ascii="Times New Roman" w:hAnsi="Times New Roman" w:eastAsia="宋体"/>
                <w:b w:val="0"/>
                <w:sz w:val="21"/>
              </w:rPr>
              <w:t>文化景观</w:t>
            </w:r>
          </w:p>
        </w:tc>
        <w:tc>
          <w:tcPr>
            <w:tcW w:w="1455" w:type="dxa"/>
            <w:vAlign w:val="center"/>
          </w:tcPr>
          <w:p w14:paraId="6672CC40">
            <w:pPr>
              <w:spacing w:before="0" w:after="0" w:line="320" w:lineRule="exact"/>
              <w:jc w:val="left"/>
            </w:pPr>
            <w:r>
              <w:rPr>
                <w:rFonts w:ascii="Times New Roman" w:hAnsi="Times New Roman" w:eastAsia="宋体"/>
                <w:b w:val="0"/>
                <w:sz w:val="21"/>
              </w:rPr>
              <w:t>—</w:t>
            </w:r>
          </w:p>
        </w:tc>
        <w:tc>
          <w:tcPr>
            <w:tcW w:w="1455" w:type="dxa"/>
            <w:vAlign w:val="center"/>
          </w:tcPr>
          <w:p w14:paraId="669C462A">
            <w:pPr>
              <w:spacing w:before="0" w:after="0" w:line="320" w:lineRule="exact"/>
              <w:jc w:val="left"/>
            </w:pPr>
            <w:r>
              <w:rPr>
                <w:rFonts w:ascii="Times New Roman" w:hAnsi="Times New Roman" w:eastAsia="宋体"/>
                <w:b w:val="0"/>
                <w:sz w:val="21"/>
              </w:rPr>
              <w:t>—</w:t>
            </w:r>
          </w:p>
        </w:tc>
        <w:tc>
          <w:tcPr>
            <w:tcW w:w="1455" w:type="dxa"/>
            <w:vAlign w:val="center"/>
          </w:tcPr>
          <w:p w14:paraId="63EF6668">
            <w:pPr>
              <w:spacing w:before="0" w:after="0" w:line="320" w:lineRule="exact"/>
              <w:jc w:val="left"/>
            </w:pPr>
            <w:r>
              <w:rPr>
                <w:rFonts w:ascii="Times New Roman" w:hAnsi="Times New Roman" w:eastAsia="宋体"/>
                <w:b w:val="0"/>
                <w:sz w:val="21"/>
              </w:rPr>
              <w:t>—</w:t>
            </w:r>
          </w:p>
        </w:tc>
        <w:tc>
          <w:tcPr>
            <w:tcW w:w="1455" w:type="dxa"/>
            <w:vAlign w:val="center"/>
          </w:tcPr>
          <w:p w14:paraId="34718A62">
            <w:pPr>
              <w:spacing w:before="0" w:after="0" w:line="320" w:lineRule="exact"/>
              <w:jc w:val="left"/>
            </w:pPr>
            <w:r>
              <w:rPr>
                <w:rFonts w:ascii="Times New Roman" w:hAnsi="Times New Roman" w:eastAsia="宋体"/>
                <w:b w:val="0"/>
                <w:sz w:val="21"/>
              </w:rPr>
              <w:t>19</w:t>
            </w:r>
          </w:p>
        </w:tc>
        <w:tc>
          <w:tcPr>
            <w:tcW w:w="1455" w:type="dxa"/>
            <w:vAlign w:val="center"/>
          </w:tcPr>
          <w:p w14:paraId="2193F82D">
            <w:pPr>
              <w:spacing w:before="0" w:after="0" w:line="320" w:lineRule="exact"/>
              <w:jc w:val="left"/>
            </w:pPr>
            <w:r>
              <w:rPr>
                <w:rFonts w:ascii="Times New Roman" w:hAnsi="Times New Roman" w:eastAsia="宋体"/>
                <w:b w:val="0"/>
                <w:sz w:val="21"/>
              </w:rPr>
              <w:t>19</w:t>
            </w:r>
          </w:p>
        </w:tc>
      </w:tr>
      <w:tr w14:paraId="0F56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AC4CBF2">
            <w:pPr>
              <w:spacing w:before="0" w:after="0" w:line="320" w:lineRule="exact"/>
              <w:jc w:val="left"/>
            </w:pPr>
            <w:r>
              <w:rPr>
                <w:rFonts w:ascii="Times New Roman" w:hAnsi="Times New Roman" w:eastAsia="宋体"/>
                <w:b w:val="0"/>
                <w:sz w:val="21"/>
              </w:rPr>
              <w:t>圩市街区</w:t>
            </w:r>
          </w:p>
        </w:tc>
        <w:tc>
          <w:tcPr>
            <w:tcW w:w="1455" w:type="dxa"/>
            <w:vAlign w:val="center"/>
          </w:tcPr>
          <w:p w14:paraId="003FF4EE">
            <w:pPr>
              <w:spacing w:before="0" w:after="0" w:line="320" w:lineRule="exact"/>
              <w:jc w:val="left"/>
            </w:pPr>
            <w:r>
              <w:rPr>
                <w:rFonts w:ascii="Times New Roman" w:hAnsi="Times New Roman" w:eastAsia="宋体"/>
                <w:b w:val="0"/>
                <w:sz w:val="21"/>
              </w:rPr>
              <w:t>—</w:t>
            </w:r>
          </w:p>
        </w:tc>
        <w:tc>
          <w:tcPr>
            <w:tcW w:w="1455" w:type="dxa"/>
            <w:vAlign w:val="center"/>
          </w:tcPr>
          <w:p w14:paraId="1C02BB4F">
            <w:pPr>
              <w:spacing w:before="0" w:after="0" w:line="320" w:lineRule="exact"/>
              <w:jc w:val="left"/>
            </w:pPr>
            <w:r>
              <w:rPr>
                <w:rFonts w:ascii="Times New Roman" w:hAnsi="Times New Roman" w:eastAsia="宋体"/>
                <w:b w:val="0"/>
                <w:sz w:val="21"/>
              </w:rPr>
              <w:t>—</w:t>
            </w:r>
          </w:p>
        </w:tc>
        <w:tc>
          <w:tcPr>
            <w:tcW w:w="1455" w:type="dxa"/>
            <w:vAlign w:val="center"/>
          </w:tcPr>
          <w:p w14:paraId="6B87A091">
            <w:pPr>
              <w:spacing w:before="0" w:after="0" w:line="320" w:lineRule="exact"/>
              <w:jc w:val="left"/>
            </w:pPr>
            <w:r>
              <w:rPr>
                <w:rFonts w:ascii="Times New Roman" w:hAnsi="Times New Roman" w:eastAsia="宋体"/>
                <w:b w:val="0"/>
                <w:sz w:val="21"/>
              </w:rPr>
              <w:t>—</w:t>
            </w:r>
          </w:p>
        </w:tc>
        <w:tc>
          <w:tcPr>
            <w:tcW w:w="1455" w:type="dxa"/>
            <w:vAlign w:val="center"/>
          </w:tcPr>
          <w:p w14:paraId="172E9535">
            <w:pPr>
              <w:spacing w:before="0" w:after="0" w:line="320" w:lineRule="exact"/>
              <w:jc w:val="left"/>
            </w:pPr>
            <w:r>
              <w:rPr>
                <w:rFonts w:ascii="Times New Roman" w:hAnsi="Times New Roman" w:eastAsia="宋体"/>
                <w:b w:val="0"/>
                <w:sz w:val="21"/>
              </w:rPr>
              <w:t>18</w:t>
            </w:r>
          </w:p>
        </w:tc>
        <w:tc>
          <w:tcPr>
            <w:tcW w:w="1455" w:type="dxa"/>
            <w:vAlign w:val="center"/>
          </w:tcPr>
          <w:p w14:paraId="5187E271">
            <w:pPr>
              <w:spacing w:before="0" w:after="0" w:line="320" w:lineRule="exact"/>
              <w:jc w:val="left"/>
            </w:pPr>
            <w:r>
              <w:rPr>
                <w:rFonts w:ascii="Times New Roman" w:hAnsi="Times New Roman" w:eastAsia="宋体"/>
                <w:b w:val="0"/>
                <w:sz w:val="21"/>
              </w:rPr>
              <w:t>18</w:t>
            </w:r>
          </w:p>
        </w:tc>
      </w:tr>
      <w:tr w14:paraId="7E0B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46D4112C">
            <w:pPr>
              <w:spacing w:before="0" w:after="0" w:line="320" w:lineRule="exact"/>
              <w:jc w:val="left"/>
            </w:pPr>
            <w:r>
              <w:rPr>
                <w:rFonts w:ascii="Times New Roman" w:hAnsi="Times New Roman" w:eastAsia="宋体"/>
                <w:b w:val="0"/>
                <w:sz w:val="21"/>
              </w:rPr>
              <w:t>核心载体分析样本（用于指数计算）</w:t>
            </w:r>
          </w:p>
        </w:tc>
        <w:tc>
          <w:tcPr>
            <w:tcW w:w="1455" w:type="dxa"/>
            <w:vAlign w:val="center"/>
          </w:tcPr>
          <w:p w14:paraId="51C59FA0">
            <w:pPr>
              <w:spacing w:before="0" w:after="0" w:line="320" w:lineRule="exact"/>
              <w:jc w:val="left"/>
            </w:pPr>
            <w:r>
              <w:rPr>
                <w:rFonts w:ascii="Times New Roman" w:hAnsi="Times New Roman" w:eastAsia="宋体"/>
                <w:b w:val="0"/>
                <w:sz w:val="21"/>
              </w:rPr>
              <w:t>6</w:t>
            </w:r>
          </w:p>
        </w:tc>
        <w:tc>
          <w:tcPr>
            <w:tcW w:w="1455" w:type="dxa"/>
            <w:vAlign w:val="center"/>
          </w:tcPr>
          <w:p w14:paraId="44FDF984">
            <w:pPr>
              <w:spacing w:before="0" w:after="0" w:line="320" w:lineRule="exact"/>
              <w:jc w:val="left"/>
            </w:pPr>
            <w:r>
              <w:rPr>
                <w:rFonts w:ascii="Times New Roman" w:hAnsi="Times New Roman" w:eastAsia="宋体"/>
                <w:b w:val="0"/>
                <w:sz w:val="21"/>
              </w:rPr>
              <w:t>32</w:t>
            </w:r>
          </w:p>
        </w:tc>
        <w:tc>
          <w:tcPr>
            <w:tcW w:w="1455" w:type="dxa"/>
            <w:vAlign w:val="center"/>
          </w:tcPr>
          <w:p w14:paraId="34DFFB09">
            <w:pPr>
              <w:spacing w:before="0" w:after="0" w:line="320" w:lineRule="exact"/>
              <w:jc w:val="left"/>
            </w:pPr>
            <w:r>
              <w:rPr>
                <w:rFonts w:ascii="Times New Roman" w:hAnsi="Times New Roman" w:eastAsia="宋体"/>
                <w:b w:val="0"/>
                <w:sz w:val="21"/>
              </w:rPr>
              <w:t>74</w:t>
            </w:r>
          </w:p>
        </w:tc>
        <w:tc>
          <w:tcPr>
            <w:tcW w:w="1455" w:type="dxa"/>
            <w:vAlign w:val="center"/>
          </w:tcPr>
          <w:p w14:paraId="47BB2530">
            <w:pPr>
              <w:spacing w:before="0" w:after="0" w:line="320" w:lineRule="exact"/>
              <w:jc w:val="left"/>
            </w:pPr>
            <w:r>
              <w:rPr>
                <w:rFonts w:ascii="Times New Roman" w:hAnsi="Times New Roman" w:eastAsia="宋体"/>
                <w:b w:val="0"/>
                <w:sz w:val="21"/>
              </w:rPr>
              <w:t>53</w:t>
            </w:r>
          </w:p>
        </w:tc>
        <w:tc>
          <w:tcPr>
            <w:tcW w:w="1455" w:type="dxa"/>
            <w:vAlign w:val="center"/>
          </w:tcPr>
          <w:p w14:paraId="5D16DA74">
            <w:pPr>
              <w:spacing w:before="0" w:after="0" w:line="320" w:lineRule="exact"/>
              <w:jc w:val="left"/>
            </w:pPr>
            <w:r>
              <w:rPr>
                <w:rFonts w:ascii="Times New Roman" w:hAnsi="Times New Roman" w:eastAsia="宋体"/>
                <w:b w:val="0"/>
                <w:sz w:val="21"/>
              </w:rPr>
              <w:t>165</w:t>
            </w:r>
          </w:p>
        </w:tc>
      </w:tr>
    </w:tbl>
    <w:p w14:paraId="2E47D952">
      <w:pPr>
        <w:spacing w:before="40" w:after="120" w:line="400" w:lineRule="exact"/>
        <w:jc w:val="center"/>
      </w:pPr>
      <w:r>
        <w:rPr>
          <w:rFonts w:ascii="Times New Roman" w:hAnsi="Times New Roman" w:eastAsia="宋体"/>
          <w:b/>
          <w:sz w:val="21"/>
        </w:rPr>
        <w:t>表 3.1　南海区主要文旅资源家底（按类别与层级）</w:t>
      </w:r>
    </w:p>
    <w:p w14:paraId="657FF7B3">
      <w:pPr>
        <w:spacing w:before="0" w:after="0" w:line="400" w:lineRule="exact"/>
        <w:ind w:firstLine="480"/>
        <w:jc w:val="left"/>
      </w:pPr>
      <w:r>
        <w:rPr>
          <w:rFonts w:ascii="Times New Roman" w:hAnsi="Times New Roman" w:eastAsia="宋体"/>
          <w:b w:val="0"/>
          <w:sz w:val="24"/>
        </w:rPr>
        <w:t>表 3.1 汇总了本研究涉及的南海区主要文旅资源家底。需要说明的是，表中“核心载体分析样本”是后续指数计算使用的分析口径，并不等同于全部资源名录的简单相加。它的作用是为文化记忆、官方认证与旅游供给之间的量化对照提供统一对象。</w:t>
      </w:r>
    </w:p>
    <w:p w14:paraId="3AFEB1D5">
      <w:pPr>
        <w:spacing w:before="0" w:after="0" w:line="400" w:lineRule="exact"/>
        <w:ind w:firstLine="480"/>
        <w:jc w:val="left"/>
      </w:pPr>
      <w:r>
        <w:rPr>
          <w:rFonts w:ascii="Times New Roman" w:hAnsi="Times New Roman" w:eastAsia="宋体"/>
          <w:b w:val="0"/>
          <w:sz w:val="24"/>
        </w:rPr>
        <w:t>数据来源：南海区文化广电旅游体育局公开名录、各级人民政府公布的文物保护单位名单、住建系统历史文化名镇名村和传统村落名录，以及本研究整理的文化载体清单。注：本研究整理的文化锚点总库为 219 条，含 129 条物质 / 空间类载体与 90 项非遗；进入指数计算的核心载体分析样本为 165 条，系 129 条物质 / 空间类载体与 36 项具备明确空间锚点的非遗项目合并后形成。“区级 / 地方清单”列包含区级非遗，以及未设行政保护等级但纳入本研究的文化景观、圩市街区等地方清单型载体，最终样本清单见附录 B。</w:t>
      </w:r>
    </w:p>
    <w:p w14:paraId="7151927C">
      <w:pPr>
        <w:spacing w:before="240" w:after="120" w:line="400" w:lineRule="exact"/>
        <w:jc w:val="left"/>
        <w:outlineLvl w:val="1"/>
      </w:pPr>
      <w:bookmarkStart w:id="27" w:name="_Toc5221"/>
      <w:r>
        <w:rPr>
          <w:rFonts w:ascii="Times New Roman" w:hAnsi="Times New Roman" w:eastAsia="黑体"/>
          <w:b/>
          <w:sz w:val="28"/>
        </w:rPr>
        <w:t>3.2 数据来源与处理</w:t>
      </w:r>
      <w:bookmarkEnd w:id="27"/>
    </w:p>
    <w:p w14:paraId="019E48AC">
      <w:pPr>
        <w:spacing w:before="0" w:after="0" w:line="400" w:lineRule="exact"/>
        <w:ind w:firstLine="480"/>
        <w:jc w:val="left"/>
      </w:pPr>
      <w:r>
        <w:rPr>
          <w:rFonts w:ascii="Times New Roman" w:hAnsi="Times New Roman" w:eastAsia="宋体"/>
          <w:b w:val="0"/>
          <w:sz w:val="24"/>
        </w:rPr>
        <w:t>本研究的数据体系由典籍文献、旅游 POI、用户评论、非遗名录和政府普查文化载体五部分构成。数据采集与清洗流程如图 3.1 所示。</w:t>
      </w:r>
    </w:p>
    <w:p w14:paraId="03D60C16">
      <w:pPr>
        <w:spacing w:before="60" w:after="40" w:line="400" w:lineRule="exact"/>
        <w:jc w:val="center"/>
      </w:pPr>
      <w:r>
        <w:drawing>
          <wp:inline distT="0" distB="0" distL="114300" distR="114300">
            <wp:extent cx="5471795" cy="3079115"/>
            <wp:effectExtent l="0" t="0" r="146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079636"/>
                    </a:xfrm>
                    <a:prstGeom prst="rect">
                      <a:avLst/>
                    </a:prstGeom>
                  </pic:spPr>
                </pic:pic>
              </a:graphicData>
            </a:graphic>
          </wp:inline>
        </w:drawing>
      </w:r>
    </w:p>
    <w:p w14:paraId="3F261FAE">
      <w:pPr>
        <w:spacing w:before="40" w:after="120" w:line="400" w:lineRule="exact"/>
        <w:jc w:val="center"/>
      </w:pPr>
      <w:r>
        <w:rPr>
          <w:rFonts w:ascii="Times New Roman" w:hAnsi="Times New Roman" w:eastAsia="宋体"/>
          <w:b/>
          <w:sz w:val="21"/>
        </w:rPr>
        <w:t>图 3.1　南海区文旅资源的多源数据采集与清洗流程</w:t>
      </w:r>
    </w:p>
    <w:p w14:paraId="2FBAE171">
      <w:pPr>
        <w:spacing w:before="240" w:after="120" w:line="400" w:lineRule="exact"/>
        <w:jc w:val="left"/>
        <w:outlineLvl w:val="2"/>
      </w:pPr>
      <w:bookmarkStart w:id="28" w:name="_Toc28023"/>
      <w:r>
        <w:rPr>
          <w:rFonts w:ascii="Times New Roman" w:hAnsi="Times New Roman" w:eastAsia="黑体"/>
          <w:b/>
          <w:sz w:val="26"/>
        </w:rPr>
        <w:t>3.2.1 典籍文献数据</w:t>
      </w:r>
      <w:bookmarkEnd w:id="28"/>
    </w:p>
    <w:p w14:paraId="205B1A5F">
      <w:pPr>
        <w:spacing w:before="0" w:after="0" w:line="400" w:lineRule="exact"/>
        <w:ind w:firstLine="480"/>
        <w:jc w:val="left"/>
      </w:pPr>
      <w:r>
        <w:rPr>
          <w:rFonts w:ascii="Times New Roman" w:hAnsi="Times New Roman" w:eastAsia="宋体"/>
          <w:b w:val="0"/>
          <w:sz w:val="24"/>
        </w:rPr>
        <w:t>典籍文献数据以《南海县志》《佛山历史人物录》《南海文史资料》等地方文献为基础，涵盖县志类、文史资料类、人物录类与专题志类。原始材料多为扫描文本或电子文档，本研究先进行文字识别与格式整理，再进行人工校对和分篇标准化处理。最终整理得到 53 份标准化语料，合计 8,991,098 个字符，约 899 万字。</w:t>
      </w:r>
    </w:p>
    <w:p w14:paraId="56B4F99E">
      <w:pPr>
        <w:spacing w:before="0" w:after="0" w:line="400" w:lineRule="exact"/>
        <w:ind w:firstLine="480"/>
        <w:jc w:val="left"/>
      </w:pPr>
      <w:r>
        <w:rPr>
          <w:rFonts w:ascii="Times New Roman" w:hAnsi="Times New Roman" w:eastAsia="宋体"/>
          <w:b w:val="0"/>
          <w:sz w:val="24"/>
        </w:rPr>
        <w:t>这一部分数据主要服务于文化记忆侧的构建。也就是说，典籍并不直接代表现实旅游供给，而是用于识别南海区历史人物、地名空间、非遗技艺、文物建筑、地方事件和文献记忆等文化要素，并在后续章节中转化为知识图谱和文化记忆指数。</w:t>
      </w:r>
    </w:p>
    <w:p w14:paraId="0B3778AC">
      <w:pPr>
        <w:spacing w:before="240" w:after="120" w:line="400" w:lineRule="exact"/>
        <w:jc w:val="left"/>
        <w:outlineLvl w:val="2"/>
      </w:pPr>
      <w:bookmarkStart w:id="29" w:name="_Toc132"/>
      <w:r>
        <w:rPr>
          <w:rFonts w:ascii="Times New Roman" w:hAnsi="Times New Roman" w:eastAsia="黑体"/>
          <w:b/>
          <w:sz w:val="26"/>
        </w:rPr>
        <w:t>3.2.2 旅游 POI 数据</w:t>
      </w:r>
      <w:bookmarkEnd w:id="29"/>
    </w:p>
    <w:p w14:paraId="7EC49478">
      <w:pPr>
        <w:spacing w:before="0" w:after="0" w:line="400" w:lineRule="exact"/>
        <w:ind w:firstLine="480"/>
        <w:jc w:val="left"/>
      </w:pPr>
      <w:r>
        <w:rPr>
          <w:rFonts w:ascii="Times New Roman" w:hAnsi="Times New Roman" w:eastAsia="宋体"/>
          <w:b w:val="0"/>
          <w:sz w:val="24"/>
        </w:rPr>
        <w:t>旅游 POI 数据来自高德地图、百度地图和佛山市公开空间数据三类来源。采集完成后，本研究对三源数据进行去重、坐标统一、镇街归属判断和类目校正，形成 13,512 条 POI 主库。分类口径覆盖公园绿地、自然景观、文化场馆、人文古迹、宗教场所、非遗体验、休闲娱乐、体育设施、教育研学、特色街区及其他共 11 大类。</w:t>
      </w:r>
    </w:p>
    <w:p w14:paraId="3C2A5DC9">
      <w:pPr>
        <w:spacing w:before="0" w:after="0" w:line="400" w:lineRule="exact"/>
        <w:ind w:firstLine="480"/>
        <w:jc w:val="left"/>
      </w:pPr>
      <w:r>
        <w:rPr>
          <w:rFonts w:ascii="Times New Roman" w:hAnsi="Times New Roman" w:eastAsia="宋体"/>
          <w:b w:val="0"/>
          <w:sz w:val="24"/>
        </w:rPr>
        <w:t>POI 数据主要用于表征现实旅游供给。在后续分析中，13,512 条 POI 一方面用于描述南海区旅游产品的总体结构，另一方面用于与 165 条文化载体样本进行 500 m 范围匹配。其中，166 条 POI 由关键词匹配带有非遗标签，1,074 条 POI 在 500 m 范围内挂接了物质文化载体锚点。</w:t>
      </w:r>
    </w:p>
    <w:p w14:paraId="492D301E">
      <w:pPr>
        <w:spacing w:before="240" w:after="120" w:line="400" w:lineRule="exact"/>
        <w:jc w:val="left"/>
        <w:outlineLvl w:val="2"/>
      </w:pPr>
      <w:bookmarkStart w:id="30" w:name="_Toc28546"/>
      <w:r>
        <w:rPr>
          <w:rFonts w:ascii="Times New Roman" w:hAnsi="Times New Roman" w:eastAsia="黑体"/>
          <w:b/>
          <w:sz w:val="26"/>
        </w:rPr>
        <w:t>3.2.3 用户评论数据</w:t>
      </w:r>
      <w:bookmarkEnd w:id="30"/>
    </w:p>
    <w:p w14:paraId="06C4E931">
      <w:pPr>
        <w:spacing w:before="0" w:after="0" w:line="400" w:lineRule="exact"/>
        <w:ind w:firstLine="480"/>
        <w:jc w:val="left"/>
      </w:pPr>
      <w:r>
        <w:rPr>
          <w:rFonts w:ascii="Times New Roman" w:hAnsi="Times New Roman" w:eastAsia="宋体"/>
          <w:b w:val="0"/>
          <w:sz w:val="24"/>
        </w:rPr>
        <w:t>用户评论数据来自携程、高德、去哪儿、马蜂窝四个平台。平台评论总量为 16,391 条，其中可展开文本评论为 15,474 条，聚合至 3,879 个景点名称。为了将评论数据纳入空间分析，本研究建立景点名称与南海区 POI 的匹配关系，匹配过程包括精确匹配、关键词匹配、同义词匹配、地理邻近匹配与模糊匹配五个步骤。</w:t>
      </w:r>
    </w:p>
    <w:p w14:paraId="0F17106F">
      <w:pPr>
        <w:spacing w:before="0" w:after="0" w:line="400" w:lineRule="exact"/>
        <w:ind w:firstLine="480"/>
        <w:jc w:val="left"/>
      </w:pPr>
      <w:r>
        <w:rPr>
          <w:rFonts w:ascii="Times New Roman" w:hAnsi="Times New Roman" w:eastAsia="宋体"/>
          <w:b w:val="0"/>
          <w:sz w:val="24"/>
        </w:rPr>
        <w:t>评论数据主要用于补充旅游热度和游客体验侧的信息。需要说明的是，部分平台记录只有评分或摘要，平台汇总表与文本匹配明细之间存在少量口径差异。因此，后续分析中对评论数量、文本内容和景点匹配关系分别使用对应口径，不将所有评论都简单视为可展开文本。</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10"/>
        <w:gridCol w:w="2910"/>
        <w:gridCol w:w="2910"/>
      </w:tblGrid>
      <w:tr w14:paraId="2C4B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10" w:type="dxa"/>
            <w:vAlign w:val="center"/>
          </w:tcPr>
          <w:p w14:paraId="4AED4EC5">
            <w:pPr>
              <w:spacing w:before="0" w:after="0" w:line="320" w:lineRule="exact"/>
              <w:jc w:val="center"/>
            </w:pPr>
            <w:r>
              <w:rPr>
                <w:rFonts w:ascii="Times New Roman" w:hAnsi="Times New Roman" w:eastAsia="宋体"/>
                <w:b/>
                <w:sz w:val="21"/>
              </w:rPr>
              <w:t>平台</w:t>
            </w:r>
          </w:p>
        </w:tc>
        <w:tc>
          <w:tcPr>
            <w:tcW w:w="2910" w:type="dxa"/>
            <w:vAlign w:val="center"/>
          </w:tcPr>
          <w:p w14:paraId="4C8E7B01">
            <w:pPr>
              <w:spacing w:before="0" w:after="0" w:line="320" w:lineRule="exact"/>
              <w:jc w:val="center"/>
            </w:pPr>
            <w:r>
              <w:rPr>
                <w:rFonts w:ascii="Times New Roman" w:hAnsi="Times New Roman" w:eastAsia="宋体"/>
                <w:b/>
                <w:sz w:val="21"/>
              </w:rPr>
              <w:t>覆盖景点名数</w:t>
            </w:r>
          </w:p>
        </w:tc>
        <w:tc>
          <w:tcPr>
            <w:tcW w:w="2910" w:type="dxa"/>
            <w:vAlign w:val="center"/>
          </w:tcPr>
          <w:p w14:paraId="13CF71A8">
            <w:pPr>
              <w:spacing w:before="0" w:after="0" w:line="320" w:lineRule="exact"/>
              <w:jc w:val="center"/>
            </w:pPr>
            <w:r>
              <w:rPr>
                <w:rFonts w:ascii="Times New Roman" w:hAnsi="Times New Roman" w:eastAsia="宋体"/>
                <w:b/>
                <w:sz w:val="21"/>
              </w:rPr>
              <w:t>占比</w:t>
            </w:r>
          </w:p>
        </w:tc>
      </w:tr>
      <w:tr w14:paraId="579F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4CDEA5A8">
            <w:pPr>
              <w:spacing w:before="0" w:after="0" w:line="320" w:lineRule="exact"/>
              <w:jc w:val="left"/>
            </w:pPr>
            <w:r>
              <w:rPr>
                <w:rFonts w:ascii="Times New Roman" w:hAnsi="Times New Roman" w:eastAsia="宋体"/>
                <w:b w:val="0"/>
                <w:sz w:val="21"/>
              </w:rPr>
              <w:t>携程</w:t>
            </w:r>
          </w:p>
        </w:tc>
        <w:tc>
          <w:tcPr>
            <w:tcW w:w="2910" w:type="dxa"/>
            <w:vAlign w:val="center"/>
          </w:tcPr>
          <w:p w14:paraId="2F1469B9">
            <w:pPr>
              <w:spacing w:before="0" w:after="0" w:line="320" w:lineRule="exact"/>
              <w:jc w:val="left"/>
            </w:pPr>
            <w:r>
              <w:rPr>
                <w:rFonts w:ascii="Times New Roman" w:hAnsi="Times New Roman" w:eastAsia="宋体"/>
                <w:b w:val="0"/>
                <w:sz w:val="21"/>
              </w:rPr>
              <w:t>2,967</w:t>
            </w:r>
          </w:p>
        </w:tc>
        <w:tc>
          <w:tcPr>
            <w:tcW w:w="2910" w:type="dxa"/>
            <w:vAlign w:val="center"/>
          </w:tcPr>
          <w:p w14:paraId="4A2A371B">
            <w:pPr>
              <w:spacing w:before="0" w:after="0" w:line="320" w:lineRule="exact"/>
              <w:jc w:val="left"/>
            </w:pPr>
            <w:r>
              <w:rPr>
                <w:rFonts w:ascii="Times New Roman" w:hAnsi="Times New Roman" w:eastAsia="宋体"/>
                <w:b w:val="0"/>
                <w:sz w:val="21"/>
              </w:rPr>
              <w:t>76.5 %</w:t>
            </w:r>
          </w:p>
        </w:tc>
      </w:tr>
      <w:tr w14:paraId="43B5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33C207D5">
            <w:pPr>
              <w:spacing w:before="0" w:after="0" w:line="320" w:lineRule="exact"/>
              <w:jc w:val="left"/>
            </w:pPr>
            <w:r>
              <w:rPr>
                <w:rFonts w:ascii="Times New Roman" w:hAnsi="Times New Roman" w:eastAsia="宋体"/>
                <w:b w:val="0"/>
                <w:sz w:val="21"/>
              </w:rPr>
              <w:t>高德</w:t>
            </w:r>
          </w:p>
        </w:tc>
        <w:tc>
          <w:tcPr>
            <w:tcW w:w="2910" w:type="dxa"/>
            <w:vAlign w:val="center"/>
          </w:tcPr>
          <w:p w14:paraId="27973A3A">
            <w:pPr>
              <w:spacing w:before="0" w:after="0" w:line="320" w:lineRule="exact"/>
              <w:jc w:val="left"/>
            </w:pPr>
            <w:r>
              <w:rPr>
                <w:rFonts w:ascii="Times New Roman" w:hAnsi="Times New Roman" w:eastAsia="宋体"/>
                <w:b w:val="0"/>
                <w:sz w:val="21"/>
              </w:rPr>
              <w:t>865</w:t>
            </w:r>
          </w:p>
        </w:tc>
        <w:tc>
          <w:tcPr>
            <w:tcW w:w="2910" w:type="dxa"/>
            <w:vAlign w:val="center"/>
          </w:tcPr>
          <w:p w14:paraId="4A2B3C78">
            <w:pPr>
              <w:spacing w:before="0" w:after="0" w:line="320" w:lineRule="exact"/>
              <w:jc w:val="left"/>
            </w:pPr>
            <w:r>
              <w:rPr>
                <w:rFonts w:ascii="Times New Roman" w:hAnsi="Times New Roman" w:eastAsia="宋体"/>
                <w:b w:val="0"/>
                <w:sz w:val="21"/>
              </w:rPr>
              <w:t>22.3 %</w:t>
            </w:r>
          </w:p>
        </w:tc>
      </w:tr>
      <w:tr w14:paraId="28CE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0F6D7138">
            <w:pPr>
              <w:spacing w:before="0" w:after="0" w:line="320" w:lineRule="exact"/>
              <w:jc w:val="left"/>
            </w:pPr>
            <w:r>
              <w:rPr>
                <w:rFonts w:ascii="Times New Roman" w:hAnsi="Times New Roman" w:eastAsia="宋体"/>
                <w:b w:val="0"/>
                <w:sz w:val="21"/>
              </w:rPr>
              <w:t>去哪儿</w:t>
            </w:r>
          </w:p>
        </w:tc>
        <w:tc>
          <w:tcPr>
            <w:tcW w:w="2910" w:type="dxa"/>
            <w:vAlign w:val="center"/>
          </w:tcPr>
          <w:p w14:paraId="2035FC93">
            <w:pPr>
              <w:spacing w:before="0" w:after="0" w:line="320" w:lineRule="exact"/>
              <w:jc w:val="left"/>
            </w:pPr>
            <w:r>
              <w:rPr>
                <w:rFonts w:ascii="Times New Roman" w:hAnsi="Times New Roman" w:eastAsia="宋体"/>
                <w:b w:val="0"/>
                <w:sz w:val="21"/>
              </w:rPr>
              <w:t>171</w:t>
            </w:r>
          </w:p>
        </w:tc>
        <w:tc>
          <w:tcPr>
            <w:tcW w:w="2910" w:type="dxa"/>
            <w:vAlign w:val="center"/>
          </w:tcPr>
          <w:p w14:paraId="2C8C345A">
            <w:pPr>
              <w:spacing w:before="0" w:after="0" w:line="320" w:lineRule="exact"/>
              <w:jc w:val="left"/>
            </w:pPr>
            <w:r>
              <w:rPr>
                <w:rFonts w:ascii="Times New Roman" w:hAnsi="Times New Roman" w:eastAsia="宋体"/>
                <w:b w:val="0"/>
                <w:sz w:val="21"/>
              </w:rPr>
              <w:t>4.4 %</w:t>
            </w:r>
          </w:p>
        </w:tc>
      </w:tr>
      <w:tr w14:paraId="2F63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474034EE">
            <w:pPr>
              <w:spacing w:before="0" w:after="0" w:line="320" w:lineRule="exact"/>
              <w:jc w:val="left"/>
            </w:pPr>
            <w:r>
              <w:rPr>
                <w:rFonts w:ascii="Times New Roman" w:hAnsi="Times New Roman" w:eastAsia="宋体"/>
                <w:b w:val="0"/>
                <w:sz w:val="21"/>
              </w:rPr>
              <w:t>马蜂窝</w:t>
            </w:r>
          </w:p>
        </w:tc>
        <w:tc>
          <w:tcPr>
            <w:tcW w:w="2910" w:type="dxa"/>
            <w:vAlign w:val="center"/>
          </w:tcPr>
          <w:p w14:paraId="092FD888">
            <w:pPr>
              <w:spacing w:before="0" w:after="0" w:line="320" w:lineRule="exact"/>
              <w:jc w:val="left"/>
            </w:pPr>
            <w:r>
              <w:rPr>
                <w:rFonts w:ascii="Times New Roman" w:hAnsi="Times New Roman" w:eastAsia="宋体"/>
                <w:b w:val="0"/>
                <w:sz w:val="21"/>
              </w:rPr>
              <w:t>13</w:t>
            </w:r>
          </w:p>
        </w:tc>
        <w:tc>
          <w:tcPr>
            <w:tcW w:w="2910" w:type="dxa"/>
            <w:vAlign w:val="center"/>
          </w:tcPr>
          <w:p w14:paraId="2CA09769">
            <w:pPr>
              <w:spacing w:before="0" w:after="0" w:line="320" w:lineRule="exact"/>
              <w:jc w:val="left"/>
            </w:pPr>
            <w:r>
              <w:rPr>
                <w:rFonts w:ascii="Times New Roman" w:hAnsi="Times New Roman" w:eastAsia="宋体"/>
                <w:b w:val="0"/>
                <w:sz w:val="21"/>
              </w:rPr>
              <w:t>0.3 %</w:t>
            </w:r>
          </w:p>
        </w:tc>
      </w:tr>
      <w:tr w14:paraId="7ED5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067D28C8">
            <w:pPr>
              <w:spacing w:before="0" w:after="0" w:line="320" w:lineRule="exact"/>
              <w:jc w:val="left"/>
            </w:pPr>
            <w:r>
              <w:rPr>
                <w:rFonts w:ascii="Times New Roman" w:hAnsi="Times New Roman" w:eastAsia="宋体"/>
                <w:b w:val="0"/>
                <w:sz w:val="21"/>
              </w:rPr>
              <w:t>合计（去重后聚合）</w:t>
            </w:r>
          </w:p>
        </w:tc>
        <w:tc>
          <w:tcPr>
            <w:tcW w:w="2910" w:type="dxa"/>
            <w:vAlign w:val="center"/>
          </w:tcPr>
          <w:p w14:paraId="01ACFBE9">
            <w:pPr>
              <w:spacing w:before="0" w:after="0" w:line="320" w:lineRule="exact"/>
              <w:jc w:val="left"/>
            </w:pPr>
            <w:r>
              <w:rPr>
                <w:rFonts w:ascii="Times New Roman" w:hAnsi="Times New Roman" w:eastAsia="宋体"/>
                <w:b w:val="0"/>
                <w:sz w:val="21"/>
              </w:rPr>
              <w:t>3,879</w:t>
            </w:r>
          </w:p>
        </w:tc>
        <w:tc>
          <w:tcPr>
            <w:tcW w:w="2910" w:type="dxa"/>
            <w:vAlign w:val="center"/>
          </w:tcPr>
          <w:p w14:paraId="48EA0862">
            <w:pPr>
              <w:spacing w:before="0" w:after="0" w:line="320" w:lineRule="exact"/>
              <w:jc w:val="left"/>
            </w:pPr>
            <w:r>
              <w:rPr>
                <w:rFonts w:ascii="Times New Roman" w:hAnsi="Times New Roman" w:eastAsia="宋体"/>
                <w:b w:val="0"/>
                <w:sz w:val="21"/>
              </w:rPr>
              <w:t>—</w:t>
            </w:r>
          </w:p>
        </w:tc>
      </w:tr>
    </w:tbl>
    <w:p w14:paraId="551D7111">
      <w:pPr>
        <w:spacing w:before="40" w:after="120" w:line="400" w:lineRule="exact"/>
        <w:jc w:val="center"/>
      </w:pPr>
      <w:r>
        <w:rPr>
          <w:rFonts w:ascii="Times New Roman" w:hAnsi="Times New Roman" w:eastAsia="宋体"/>
          <w:b/>
          <w:sz w:val="21"/>
        </w:rPr>
        <w:t>表 3.2　评论平台来源与覆盖构成</w:t>
      </w:r>
    </w:p>
    <w:p w14:paraId="46FA24D0">
      <w:pPr>
        <w:spacing w:before="0" w:after="0" w:line="400" w:lineRule="exact"/>
        <w:ind w:firstLine="480"/>
        <w:jc w:val="left"/>
      </w:pPr>
      <w:r>
        <w:rPr>
          <w:rFonts w:ascii="Times New Roman" w:hAnsi="Times New Roman" w:eastAsia="宋体"/>
          <w:b w:val="0"/>
          <w:sz w:val="24"/>
        </w:rPr>
        <w:t>*说明：单个景点可能被多个平台覆盖，故表中比例和不为 100%。*</w:t>
      </w:r>
    </w:p>
    <w:p w14:paraId="071EC26C">
      <w:pPr>
        <w:spacing w:before="240" w:after="120" w:line="400" w:lineRule="exact"/>
        <w:jc w:val="left"/>
        <w:outlineLvl w:val="2"/>
      </w:pPr>
      <w:bookmarkStart w:id="31" w:name="_Toc24908"/>
      <w:r>
        <w:rPr>
          <w:rFonts w:ascii="Times New Roman" w:hAnsi="Times New Roman" w:eastAsia="黑体"/>
          <w:b/>
          <w:sz w:val="26"/>
        </w:rPr>
        <w:t>3.2.4 非遗名录数据</w:t>
      </w:r>
      <w:bookmarkEnd w:id="31"/>
    </w:p>
    <w:p w14:paraId="2F41FA9F">
      <w:pPr>
        <w:spacing w:before="0" w:after="0" w:line="400" w:lineRule="exact"/>
        <w:ind w:firstLine="480"/>
        <w:jc w:val="left"/>
      </w:pPr>
      <w:r>
        <w:rPr>
          <w:rFonts w:ascii="Times New Roman" w:hAnsi="Times New Roman" w:eastAsia="宋体"/>
          <w:b w:val="0"/>
          <w:sz w:val="24"/>
        </w:rPr>
        <w:t>非遗名录数据以南海区 90 项非物质文化遗产名录为依据。按等级看，全量非遗包括国家级 2 项、省级 14 项、市级 26 项、区级 48 项。需要说明的是，藤编项目在大沥、里水均有传承和分布线索，本文按唯一项目计为 1 项；涉及镇街统计时，则按覆盖关系说明其跨镇属性。由于非遗项目的空间属性差异较大，本文根据空间锚点的可得性，将 90 项非遗进一步分为两类：一类是有明确空间锚点的项目，如传习所、博物馆、村落、训练基地等，共 36 项，纳入核心桥梁；另一类主要依靠传承人登记地或行政归属地识别，共 54 项，作为文化记忆侧的软性加权项，不直接与 POI 做一一对应。</w:t>
      </w:r>
    </w:p>
    <w:p w14:paraId="2706FFA3">
      <w:pPr>
        <w:spacing w:before="240" w:after="120" w:line="400" w:lineRule="exact"/>
        <w:jc w:val="left"/>
        <w:outlineLvl w:val="2"/>
      </w:pPr>
      <w:bookmarkStart w:id="32" w:name="_Toc27153"/>
      <w:r>
        <w:rPr>
          <w:rFonts w:ascii="Times New Roman" w:hAnsi="Times New Roman" w:eastAsia="黑体"/>
          <w:b/>
          <w:sz w:val="26"/>
        </w:rPr>
        <w:t>3.2.5 政府普查文化载体（核心桥梁清单）</w:t>
      </w:r>
      <w:bookmarkEnd w:id="32"/>
    </w:p>
    <w:p w14:paraId="3F035916">
      <w:pPr>
        <w:spacing w:before="0" w:after="0" w:line="400" w:lineRule="exact"/>
        <w:ind w:firstLine="480"/>
        <w:jc w:val="left"/>
      </w:pPr>
      <w:r>
        <w:rPr>
          <w:rFonts w:ascii="Times New Roman" w:hAnsi="Times New Roman" w:eastAsia="宋体"/>
          <w:b w:val="0"/>
          <w:sz w:val="24"/>
        </w:rPr>
        <w:t>为建立文化侧与旅游侧之间的对照桥梁，本文进一步整理政府普查文化载体和官方认定资源，形成文化锚点总库。总库共 219 条记录，包含 129 条物质 / 空间类文化载体与 90 项非遗。进入指数计算的分析样本为 165 条：129 条物质 / 空间类载体加上 36 条具备明确空间锚点的非遗项目。其余 54 项非遗作为软性注入因素进入讨论，不直接参与 500 m POI 匹配。</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10"/>
        <w:gridCol w:w="2910"/>
        <w:gridCol w:w="2910"/>
      </w:tblGrid>
      <w:tr w14:paraId="003A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331DD3A8">
            <w:pPr>
              <w:spacing w:before="0" w:after="0" w:line="320" w:lineRule="exact"/>
              <w:jc w:val="center"/>
            </w:pPr>
            <w:r>
              <w:rPr>
                <w:rFonts w:ascii="Times New Roman" w:hAnsi="Times New Roman" w:eastAsia="宋体"/>
                <w:b/>
                <w:sz w:val="21"/>
              </w:rPr>
              <w:t>类型</w:t>
            </w:r>
          </w:p>
        </w:tc>
        <w:tc>
          <w:tcPr>
            <w:tcW w:w="2910" w:type="dxa"/>
            <w:vAlign w:val="center"/>
          </w:tcPr>
          <w:p w14:paraId="764AF953">
            <w:pPr>
              <w:spacing w:before="0" w:after="0" w:line="320" w:lineRule="exact"/>
              <w:jc w:val="center"/>
            </w:pPr>
            <w:r>
              <w:rPr>
                <w:rFonts w:ascii="Times New Roman" w:hAnsi="Times New Roman" w:eastAsia="宋体"/>
                <w:b/>
                <w:sz w:val="21"/>
              </w:rPr>
              <w:t>数量</w:t>
            </w:r>
          </w:p>
        </w:tc>
        <w:tc>
          <w:tcPr>
            <w:tcW w:w="2910" w:type="dxa"/>
            <w:vAlign w:val="center"/>
          </w:tcPr>
          <w:p w14:paraId="2FCC18E0">
            <w:pPr>
              <w:spacing w:before="0" w:after="0" w:line="320" w:lineRule="exact"/>
              <w:jc w:val="center"/>
            </w:pPr>
            <w:r>
              <w:rPr>
                <w:rFonts w:ascii="Times New Roman" w:hAnsi="Times New Roman" w:eastAsia="宋体"/>
                <w:b/>
                <w:sz w:val="21"/>
              </w:rPr>
              <w:t>占比</w:t>
            </w:r>
          </w:p>
        </w:tc>
      </w:tr>
      <w:tr w14:paraId="20D1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476E2111">
            <w:pPr>
              <w:spacing w:before="0" w:after="0" w:line="320" w:lineRule="exact"/>
              <w:jc w:val="left"/>
            </w:pPr>
            <w:r>
              <w:rPr>
                <w:rFonts w:ascii="Times New Roman" w:hAnsi="Times New Roman" w:eastAsia="宋体"/>
                <w:b w:val="0"/>
                <w:sz w:val="21"/>
              </w:rPr>
              <w:t>不可移动文物保护单位 / 空间锚点</w:t>
            </w:r>
          </w:p>
        </w:tc>
        <w:tc>
          <w:tcPr>
            <w:tcW w:w="2910" w:type="dxa"/>
            <w:vAlign w:val="center"/>
          </w:tcPr>
          <w:p w14:paraId="174D8EC9">
            <w:pPr>
              <w:spacing w:before="0" w:after="0" w:line="320" w:lineRule="exact"/>
              <w:jc w:val="left"/>
            </w:pPr>
            <w:r>
              <w:rPr>
                <w:rFonts w:ascii="Times New Roman" w:hAnsi="Times New Roman" w:eastAsia="宋体"/>
                <w:b w:val="0"/>
                <w:sz w:val="21"/>
              </w:rPr>
              <w:t>80</w:t>
            </w:r>
          </w:p>
        </w:tc>
        <w:tc>
          <w:tcPr>
            <w:tcW w:w="2910" w:type="dxa"/>
            <w:vAlign w:val="center"/>
          </w:tcPr>
          <w:p w14:paraId="76250A91">
            <w:pPr>
              <w:spacing w:before="0" w:after="0" w:line="320" w:lineRule="exact"/>
              <w:jc w:val="left"/>
            </w:pPr>
            <w:r>
              <w:rPr>
                <w:rFonts w:ascii="Times New Roman" w:hAnsi="Times New Roman" w:eastAsia="宋体"/>
                <w:b w:val="0"/>
                <w:sz w:val="21"/>
              </w:rPr>
              <w:t>48.5 %</w:t>
            </w:r>
          </w:p>
        </w:tc>
      </w:tr>
      <w:tr w14:paraId="1B353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092DC6C4">
            <w:pPr>
              <w:spacing w:before="0" w:after="0" w:line="320" w:lineRule="exact"/>
              <w:jc w:val="left"/>
            </w:pPr>
            <w:r>
              <w:rPr>
                <w:rFonts w:ascii="Times New Roman" w:hAnsi="Times New Roman" w:eastAsia="宋体"/>
                <w:b w:val="0"/>
                <w:sz w:val="21"/>
              </w:rPr>
              <w:t>非遗空间锚点</w:t>
            </w:r>
          </w:p>
        </w:tc>
        <w:tc>
          <w:tcPr>
            <w:tcW w:w="2910" w:type="dxa"/>
            <w:vAlign w:val="center"/>
          </w:tcPr>
          <w:p w14:paraId="61C86000">
            <w:pPr>
              <w:spacing w:before="0" w:after="0" w:line="320" w:lineRule="exact"/>
              <w:jc w:val="left"/>
            </w:pPr>
            <w:r>
              <w:rPr>
                <w:rFonts w:ascii="Times New Roman" w:hAnsi="Times New Roman" w:eastAsia="宋体"/>
                <w:b w:val="0"/>
                <w:sz w:val="21"/>
              </w:rPr>
              <w:t>36</w:t>
            </w:r>
          </w:p>
        </w:tc>
        <w:tc>
          <w:tcPr>
            <w:tcW w:w="2910" w:type="dxa"/>
            <w:vAlign w:val="center"/>
          </w:tcPr>
          <w:p w14:paraId="11358B9C">
            <w:pPr>
              <w:spacing w:before="0" w:after="0" w:line="320" w:lineRule="exact"/>
              <w:jc w:val="left"/>
            </w:pPr>
            <w:r>
              <w:rPr>
                <w:rFonts w:ascii="Times New Roman" w:hAnsi="Times New Roman" w:eastAsia="宋体"/>
                <w:b w:val="0"/>
                <w:sz w:val="21"/>
              </w:rPr>
              <w:t>21.8 %</w:t>
            </w:r>
          </w:p>
        </w:tc>
      </w:tr>
      <w:tr w14:paraId="0C71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52E1AB9A">
            <w:pPr>
              <w:spacing w:before="0" w:after="0" w:line="320" w:lineRule="exact"/>
              <w:jc w:val="left"/>
            </w:pPr>
            <w:r>
              <w:rPr>
                <w:rFonts w:ascii="Times New Roman" w:hAnsi="Times New Roman" w:eastAsia="宋体"/>
                <w:b w:val="0"/>
                <w:sz w:val="21"/>
              </w:rPr>
              <w:t>文化景观</w:t>
            </w:r>
          </w:p>
        </w:tc>
        <w:tc>
          <w:tcPr>
            <w:tcW w:w="2910" w:type="dxa"/>
            <w:vAlign w:val="center"/>
          </w:tcPr>
          <w:p w14:paraId="62AE5315">
            <w:pPr>
              <w:spacing w:before="0" w:after="0" w:line="320" w:lineRule="exact"/>
              <w:jc w:val="left"/>
            </w:pPr>
            <w:r>
              <w:rPr>
                <w:rFonts w:ascii="Times New Roman" w:hAnsi="Times New Roman" w:eastAsia="宋体"/>
                <w:b w:val="0"/>
                <w:sz w:val="21"/>
              </w:rPr>
              <w:t>19</w:t>
            </w:r>
          </w:p>
        </w:tc>
        <w:tc>
          <w:tcPr>
            <w:tcW w:w="2910" w:type="dxa"/>
            <w:vAlign w:val="center"/>
          </w:tcPr>
          <w:p w14:paraId="33DF517A">
            <w:pPr>
              <w:spacing w:before="0" w:after="0" w:line="320" w:lineRule="exact"/>
              <w:jc w:val="left"/>
            </w:pPr>
            <w:r>
              <w:rPr>
                <w:rFonts w:ascii="Times New Roman" w:hAnsi="Times New Roman" w:eastAsia="宋体"/>
                <w:b w:val="0"/>
                <w:sz w:val="21"/>
              </w:rPr>
              <w:t>11.5 %</w:t>
            </w:r>
          </w:p>
        </w:tc>
      </w:tr>
      <w:tr w14:paraId="4E20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4C24A0C5">
            <w:pPr>
              <w:spacing w:before="0" w:after="0" w:line="320" w:lineRule="exact"/>
              <w:jc w:val="left"/>
            </w:pPr>
            <w:r>
              <w:rPr>
                <w:rFonts w:ascii="Times New Roman" w:hAnsi="Times New Roman" w:eastAsia="宋体"/>
                <w:b w:val="0"/>
                <w:sz w:val="21"/>
              </w:rPr>
              <w:t>圩市街区</w:t>
            </w:r>
          </w:p>
        </w:tc>
        <w:tc>
          <w:tcPr>
            <w:tcW w:w="2910" w:type="dxa"/>
            <w:vAlign w:val="center"/>
          </w:tcPr>
          <w:p w14:paraId="125A47A4">
            <w:pPr>
              <w:spacing w:before="0" w:after="0" w:line="320" w:lineRule="exact"/>
              <w:jc w:val="left"/>
            </w:pPr>
            <w:r>
              <w:rPr>
                <w:rFonts w:ascii="Times New Roman" w:hAnsi="Times New Roman" w:eastAsia="宋体"/>
                <w:b w:val="0"/>
                <w:sz w:val="21"/>
              </w:rPr>
              <w:t>18</w:t>
            </w:r>
          </w:p>
        </w:tc>
        <w:tc>
          <w:tcPr>
            <w:tcW w:w="2910" w:type="dxa"/>
            <w:vAlign w:val="center"/>
          </w:tcPr>
          <w:p w14:paraId="33F6127F">
            <w:pPr>
              <w:spacing w:before="0" w:after="0" w:line="320" w:lineRule="exact"/>
              <w:jc w:val="left"/>
            </w:pPr>
            <w:r>
              <w:rPr>
                <w:rFonts w:ascii="Times New Roman" w:hAnsi="Times New Roman" w:eastAsia="宋体"/>
                <w:b w:val="0"/>
                <w:sz w:val="21"/>
              </w:rPr>
              <w:t>10.9 %</w:t>
            </w:r>
          </w:p>
        </w:tc>
      </w:tr>
      <w:tr w14:paraId="776D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27371936">
            <w:pPr>
              <w:spacing w:before="0" w:after="0" w:line="320" w:lineRule="exact"/>
              <w:jc w:val="left"/>
            </w:pPr>
            <w:r>
              <w:rPr>
                <w:rFonts w:ascii="Times New Roman" w:hAnsi="Times New Roman" w:eastAsia="宋体"/>
                <w:b w:val="0"/>
                <w:sz w:val="21"/>
              </w:rPr>
              <w:t>历史文化名村 / 传统村落</w:t>
            </w:r>
          </w:p>
        </w:tc>
        <w:tc>
          <w:tcPr>
            <w:tcW w:w="2910" w:type="dxa"/>
            <w:vAlign w:val="center"/>
          </w:tcPr>
          <w:p w14:paraId="27247B67">
            <w:pPr>
              <w:spacing w:before="0" w:after="0" w:line="320" w:lineRule="exact"/>
              <w:jc w:val="left"/>
            </w:pPr>
            <w:r>
              <w:rPr>
                <w:rFonts w:ascii="Times New Roman" w:hAnsi="Times New Roman" w:eastAsia="宋体"/>
                <w:b w:val="0"/>
                <w:sz w:val="21"/>
              </w:rPr>
              <w:t>12</w:t>
            </w:r>
          </w:p>
        </w:tc>
        <w:tc>
          <w:tcPr>
            <w:tcW w:w="2910" w:type="dxa"/>
            <w:vAlign w:val="center"/>
          </w:tcPr>
          <w:p w14:paraId="3B045D00">
            <w:pPr>
              <w:spacing w:before="0" w:after="0" w:line="320" w:lineRule="exact"/>
              <w:jc w:val="left"/>
            </w:pPr>
            <w:r>
              <w:rPr>
                <w:rFonts w:ascii="Times New Roman" w:hAnsi="Times New Roman" w:eastAsia="宋体"/>
                <w:b w:val="0"/>
                <w:sz w:val="21"/>
              </w:rPr>
              <w:t>7.3 %</w:t>
            </w:r>
          </w:p>
        </w:tc>
      </w:tr>
      <w:tr w14:paraId="64A1D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24780332">
            <w:pPr>
              <w:spacing w:before="0" w:after="0" w:line="320" w:lineRule="exact"/>
              <w:jc w:val="left"/>
            </w:pPr>
            <w:r>
              <w:rPr>
                <w:rFonts w:ascii="Times New Roman" w:hAnsi="Times New Roman" w:eastAsia="宋体"/>
                <w:b w:val="0"/>
                <w:sz w:val="21"/>
              </w:rPr>
              <w:t>合计</w:t>
            </w:r>
          </w:p>
        </w:tc>
        <w:tc>
          <w:tcPr>
            <w:tcW w:w="2910" w:type="dxa"/>
            <w:vAlign w:val="center"/>
          </w:tcPr>
          <w:p w14:paraId="604027FD">
            <w:pPr>
              <w:spacing w:before="0" w:after="0" w:line="320" w:lineRule="exact"/>
              <w:jc w:val="left"/>
            </w:pPr>
            <w:r>
              <w:rPr>
                <w:rFonts w:ascii="Times New Roman" w:hAnsi="Times New Roman" w:eastAsia="宋体"/>
                <w:b w:val="0"/>
                <w:sz w:val="21"/>
              </w:rPr>
              <w:t>165</w:t>
            </w:r>
          </w:p>
        </w:tc>
        <w:tc>
          <w:tcPr>
            <w:tcW w:w="2910" w:type="dxa"/>
            <w:vAlign w:val="center"/>
          </w:tcPr>
          <w:p w14:paraId="6C383196">
            <w:pPr>
              <w:spacing w:before="0" w:after="0" w:line="320" w:lineRule="exact"/>
              <w:jc w:val="left"/>
            </w:pPr>
            <w:r>
              <w:rPr>
                <w:rFonts w:ascii="Times New Roman" w:hAnsi="Times New Roman" w:eastAsia="宋体"/>
                <w:b w:val="0"/>
                <w:sz w:val="21"/>
              </w:rPr>
              <w:t>100 %</w:t>
            </w:r>
          </w:p>
        </w:tc>
      </w:tr>
    </w:tbl>
    <w:p w14:paraId="145E3714">
      <w:pPr>
        <w:spacing w:before="40" w:after="120" w:line="400" w:lineRule="exact"/>
        <w:jc w:val="center"/>
      </w:pPr>
      <w:r>
        <w:rPr>
          <w:rFonts w:ascii="Times New Roman" w:hAnsi="Times New Roman" w:eastAsia="宋体"/>
          <w:b/>
          <w:sz w:val="21"/>
        </w:rPr>
        <w:t>表 3.3　165 条文化载体样本按类型分布</w:t>
      </w:r>
    </w:p>
    <w:p w14:paraId="3253331B">
      <w:pPr>
        <w:spacing w:before="0" w:after="0" w:line="400" w:lineRule="exact"/>
        <w:ind w:firstLine="480"/>
        <w:jc w:val="left"/>
      </w:pPr>
      <w:r>
        <w:rPr>
          <w:rFonts w:ascii="Times New Roman" w:hAnsi="Times New Roman" w:eastAsia="宋体"/>
          <w:b w:val="0"/>
          <w:sz w:val="24"/>
        </w:rPr>
        <w:t>其中 159 条落在南海区有效经纬度范围内，少数载体存在坐标缺失或异常值，需要在后续制图中保留待校正状态。这一清单来自两条数据线：一是文旅系统下的文物保护单位、非遗项目与相关文化空间，二是住建系统下的风景名胜区、历史文化名镇名村和传统村落。两类数据在载体层面汇流为统一清单，用于后续指数计算、500 m 范围匹配和空间错位识别。</w:t>
      </w:r>
    </w:p>
    <w:p w14:paraId="18091D99">
      <w:pPr>
        <w:spacing w:before="0" w:after="0" w:line="400" w:lineRule="exact"/>
        <w:ind w:firstLine="480"/>
        <w:jc w:val="left"/>
      </w:pPr>
      <w:r>
        <w:rPr>
          <w:rFonts w:ascii="Times New Roman" w:hAnsi="Times New Roman" w:eastAsia="宋体"/>
          <w:b w:val="0"/>
          <w:sz w:val="24"/>
        </w:rPr>
        <w:t>在补充资料整理阶段，本研究另行建立官方资源扩展底表，将 484 处不可移动文物、11 家博物馆和 98 条历史文化资源名录统一空间化，并与既有文化锚点总库做名称去重。该扩展表不替代 165 条指数计算样本，而是用于检查官方资源在镇街和 500 m 网格中的覆盖缺口，并服务于“典籍—官方—旅游”的诊断拆分。</w:t>
      </w:r>
    </w:p>
    <w:p w14:paraId="7A8D93CB">
      <w:pPr>
        <w:spacing w:before="240" w:after="120" w:line="400" w:lineRule="exact"/>
        <w:jc w:val="left"/>
        <w:outlineLvl w:val="1"/>
      </w:pPr>
      <w:bookmarkStart w:id="33" w:name="_Toc9733"/>
      <w:r>
        <w:rPr>
          <w:rFonts w:ascii="Times New Roman" w:hAnsi="Times New Roman" w:eastAsia="黑体"/>
          <w:b/>
          <w:sz w:val="28"/>
        </w:rPr>
        <w:t>3.3 数据覆盖与局限性</w:t>
      </w:r>
      <w:bookmarkEnd w:id="33"/>
    </w:p>
    <w:p w14:paraId="4458F3EF">
      <w:pPr>
        <w:spacing w:before="0" w:after="0" w:line="400" w:lineRule="exact"/>
        <w:ind w:firstLine="480"/>
        <w:jc w:val="left"/>
      </w:pPr>
      <w:r>
        <w:rPr>
          <w:rFonts w:ascii="Times New Roman" w:hAnsi="Times New Roman" w:eastAsia="宋体"/>
          <w:b w:val="0"/>
          <w:sz w:val="24"/>
        </w:rPr>
        <w:t>需要提前说明的数据口径问题有三：</w:t>
      </w:r>
    </w:p>
    <w:p w14:paraId="439F9921">
      <w:pPr>
        <w:spacing w:before="0" w:after="0" w:line="400" w:lineRule="exact"/>
        <w:ind w:firstLine="480"/>
        <w:jc w:val="left"/>
      </w:pPr>
      <w:r>
        <w:rPr>
          <w:rFonts w:ascii="Times New Roman" w:hAnsi="Times New Roman" w:eastAsia="宋体"/>
          <w:b/>
          <w:sz w:val="24"/>
        </w:rPr>
        <w:t>其一，POI 体系覆盖范围</w:t>
      </w:r>
      <w:r>
        <w:rPr>
          <w:rFonts w:ascii="Times New Roman" w:hAnsi="Times New Roman" w:eastAsia="宋体"/>
          <w:b w:val="0"/>
          <w:sz w:val="24"/>
        </w:rPr>
        <w:t>。本研究 POI 以景区、公园、场馆、古迹等为主要采集目标，未系统采集普通餐饮门店。这会导致以美食为标志的文旅片区在供给侧呈现系统性低估，最典型的是九江镇。</w:t>
      </w:r>
    </w:p>
    <w:p w14:paraId="7D7995F1">
      <w:pPr>
        <w:spacing w:before="0" w:after="0" w:line="400" w:lineRule="exact"/>
        <w:ind w:firstLine="480"/>
        <w:jc w:val="left"/>
      </w:pPr>
      <w:r>
        <w:rPr>
          <w:rFonts w:ascii="Times New Roman" w:hAnsi="Times New Roman" w:eastAsia="宋体"/>
          <w:b/>
          <w:sz w:val="24"/>
        </w:rPr>
        <w:t>其二，评论平台覆盖范围</w:t>
      </w:r>
      <w:r>
        <w:rPr>
          <w:rFonts w:ascii="Times New Roman" w:hAnsi="Times New Roman" w:eastAsia="宋体"/>
          <w:b w:val="0"/>
          <w:sz w:val="24"/>
        </w:rPr>
        <w:t>。本轮评论数据不含大众点评、美团等餐饮评价平台，也不含百度地图的评论，同样会对九江等餐饮主导片区造成系统性低估。</w:t>
      </w:r>
    </w:p>
    <w:p w14:paraId="7C2EA915">
      <w:pPr>
        <w:spacing w:before="0" w:after="0" w:line="400" w:lineRule="exact"/>
        <w:ind w:firstLine="480"/>
        <w:jc w:val="left"/>
      </w:pPr>
      <w:r>
        <w:rPr>
          <w:rFonts w:ascii="Times New Roman" w:hAnsi="Times New Roman" w:eastAsia="宋体"/>
          <w:b/>
          <w:sz w:val="24"/>
        </w:rPr>
        <w:t>其三，文化载体坐标精度</w:t>
      </w:r>
      <w:r>
        <w:rPr>
          <w:rFonts w:ascii="Times New Roman" w:hAnsi="Times New Roman" w:eastAsia="宋体"/>
          <w:b w:val="0"/>
          <w:sz w:val="24"/>
        </w:rPr>
        <w:t>。核心载体分析样本中仍有少数记录存在坐标缺失或异常值，主要影响精细制图与 500 m 范围匹配。本文在指数统计中保留这些载体的文化与认证信息，在空间分析中则以有效坐标记录为准。</w:t>
      </w:r>
    </w:p>
    <w:p w14:paraId="70E21618">
      <w:pPr>
        <w:spacing w:before="0" w:after="0" w:line="400" w:lineRule="exact"/>
        <w:ind w:firstLine="480"/>
        <w:jc w:val="left"/>
      </w:pPr>
      <w:r>
        <w:rPr>
          <w:rFonts w:ascii="Times New Roman" w:hAnsi="Times New Roman" w:eastAsia="宋体"/>
          <w:b w:val="0"/>
          <w:sz w:val="24"/>
        </w:rPr>
        <w:t>上述限制将在第 6 章九江专题讨论与第 7 章研究不足中再次说明，并作为后续研究的补充方向。总体来看，第三章所建立的数据基础能够支撑本文的主要分析，但它仍然是一套面向文旅空间研究的工作口径，而不是南海区全部文化与旅游资源的穷尽性清单。</w:t>
      </w:r>
    </w:p>
    <w:p w14:paraId="24080590">
      <w:r>
        <w:br w:type="page"/>
      </w:r>
    </w:p>
    <w:p w14:paraId="41BB3565">
      <w:pPr>
        <w:spacing w:before="360" w:after="160" w:line="400" w:lineRule="exact"/>
        <w:jc w:val="center"/>
        <w:outlineLvl w:val="0"/>
      </w:pPr>
      <w:bookmarkStart w:id="34" w:name="_Toc23888"/>
      <w:r>
        <w:rPr>
          <w:rFonts w:ascii="Times New Roman" w:hAnsi="Times New Roman" w:eastAsia="黑体"/>
          <w:b/>
          <w:sz w:val="32"/>
        </w:rPr>
        <w:t>第 4 章　文化知识体系构建：知识图谱的实现</w:t>
      </w:r>
      <w:bookmarkEnd w:id="34"/>
    </w:p>
    <w:p w14:paraId="153C1BCB">
      <w:pPr>
        <w:spacing w:before="240" w:after="120" w:line="400" w:lineRule="exact"/>
        <w:jc w:val="left"/>
        <w:outlineLvl w:val="1"/>
      </w:pPr>
      <w:bookmarkStart w:id="35" w:name="_Toc27687"/>
      <w:r>
        <w:rPr>
          <w:rFonts w:ascii="Times New Roman" w:hAnsi="Times New Roman" w:eastAsia="黑体"/>
          <w:b/>
          <w:sz w:val="28"/>
        </w:rPr>
        <w:t>4.1 实体与关系的定义</w:t>
      </w:r>
      <w:bookmarkEnd w:id="35"/>
    </w:p>
    <w:p w14:paraId="76C1C2B4">
      <w:pPr>
        <w:spacing w:before="240" w:after="120" w:line="400" w:lineRule="exact"/>
        <w:jc w:val="left"/>
        <w:outlineLvl w:val="2"/>
      </w:pPr>
      <w:bookmarkStart w:id="36" w:name="_Toc32489"/>
      <w:r>
        <w:rPr>
          <w:rFonts w:ascii="Times New Roman" w:hAnsi="Times New Roman" w:eastAsia="黑体"/>
          <w:b/>
          <w:sz w:val="26"/>
        </w:rPr>
        <w:t>4.1.1 实体分类</w:t>
      </w:r>
      <w:bookmarkEnd w:id="36"/>
    </w:p>
    <w:p w14:paraId="7924A044">
      <w:pPr>
        <w:spacing w:before="0" w:after="0" w:line="400" w:lineRule="exact"/>
        <w:ind w:firstLine="480"/>
        <w:jc w:val="left"/>
      </w:pPr>
      <w:r>
        <w:rPr>
          <w:rFonts w:ascii="Times New Roman" w:hAnsi="Times New Roman" w:eastAsia="宋体"/>
          <w:b w:val="0"/>
          <w:sz w:val="24"/>
        </w:rPr>
        <w:t>知识图谱的核心任务，是把典籍文本中分散出现的人物、空间、技艺、文献和历史事件转化为可计算、可追溯的结构化对象。为此，本文首先建立实体分类体系。研究分类层面，实体分为非遗文化、物质遗产、传承主体、文化空间、文献记忆、历史时序六大类，并进一步细分为 28 小类。管理口径层面，对于能够对应官方非遗或文物分类的实体，再补充民间文学、传统音乐、传统舞蹈、传统戏剧、曲艺、传统体育游艺与杂技、传统美术、传统技艺等官方标签。</w:t>
      </w:r>
    </w:p>
    <w:p w14:paraId="109D810A">
      <w:pPr>
        <w:spacing w:before="0" w:after="0" w:line="400" w:lineRule="exact"/>
        <w:ind w:firstLine="480"/>
        <w:jc w:val="left"/>
      </w:pPr>
      <w:r>
        <w:rPr>
          <w:rFonts w:ascii="Times New Roman" w:hAnsi="Times New Roman" w:eastAsia="宋体"/>
          <w:b w:val="0"/>
          <w:sz w:val="24"/>
        </w:rPr>
        <w:t>这种双重分类的目的，是避免典籍抽取结果只停留在文本层面。一方面，它能够保留地方文献中的文化叙事和历史记忆；另一方面，也能够与后续的非遗名录、文物保护单位和旅游 POI 发生连接。附录 A 给出实体分类体系简表。</w:t>
      </w:r>
    </w:p>
    <w:p w14:paraId="71D03A49">
      <w:pPr>
        <w:spacing w:before="240" w:after="120" w:line="400" w:lineRule="exact"/>
        <w:jc w:val="left"/>
        <w:outlineLvl w:val="2"/>
      </w:pPr>
      <w:bookmarkStart w:id="37" w:name="_Toc12418"/>
      <w:r>
        <w:rPr>
          <w:rFonts w:ascii="Times New Roman" w:hAnsi="Times New Roman" w:eastAsia="黑体"/>
          <w:b/>
          <w:sz w:val="26"/>
        </w:rPr>
        <w:t>4.1.2 关系分类</w:t>
      </w:r>
      <w:bookmarkEnd w:id="37"/>
    </w:p>
    <w:p w14:paraId="7A8744D6">
      <w:pPr>
        <w:spacing w:before="0" w:after="0" w:line="400" w:lineRule="exact"/>
        <w:ind w:firstLine="480"/>
        <w:jc w:val="left"/>
      </w:pPr>
      <w:r>
        <w:rPr>
          <w:rFonts w:ascii="Times New Roman" w:hAnsi="Times New Roman" w:eastAsia="宋体"/>
          <w:b w:val="0"/>
          <w:sz w:val="24"/>
        </w:rPr>
        <w:t>在实体之外，本文进一步定义关系类型，用于表达不同文化要素之间的联系。关系分为九大语义组：</w:t>
      </w:r>
    </w:p>
    <w:p w14:paraId="09A34163">
      <w:pPr>
        <w:pStyle w:val="15"/>
        <w:spacing w:before="0" w:after="0" w:line="400" w:lineRule="exact"/>
      </w:pPr>
      <w:r>
        <w:rPr>
          <w:rFonts w:ascii="Times New Roman" w:hAnsi="Times New Roman" w:eastAsia="宋体"/>
          <w:b/>
          <w:sz w:val="24"/>
        </w:rPr>
        <w:t>空间关联</w:t>
      </w:r>
      <w:r>
        <w:rPr>
          <w:rFonts w:ascii="Times New Roman" w:hAnsi="Times New Roman" w:eastAsia="宋体"/>
          <w:b w:val="0"/>
          <w:sz w:val="24"/>
        </w:rPr>
        <w:t>：位于、坐落于、发源于；</w:t>
      </w:r>
    </w:p>
    <w:p w14:paraId="60DBDD81">
      <w:pPr>
        <w:pStyle w:val="15"/>
        <w:spacing w:before="0" w:after="0" w:line="400" w:lineRule="exact"/>
      </w:pPr>
      <w:r>
        <w:rPr>
          <w:rFonts w:ascii="Times New Roman" w:hAnsi="Times New Roman" w:eastAsia="宋体"/>
          <w:b/>
          <w:sz w:val="24"/>
        </w:rPr>
        <w:t>人物关联</w:t>
      </w:r>
      <w:r>
        <w:rPr>
          <w:rFonts w:ascii="Times New Roman" w:hAnsi="Times New Roman" w:eastAsia="宋体"/>
          <w:b w:val="0"/>
          <w:sz w:val="24"/>
        </w:rPr>
        <w:t>：出生于、任职于、交游；</w:t>
      </w:r>
    </w:p>
    <w:p w14:paraId="5EF652A0">
      <w:pPr>
        <w:pStyle w:val="15"/>
        <w:spacing w:before="0" w:after="0" w:line="400" w:lineRule="exact"/>
      </w:pPr>
      <w:r>
        <w:rPr>
          <w:rFonts w:ascii="Times New Roman" w:hAnsi="Times New Roman" w:eastAsia="宋体"/>
          <w:b/>
          <w:sz w:val="24"/>
        </w:rPr>
        <w:t>传承延续</w:t>
      </w:r>
      <w:r>
        <w:rPr>
          <w:rFonts w:ascii="Times New Roman" w:hAnsi="Times New Roman" w:eastAsia="宋体"/>
          <w:b w:val="0"/>
          <w:sz w:val="24"/>
        </w:rPr>
        <w:t>：师承、传承、传授；</w:t>
      </w:r>
    </w:p>
    <w:p w14:paraId="383F87A5">
      <w:pPr>
        <w:pStyle w:val="15"/>
        <w:spacing w:before="0" w:after="0" w:line="400" w:lineRule="exact"/>
      </w:pPr>
      <w:r>
        <w:rPr>
          <w:rFonts w:ascii="Times New Roman" w:hAnsi="Times New Roman" w:eastAsia="宋体"/>
          <w:b/>
          <w:sz w:val="24"/>
        </w:rPr>
        <w:t>营建创造</w:t>
      </w:r>
      <w:r>
        <w:rPr>
          <w:rFonts w:ascii="Times New Roman" w:hAnsi="Times New Roman" w:eastAsia="宋体"/>
          <w:b w:val="0"/>
          <w:sz w:val="24"/>
        </w:rPr>
        <w:t>：始建于、创建、重建；</w:t>
      </w:r>
    </w:p>
    <w:p w14:paraId="31867BCA">
      <w:pPr>
        <w:pStyle w:val="15"/>
        <w:spacing w:before="0" w:after="0" w:line="400" w:lineRule="exact"/>
      </w:pPr>
      <w:r>
        <w:rPr>
          <w:rFonts w:ascii="Times New Roman" w:hAnsi="Times New Roman" w:eastAsia="宋体"/>
          <w:b/>
          <w:sz w:val="24"/>
        </w:rPr>
        <w:t>时序归属</w:t>
      </w:r>
      <w:r>
        <w:rPr>
          <w:rFonts w:ascii="Times New Roman" w:hAnsi="Times New Roman" w:eastAsia="宋体"/>
          <w:b w:val="0"/>
          <w:sz w:val="24"/>
        </w:rPr>
        <w:t>：形成于、兴盛于、活动于；</w:t>
      </w:r>
    </w:p>
    <w:p w14:paraId="69BC9D6F">
      <w:pPr>
        <w:pStyle w:val="15"/>
        <w:spacing w:before="0" w:after="0" w:line="400" w:lineRule="exact"/>
      </w:pPr>
      <w:r>
        <w:rPr>
          <w:rFonts w:ascii="Times New Roman" w:hAnsi="Times New Roman" w:eastAsia="宋体"/>
          <w:b/>
          <w:sz w:val="24"/>
        </w:rPr>
        <w:t>社群组织</w:t>
      </w:r>
      <w:r>
        <w:rPr>
          <w:rFonts w:ascii="Times New Roman" w:hAnsi="Times New Roman" w:eastAsia="宋体"/>
          <w:b w:val="0"/>
          <w:sz w:val="24"/>
        </w:rPr>
        <w:t>：属于、包含、隶属；</w:t>
      </w:r>
    </w:p>
    <w:p w14:paraId="767FC517">
      <w:pPr>
        <w:pStyle w:val="15"/>
        <w:spacing w:before="0" w:after="0" w:line="400" w:lineRule="exact"/>
      </w:pPr>
      <w:r>
        <w:rPr>
          <w:rFonts w:ascii="Times New Roman" w:hAnsi="Times New Roman" w:eastAsia="宋体"/>
          <w:b/>
          <w:sz w:val="24"/>
        </w:rPr>
        <w:t>文献记载</w:t>
      </w:r>
      <w:r>
        <w:rPr>
          <w:rFonts w:ascii="Times New Roman" w:hAnsi="Times New Roman" w:eastAsia="宋体"/>
          <w:b w:val="0"/>
          <w:sz w:val="24"/>
        </w:rPr>
        <w:t>：记载、收录、著述；</w:t>
      </w:r>
    </w:p>
    <w:p w14:paraId="4A7E0A11">
      <w:pPr>
        <w:pStyle w:val="15"/>
        <w:spacing w:before="0" w:after="0" w:line="400" w:lineRule="exact"/>
      </w:pPr>
      <w:r>
        <w:rPr>
          <w:rFonts w:ascii="Times New Roman" w:hAnsi="Times New Roman" w:eastAsia="宋体"/>
          <w:b/>
          <w:sz w:val="24"/>
        </w:rPr>
        <w:t>从属分类</w:t>
      </w:r>
      <w:r>
        <w:rPr>
          <w:rFonts w:ascii="Times New Roman" w:hAnsi="Times New Roman" w:eastAsia="宋体"/>
          <w:b w:val="0"/>
          <w:sz w:val="24"/>
        </w:rPr>
        <w:t>：归入、属于、代表；</w:t>
      </w:r>
    </w:p>
    <w:p w14:paraId="780904B4">
      <w:pPr>
        <w:pStyle w:val="15"/>
        <w:spacing w:before="0" w:after="0" w:line="400" w:lineRule="exact"/>
      </w:pPr>
      <w:r>
        <w:rPr>
          <w:rFonts w:ascii="Times New Roman" w:hAnsi="Times New Roman" w:eastAsia="宋体"/>
          <w:b/>
          <w:sz w:val="24"/>
        </w:rPr>
        <w:t>文化表征</w:t>
      </w:r>
      <w:r>
        <w:rPr>
          <w:rFonts w:ascii="Times New Roman" w:hAnsi="Times New Roman" w:eastAsia="宋体"/>
          <w:b w:val="0"/>
          <w:sz w:val="24"/>
        </w:rPr>
        <w:t>：体现、象征、承载。</w:t>
      </w:r>
    </w:p>
    <w:p w14:paraId="6E54730B">
      <w:pPr>
        <w:spacing w:before="0" w:after="0" w:line="400" w:lineRule="exact"/>
        <w:ind w:firstLine="480"/>
        <w:jc w:val="left"/>
      </w:pPr>
      <w:r>
        <w:rPr>
          <w:rFonts w:ascii="Times New Roman" w:hAnsi="Times New Roman" w:eastAsia="宋体"/>
          <w:b w:val="0"/>
          <w:sz w:val="24"/>
        </w:rPr>
        <w:t>关系抽取坚持开放原则，不强行把所有关系压缩为少数固定谓词，而是保留原始关系短语、关系组和证据句。这样处理可以减少语义损失，也便于后续人工复核。例如，“位于”“坐落于”均归入空间关联，“记载”“收录”均归入文献记载，但原始关系短语仍然保留，以便追溯具体语义。</w:t>
      </w:r>
    </w:p>
    <w:p w14:paraId="11FCC4B9">
      <w:pPr>
        <w:spacing w:before="240" w:after="120" w:line="400" w:lineRule="exact"/>
        <w:jc w:val="left"/>
        <w:outlineLvl w:val="1"/>
      </w:pPr>
      <w:bookmarkStart w:id="38" w:name="_Toc9998"/>
      <w:r>
        <w:rPr>
          <w:rFonts w:ascii="Times New Roman" w:hAnsi="Times New Roman" w:eastAsia="黑体"/>
          <w:b/>
          <w:sz w:val="28"/>
        </w:rPr>
        <w:t>4.2 基于大语言模型的抽取过程</w:t>
      </w:r>
      <w:bookmarkEnd w:id="38"/>
    </w:p>
    <w:p w14:paraId="6B4600B5">
      <w:pPr>
        <w:spacing w:before="240" w:after="120" w:line="400" w:lineRule="exact"/>
        <w:jc w:val="left"/>
        <w:outlineLvl w:val="2"/>
      </w:pPr>
      <w:bookmarkStart w:id="39" w:name="_Toc1682"/>
      <w:r>
        <w:rPr>
          <w:rFonts w:ascii="Times New Roman" w:hAnsi="Times New Roman" w:eastAsia="黑体"/>
          <w:b/>
          <w:sz w:val="26"/>
        </w:rPr>
        <w:t>4.2.1 模型与分块</w:t>
      </w:r>
      <w:bookmarkEnd w:id="39"/>
    </w:p>
    <w:p w14:paraId="3E64A298">
      <w:pPr>
        <w:spacing w:before="0" w:after="0" w:line="400" w:lineRule="exact"/>
        <w:ind w:firstLine="480"/>
        <w:jc w:val="left"/>
      </w:pPr>
      <w:r>
        <w:rPr>
          <w:rFonts w:ascii="Times New Roman" w:hAnsi="Times New Roman" w:eastAsia="宋体"/>
          <w:b w:val="0"/>
          <w:sz w:val="24"/>
        </w:rPr>
        <w:t>实体—关系抽取使用阿里云通义千问 qwen3.5-plus 作为主要模型。由于典籍文本篇幅较长，本文将 53 份标准化语料按约 800 字一段切分，再分批送入模型处理。每一段文本进入模型后，按照预设的实体分类和关系分类输出结构化结果，内容包括实体名称、实体类别、关系短语、关系组、置信度、来源文献和原文证据句。</w:t>
      </w:r>
    </w:p>
    <w:p w14:paraId="706654A5">
      <w:pPr>
        <w:spacing w:before="0" w:after="0" w:line="400" w:lineRule="exact"/>
        <w:ind w:firstLine="480"/>
        <w:jc w:val="left"/>
      </w:pPr>
      <w:r>
        <w:rPr>
          <w:rFonts w:ascii="Times New Roman" w:hAnsi="Times New Roman" w:eastAsia="宋体"/>
          <w:b w:val="0"/>
          <w:sz w:val="24"/>
        </w:rPr>
        <w:t>分块处理的目的有两点：其一，可以避免长文本一次性输入造成上下文丢失；其二，可以让每条抽取结果保留相对明确的原文出处，便于后续校验。图 4.1 展示了从文本切块、模型抽取、质量控制到合并入库的基本流程。</w:t>
      </w:r>
    </w:p>
    <w:p w14:paraId="0C94A1A1">
      <w:pPr>
        <w:spacing w:before="60" w:after="40" w:line="400" w:lineRule="exact"/>
        <w:jc w:val="center"/>
      </w:pPr>
      <w:r>
        <w:drawing>
          <wp:inline distT="0" distB="0" distL="114300" distR="114300">
            <wp:extent cx="5471795" cy="2735580"/>
            <wp:effectExtent l="0" t="0" r="146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2736000"/>
                    </a:xfrm>
                    <a:prstGeom prst="rect">
                      <a:avLst/>
                    </a:prstGeom>
                  </pic:spPr>
                </pic:pic>
              </a:graphicData>
            </a:graphic>
          </wp:inline>
        </w:drawing>
      </w:r>
    </w:p>
    <w:p w14:paraId="343665BF">
      <w:pPr>
        <w:spacing w:before="40" w:after="120" w:line="400" w:lineRule="exact"/>
        <w:jc w:val="center"/>
      </w:pPr>
      <w:r>
        <w:rPr>
          <w:rFonts w:ascii="Times New Roman" w:hAnsi="Times New Roman" w:eastAsia="宋体"/>
          <w:b/>
          <w:sz w:val="21"/>
        </w:rPr>
        <w:t>图 4.1　实体—关系抽取的分块与并发处理流程</w:t>
      </w:r>
    </w:p>
    <w:p w14:paraId="5EF16F42">
      <w:pPr>
        <w:spacing w:before="240" w:after="120" w:line="400" w:lineRule="exact"/>
        <w:jc w:val="left"/>
        <w:outlineLvl w:val="2"/>
      </w:pPr>
      <w:bookmarkStart w:id="40" w:name="_Toc12027"/>
      <w:r>
        <w:rPr>
          <w:rFonts w:ascii="Times New Roman" w:hAnsi="Times New Roman" w:eastAsia="黑体"/>
          <w:b/>
          <w:sz w:val="26"/>
        </w:rPr>
        <w:t>4.2.2 质量控制</w:t>
      </w:r>
      <w:bookmarkEnd w:id="40"/>
    </w:p>
    <w:p w14:paraId="397D80CB">
      <w:pPr>
        <w:spacing w:before="0" w:after="0" w:line="400" w:lineRule="exact"/>
        <w:ind w:firstLine="480"/>
        <w:jc w:val="left"/>
      </w:pPr>
      <w:r>
        <w:rPr>
          <w:rFonts w:ascii="Times New Roman" w:hAnsi="Times New Roman" w:eastAsia="宋体"/>
          <w:b w:val="0"/>
          <w:sz w:val="24"/>
        </w:rPr>
        <w:t>抽取过程设置了以下质量控制环节：</w:t>
      </w:r>
    </w:p>
    <w:p w14:paraId="615CC722">
      <w:pPr>
        <w:pStyle w:val="19"/>
        <w:spacing w:before="0" w:after="0" w:line="400" w:lineRule="exact"/>
      </w:pPr>
      <w:r>
        <w:rPr>
          <w:rFonts w:ascii="Times New Roman" w:hAnsi="Times New Roman" w:eastAsia="宋体"/>
          <w:b/>
          <w:sz w:val="24"/>
        </w:rPr>
        <w:t>方向校验</w:t>
      </w:r>
      <w:r>
        <w:rPr>
          <w:rFonts w:ascii="Times New Roman" w:hAnsi="Times New Roman" w:eastAsia="宋体"/>
          <w:b w:val="0"/>
          <w:sz w:val="24"/>
        </w:rPr>
        <w:t>：避免主宾颠倒，如“师从 A”与“A 传于”在方向上不能混用；</w:t>
      </w:r>
    </w:p>
    <w:p w14:paraId="3C3A67EF">
      <w:pPr>
        <w:pStyle w:val="19"/>
        <w:spacing w:before="0" w:after="0" w:line="400" w:lineRule="exact"/>
      </w:pPr>
      <w:r>
        <w:rPr>
          <w:rFonts w:ascii="Times New Roman" w:hAnsi="Times New Roman" w:eastAsia="宋体"/>
          <w:b/>
          <w:sz w:val="24"/>
        </w:rPr>
        <w:t>禁用空泛关系</w:t>
      </w:r>
      <w:r>
        <w:rPr>
          <w:rFonts w:ascii="Times New Roman" w:hAnsi="Times New Roman" w:eastAsia="宋体"/>
          <w:b w:val="0"/>
          <w:sz w:val="24"/>
        </w:rPr>
        <w:t>：“相关”“有关”等无信息关系被丢弃；</w:t>
      </w:r>
    </w:p>
    <w:p w14:paraId="04FA9836">
      <w:pPr>
        <w:pStyle w:val="19"/>
        <w:spacing w:before="0" w:after="0" w:line="400" w:lineRule="exact"/>
      </w:pPr>
      <w:r>
        <w:rPr>
          <w:rFonts w:ascii="Times New Roman" w:hAnsi="Times New Roman" w:eastAsia="宋体"/>
          <w:b/>
          <w:sz w:val="24"/>
        </w:rPr>
        <w:t>双重标签</w:t>
      </w:r>
      <w:r>
        <w:rPr>
          <w:rFonts w:ascii="Times New Roman" w:hAnsi="Times New Roman" w:eastAsia="宋体"/>
          <w:b w:val="0"/>
          <w:sz w:val="24"/>
        </w:rPr>
        <w:t>：每个实体保留研究分类标签，能够对接官方口径的实体再补充官方分类标签；</w:t>
      </w:r>
    </w:p>
    <w:p w14:paraId="0F25FA6C">
      <w:pPr>
        <w:pStyle w:val="19"/>
        <w:spacing w:before="0" w:after="0" w:line="400" w:lineRule="exact"/>
      </w:pPr>
      <w:r>
        <w:rPr>
          <w:rFonts w:ascii="Times New Roman" w:hAnsi="Times New Roman" w:eastAsia="宋体"/>
          <w:b/>
          <w:sz w:val="24"/>
        </w:rPr>
        <w:t>证据句保留</w:t>
      </w:r>
      <w:r>
        <w:rPr>
          <w:rFonts w:ascii="Times New Roman" w:hAnsi="Times New Roman" w:eastAsia="宋体"/>
          <w:b w:val="0"/>
          <w:sz w:val="24"/>
        </w:rPr>
        <w:t>：每一条关系附带原文摘录，便于人工复核；</w:t>
      </w:r>
    </w:p>
    <w:p w14:paraId="72888481">
      <w:pPr>
        <w:pStyle w:val="19"/>
        <w:spacing w:before="0" w:after="0" w:line="400" w:lineRule="exact"/>
      </w:pPr>
      <w:r>
        <w:rPr>
          <w:rFonts w:ascii="Times New Roman" w:hAnsi="Times New Roman" w:eastAsia="宋体"/>
          <w:b/>
          <w:sz w:val="24"/>
        </w:rPr>
        <w:t>置信度标记</w:t>
      </w:r>
      <w:r>
        <w:rPr>
          <w:rFonts w:ascii="Times New Roman" w:hAnsi="Times New Roman" w:eastAsia="宋体"/>
          <w:b w:val="0"/>
          <w:sz w:val="24"/>
        </w:rPr>
        <w:t>：对抽取结果保留置信度信息，用于后续筛选和人工核查。</w:t>
      </w:r>
    </w:p>
    <w:p w14:paraId="0630AF4A">
      <w:pPr>
        <w:spacing w:before="0" w:after="0" w:line="400" w:lineRule="exact"/>
        <w:ind w:firstLine="480"/>
        <w:jc w:val="left"/>
      </w:pPr>
      <w:r>
        <w:rPr>
          <w:rFonts w:ascii="Times New Roman" w:hAnsi="Times New Roman" w:eastAsia="宋体"/>
          <w:b w:val="0"/>
          <w:sz w:val="24"/>
        </w:rPr>
        <w:t>这些控制并不能完全消除大语言模型抽取的不确定性，但能够把错误控制在可检查的范围内。对于本文而言，知识图谱不是直接替代人工判断，而是为文化记忆量化提供一套可追溯的中间层。</w:t>
      </w:r>
    </w:p>
    <w:p w14:paraId="5B815A55">
      <w:pPr>
        <w:spacing w:before="240" w:after="120" w:line="400" w:lineRule="exact"/>
        <w:jc w:val="left"/>
        <w:outlineLvl w:val="2"/>
      </w:pPr>
      <w:bookmarkStart w:id="41" w:name="_Toc28563"/>
      <w:r>
        <w:rPr>
          <w:rFonts w:ascii="Times New Roman" w:hAnsi="Times New Roman" w:eastAsia="黑体"/>
          <w:b/>
          <w:sz w:val="26"/>
        </w:rPr>
        <w:t>4.2.3 合并与入库</w:t>
      </w:r>
      <w:bookmarkEnd w:id="41"/>
    </w:p>
    <w:p w14:paraId="6280BCF6">
      <w:pPr>
        <w:spacing w:before="0" w:after="0" w:line="400" w:lineRule="exact"/>
        <w:ind w:firstLine="480"/>
        <w:jc w:val="left"/>
      </w:pPr>
      <w:r>
        <w:rPr>
          <w:rFonts w:ascii="Times New Roman" w:hAnsi="Times New Roman" w:eastAsia="宋体"/>
          <w:b w:val="0"/>
          <w:sz w:val="24"/>
        </w:rPr>
        <w:t>原始抽取共得到实体记录 61,218 条、关系记录 42,024 条。由于同一人物、地点或技艺可能在不同文献中以不同写法出现，本文进一步进行实体对齐、名称规范化、同义合并和规则筛选。合并后，知识图谱总库包含 8,048 个实体、19,382 条关系。其中，能够通过地名、建筑实体或文化锚点直接落到空间坐标的实体为 575 个。</w:t>
      </w:r>
    </w:p>
    <w:p w14:paraId="2C8D0565">
      <w:pPr>
        <w:spacing w:before="0" w:after="0" w:line="400" w:lineRule="exact"/>
        <w:ind w:firstLine="480"/>
        <w:jc w:val="left"/>
      </w:pPr>
      <w:r>
        <w:rPr>
          <w:rFonts w:ascii="Times New Roman" w:hAnsi="Times New Roman" w:eastAsia="宋体"/>
          <w:b w:val="0"/>
          <w:sz w:val="24"/>
        </w:rPr>
        <w:t>在可视化阶段，本文按 28 个小类的语料提及频次对节点进行分级，并映射为六组高对比度颜色。这样处理并不是为了追求复杂的视觉效果，而是为了在全局网络中快速识别高频实体类型与关键节点，为后续的典型子图分析提供基础。</w:t>
      </w:r>
    </w:p>
    <w:p w14:paraId="38CD6659">
      <w:pPr>
        <w:spacing w:before="240" w:after="120" w:line="400" w:lineRule="exact"/>
        <w:jc w:val="left"/>
        <w:outlineLvl w:val="1"/>
      </w:pPr>
      <w:bookmarkStart w:id="42" w:name="_Toc5184"/>
      <w:r>
        <w:rPr>
          <w:rFonts w:ascii="Times New Roman" w:hAnsi="Times New Roman" w:eastAsia="黑体"/>
          <w:b/>
          <w:sz w:val="28"/>
        </w:rPr>
        <w:t>4.3 图数据库的构建与可视化</w:t>
      </w:r>
      <w:bookmarkEnd w:id="42"/>
    </w:p>
    <w:p w14:paraId="1C755661">
      <w:pPr>
        <w:spacing w:before="240" w:after="120" w:line="400" w:lineRule="exact"/>
        <w:jc w:val="left"/>
        <w:outlineLvl w:val="2"/>
      </w:pPr>
      <w:bookmarkStart w:id="43" w:name="_Toc30480"/>
      <w:r>
        <w:rPr>
          <w:rFonts w:ascii="Times New Roman" w:hAnsi="Times New Roman" w:eastAsia="黑体"/>
          <w:b/>
          <w:sz w:val="26"/>
        </w:rPr>
        <w:t>4.3.1 构建过程</w:t>
      </w:r>
      <w:bookmarkEnd w:id="43"/>
    </w:p>
    <w:p w14:paraId="2AFF3D42">
      <w:pPr>
        <w:spacing w:before="0" w:after="0" w:line="400" w:lineRule="exact"/>
        <w:ind w:firstLine="480"/>
        <w:jc w:val="left"/>
      </w:pPr>
      <w:r>
        <w:rPr>
          <w:rFonts w:ascii="Times New Roman" w:hAnsi="Times New Roman" w:eastAsia="宋体"/>
          <w:b w:val="0"/>
          <w:sz w:val="24"/>
        </w:rPr>
        <w:t>图数据库构建以合并后的实体和关系总库为基础。本文将节点与关系导入 Neo4j，并完成索引建立、节点着色和层次划分。需要说明的是，本文的实体数量、关系数量和后续指数计算均以合并后的知识图谱总库为准；Neo4j 主要用于检查网络结构、观察局部关系和导出典型子图。</w:t>
      </w:r>
    </w:p>
    <w:p w14:paraId="697734D4">
      <w:pPr>
        <w:spacing w:before="0" w:after="0" w:line="400" w:lineRule="exact"/>
        <w:ind w:firstLine="480"/>
        <w:jc w:val="left"/>
      </w:pPr>
      <w:r>
        <w:rPr>
          <w:rFonts w:ascii="Times New Roman" w:hAnsi="Times New Roman" w:eastAsia="宋体"/>
          <w:b w:val="0"/>
          <w:sz w:val="24"/>
        </w:rPr>
        <w:t>通过这一过程，典籍中的空间、人物、技艺与文献记忆被组织为一个可查询、可追溯的关系网络。它并不直接给出文旅融合结论，而是为后续“文化记忆指数”的计算提供基础材料。</w:t>
      </w:r>
    </w:p>
    <w:p w14:paraId="5E6482C5">
      <w:pPr>
        <w:spacing w:before="240" w:after="120" w:line="400" w:lineRule="exact"/>
        <w:jc w:val="left"/>
        <w:outlineLvl w:val="2"/>
      </w:pPr>
      <w:bookmarkStart w:id="44" w:name="_Toc3981"/>
      <w:r>
        <w:rPr>
          <w:rFonts w:ascii="Times New Roman" w:hAnsi="Times New Roman" w:eastAsia="黑体"/>
          <w:b/>
          <w:sz w:val="26"/>
        </w:rPr>
        <w:t>4.3.2 典型子图展示</w:t>
      </w:r>
      <w:bookmarkEnd w:id="44"/>
    </w:p>
    <w:p w14:paraId="3A25EB88">
      <w:pPr>
        <w:spacing w:before="60" w:after="40" w:line="400" w:lineRule="exact"/>
        <w:jc w:val="center"/>
      </w:pPr>
      <w:r>
        <w:drawing>
          <wp:inline distT="0" distB="0" distL="114300" distR="114300">
            <wp:extent cx="5471795" cy="3332480"/>
            <wp:effectExtent l="0" t="0" r="146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3332945"/>
                    </a:xfrm>
                    <a:prstGeom prst="rect">
                      <a:avLst/>
                    </a:prstGeom>
                  </pic:spPr>
                </pic:pic>
              </a:graphicData>
            </a:graphic>
          </wp:inline>
        </w:drawing>
      </w:r>
    </w:p>
    <w:p w14:paraId="27807088">
      <w:pPr>
        <w:spacing w:before="40" w:after="120" w:line="400" w:lineRule="exact"/>
        <w:jc w:val="center"/>
      </w:pPr>
      <w:r>
        <w:rPr>
          <w:rFonts w:ascii="Times New Roman" w:hAnsi="Times New Roman" w:eastAsia="宋体"/>
          <w:b/>
          <w:sz w:val="21"/>
        </w:rPr>
        <w:t>图 4.2　知识图谱全局网络与典型人物子图</w:t>
      </w:r>
    </w:p>
    <w:p w14:paraId="08235A2A">
      <w:pPr>
        <w:spacing w:before="0" w:after="0" w:line="400" w:lineRule="exact"/>
        <w:ind w:firstLine="480"/>
        <w:jc w:val="left"/>
      </w:pPr>
      <w:r>
        <w:rPr>
          <w:rFonts w:ascii="Times New Roman" w:hAnsi="Times New Roman" w:eastAsia="宋体"/>
          <w:b w:val="0"/>
          <w:sz w:val="24"/>
        </w:rPr>
        <w:t>图 4.2 汇总展示了知识图谱全局网络与人物关联子图。由于全局网络节点较多，图中全局图主要用于观察整体结构和高频节点的位置，不承担逐一识读节点标签的功能；人物子图则用于说明典籍记忆如何通过人物、地点、技艺与事件向外扩展。</w:t>
      </w:r>
    </w:p>
    <w:p w14:paraId="595C313B">
      <w:pPr>
        <w:spacing w:before="0" w:after="0" w:line="400" w:lineRule="exact"/>
        <w:ind w:firstLine="480"/>
        <w:jc w:val="left"/>
      </w:pPr>
      <w:r>
        <w:rPr>
          <w:rFonts w:ascii="Times New Roman" w:hAnsi="Times New Roman" w:eastAsia="宋体"/>
          <w:b w:val="0"/>
          <w:sz w:val="24"/>
        </w:rPr>
        <w:t>本文进一步选取若干典型子图用于解释文化记忆来源。康有为子图以康有为为中心，向外辐射梁启超、万木草堂、南海九江、丹灶苏村等关联；黄飞鸿子图串联洪拳、十字拳、狮舞—醒狮、广东十虎、佛山精武体育会等实体；桑园围子图涉及西樵山、九江、保安围、围堤、龙舟等地名与活动；西樵山子图则连接云泉仙馆、三湖书院、白云洞、理学、书院文化等实体。</w:t>
      </w:r>
    </w:p>
    <w:p w14:paraId="6CE4B6B4">
      <w:pPr>
        <w:spacing w:before="0" w:after="0" w:line="400" w:lineRule="exact"/>
        <w:ind w:firstLine="480"/>
        <w:jc w:val="left"/>
      </w:pPr>
      <w:r>
        <w:rPr>
          <w:rFonts w:ascii="Times New Roman" w:hAnsi="Times New Roman" w:eastAsia="宋体"/>
          <w:b w:val="0"/>
          <w:sz w:val="24"/>
        </w:rPr>
        <w:t>这些子图为第 5 章的耦合分析提供了语义基础。当研究某个物质文化载体时，可以从知识图谱侧反向追溯与其关联的人物、事件、典籍与技艺实体，并将相关提及频次和关系证据转化为文化记忆指数的原始量值。需要注意的是，知识图谱结果仍然依赖文字识别质量、模型抽取稳定性和后续规则筛选，因此本文在使用图谱指标时保留证据句和来源文献，便于人工核查。</w:t>
      </w:r>
    </w:p>
    <w:p w14:paraId="0D2C8685">
      <w:r>
        <w:br w:type="page"/>
      </w:r>
    </w:p>
    <w:p w14:paraId="67E364FC">
      <w:pPr>
        <w:spacing w:before="360" w:after="160" w:line="400" w:lineRule="exact"/>
        <w:jc w:val="center"/>
        <w:outlineLvl w:val="0"/>
      </w:pPr>
      <w:bookmarkStart w:id="45" w:name="_Toc10492"/>
      <w:r>
        <w:rPr>
          <w:rFonts w:ascii="Times New Roman" w:hAnsi="Times New Roman" w:eastAsia="黑体"/>
          <w:b/>
          <w:sz w:val="32"/>
        </w:rPr>
        <w:t>第 5 章　旅游产品体系刻画与耦合分析</w:t>
      </w:r>
      <w:bookmarkEnd w:id="45"/>
    </w:p>
    <w:p w14:paraId="3055C86E">
      <w:pPr>
        <w:spacing w:before="240" w:after="120" w:line="400" w:lineRule="exact"/>
        <w:jc w:val="left"/>
        <w:outlineLvl w:val="1"/>
      </w:pPr>
      <w:bookmarkStart w:id="46" w:name="_Toc745"/>
      <w:r>
        <w:rPr>
          <w:rFonts w:ascii="Times New Roman" w:hAnsi="Times New Roman" w:eastAsia="黑体"/>
          <w:b/>
          <w:sz w:val="28"/>
        </w:rPr>
        <w:t>5.1 旅游产品体系的结构</w:t>
      </w:r>
      <w:bookmarkEnd w:id="46"/>
    </w:p>
    <w:p w14:paraId="4A0B887A">
      <w:pPr>
        <w:spacing w:before="240" w:after="120" w:line="400" w:lineRule="exact"/>
        <w:jc w:val="left"/>
        <w:outlineLvl w:val="2"/>
      </w:pPr>
      <w:bookmarkStart w:id="47" w:name="_Toc21921"/>
      <w:r>
        <w:rPr>
          <w:rFonts w:ascii="Times New Roman" w:hAnsi="Times New Roman" w:eastAsia="黑体"/>
          <w:b/>
          <w:sz w:val="26"/>
        </w:rPr>
        <w:t>5.1.1 类型构成</w:t>
      </w:r>
      <w:bookmarkEnd w:id="47"/>
    </w:p>
    <w:p w14:paraId="3490AE94">
      <w:pPr>
        <w:spacing w:before="0" w:after="0" w:line="400" w:lineRule="exact"/>
        <w:ind w:firstLine="480"/>
        <w:jc w:val="left"/>
      </w:pPr>
      <w:r>
        <w:rPr>
          <w:rFonts w:ascii="Times New Roman" w:hAnsi="Times New Roman" w:eastAsia="宋体"/>
          <w:b w:val="0"/>
          <w:sz w:val="24"/>
        </w:rPr>
        <w:t>基于清洗后的 13,512 条 POI，南海区旅游产品可归入 11 个类型（表 5.1）。其中，“公园绿地”和“自然景观”合计占 70.8%，说明当前旅游供给首先表现为绿色开放空间和自然游憩空间的集中；而“非遗体验”“文化场馆”和“特色街区”合计仅占 3.8%，反映出可直接转化为文化体验的产品供给仍然偏少。“其他”类占 14.9%，主要作为分类口径中的补充项，本文在后续解释中不对其作过度文化化判断。</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10"/>
        <w:gridCol w:w="2910"/>
        <w:gridCol w:w="2910"/>
      </w:tblGrid>
      <w:tr w14:paraId="14D5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4D456069">
            <w:pPr>
              <w:spacing w:before="0" w:after="0" w:line="320" w:lineRule="exact"/>
              <w:jc w:val="center"/>
            </w:pPr>
            <w:r>
              <w:rPr>
                <w:rFonts w:ascii="Times New Roman" w:hAnsi="Times New Roman" w:eastAsia="宋体"/>
                <w:b/>
                <w:sz w:val="21"/>
              </w:rPr>
              <w:t>类型</w:t>
            </w:r>
          </w:p>
        </w:tc>
        <w:tc>
          <w:tcPr>
            <w:tcW w:w="2910" w:type="dxa"/>
            <w:vAlign w:val="center"/>
          </w:tcPr>
          <w:p w14:paraId="4BCAC8F2">
            <w:pPr>
              <w:spacing w:before="0" w:after="0" w:line="320" w:lineRule="exact"/>
              <w:jc w:val="center"/>
            </w:pPr>
            <w:r>
              <w:rPr>
                <w:rFonts w:ascii="Times New Roman" w:hAnsi="Times New Roman" w:eastAsia="宋体"/>
                <w:b/>
                <w:sz w:val="21"/>
              </w:rPr>
              <w:t>数量</w:t>
            </w:r>
          </w:p>
        </w:tc>
        <w:tc>
          <w:tcPr>
            <w:tcW w:w="2910" w:type="dxa"/>
            <w:vAlign w:val="center"/>
          </w:tcPr>
          <w:p w14:paraId="21F11FD0">
            <w:pPr>
              <w:spacing w:before="0" w:after="0" w:line="320" w:lineRule="exact"/>
              <w:jc w:val="center"/>
            </w:pPr>
            <w:r>
              <w:rPr>
                <w:rFonts w:ascii="Times New Roman" w:hAnsi="Times New Roman" w:eastAsia="宋体"/>
                <w:b/>
                <w:sz w:val="21"/>
              </w:rPr>
              <w:t>占比</w:t>
            </w:r>
          </w:p>
        </w:tc>
      </w:tr>
      <w:tr w14:paraId="168E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7BFCB3C6">
            <w:pPr>
              <w:spacing w:before="0" w:after="0" w:line="320" w:lineRule="exact"/>
              <w:jc w:val="left"/>
            </w:pPr>
            <w:r>
              <w:rPr>
                <w:rFonts w:ascii="Times New Roman" w:hAnsi="Times New Roman" w:eastAsia="宋体"/>
                <w:b w:val="0"/>
                <w:sz w:val="21"/>
              </w:rPr>
              <w:t>公园绿地</w:t>
            </w:r>
          </w:p>
        </w:tc>
        <w:tc>
          <w:tcPr>
            <w:tcW w:w="2910" w:type="dxa"/>
            <w:vAlign w:val="center"/>
          </w:tcPr>
          <w:p w14:paraId="7DA91174">
            <w:pPr>
              <w:spacing w:before="0" w:after="0" w:line="320" w:lineRule="exact"/>
              <w:jc w:val="left"/>
            </w:pPr>
            <w:r>
              <w:rPr>
                <w:rFonts w:ascii="Times New Roman" w:hAnsi="Times New Roman" w:eastAsia="宋体"/>
                <w:b w:val="0"/>
                <w:sz w:val="21"/>
              </w:rPr>
              <w:t>5,441</w:t>
            </w:r>
          </w:p>
        </w:tc>
        <w:tc>
          <w:tcPr>
            <w:tcW w:w="2910" w:type="dxa"/>
            <w:vAlign w:val="center"/>
          </w:tcPr>
          <w:p w14:paraId="1EE26841">
            <w:pPr>
              <w:spacing w:before="0" w:after="0" w:line="320" w:lineRule="exact"/>
              <w:jc w:val="left"/>
            </w:pPr>
            <w:r>
              <w:rPr>
                <w:rFonts w:ascii="Times New Roman" w:hAnsi="Times New Roman" w:eastAsia="宋体"/>
                <w:b w:val="0"/>
                <w:sz w:val="21"/>
              </w:rPr>
              <w:t>40.3 %</w:t>
            </w:r>
          </w:p>
        </w:tc>
      </w:tr>
      <w:tr w14:paraId="1984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2B5F67AD">
            <w:pPr>
              <w:spacing w:before="0" w:after="0" w:line="320" w:lineRule="exact"/>
              <w:jc w:val="left"/>
            </w:pPr>
            <w:r>
              <w:rPr>
                <w:rFonts w:ascii="Times New Roman" w:hAnsi="Times New Roman" w:eastAsia="宋体"/>
                <w:b w:val="0"/>
                <w:sz w:val="21"/>
              </w:rPr>
              <w:t>自然景观</w:t>
            </w:r>
          </w:p>
        </w:tc>
        <w:tc>
          <w:tcPr>
            <w:tcW w:w="2910" w:type="dxa"/>
            <w:vAlign w:val="center"/>
          </w:tcPr>
          <w:p w14:paraId="5235E81B">
            <w:pPr>
              <w:spacing w:before="0" w:after="0" w:line="320" w:lineRule="exact"/>
              <w:jc w:val="left"/>
            </w:pPr>
            <w:r>
              <w:rPr>
                <w:rFonts w:ascii="Times New Roman" w:hAnsi="Times New Roman" w:eastAsia="宋体"/>
                <w:b w:val="0"/>
                <w:sz w:val="21"/>
              </w:rPr>
              <w:t>4,123</w:t>
            </w:r>
          </w:p>
        </w:tc>
        <w:tc>
          <w:tcPr>
            <w:tcW w:w="2910" w:type="dxa"/>
            <w:vAlign w:val="center"/>
          </w:tcPr>
          <w:p w14:paraId="2D017BBF">
            <w:pPr>
              <w:spacing w:before="0" w:after="0" w:line="320" w:lineRule="exact"/>
              <w:jc w:val="left"/>
            </w:pPr>
            <w:r>
              <w:rPr>
                <w:rFonts w:ascii="Times New Roman" w:hAnsi="Times New Roman" w:eastAsia="宋体"/>
                <w:b w:val="0"/>
                <w:sz w:val="21"/>
              </w:rPr>
              <w:t>30.5 %</w:t>
            </w:r>
          </w:p>
        </w:tc>
      </w:tr>
      <w:tr w14:paraId="0659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6299449A">
            <w:pPr>
              <w:spacing w:before="0" w:after="0" w:line="320" w:lineRule="exact"/>
              <w:jc w:val="left"/>
            </w:pPr>
            <w:r>
              <w:rPr>
                <w:rFonts w:ascii="Times New Roman" w:hAnsi="Times New Roman" w:eastAsia="宋体"/>
                <w:b w:val="0"/>
                <w:sz w:val="21"/>
              </w:rPr>
              <w:t>其他</w:t>
            </w:r>
          </w:p>
        </w:tc>
        <w:tc>
          <w:tcPr>
            <w:tcW w:w="2910" w:type="dxa"/>
            <w:vAlign w:val="center"/>
          </w:tcPr>
          <w:p w14:paraId="0E183D73">
            <w:pPr>
              <w:spacing w:before="0" w:after="0" w:line="320" w:lineRule="exact"/>
              <w:jc w:val="left"/>
            </w:pPr>
            <w:r>
              <w:rPr>
                <w:rFonts w:ascii="Times New Roman" w:hAnsi="Times New Roman" w:eastAsia="宋体"/>
                <w:b w:val="0"/>
                <w:sz w:val="21"/>
              </w:rPr>
              <w:t>2,018</w:t>
            </w:r>
          </w:p>
        </w:tc>
        <w:tc>
          <w:tcPr>
            <w:tcW w:w="2910" w:type="dxa"/>
            <w:vAlign w:val="center"/>
          </w:tcPr>
          <w:p w14:paraId="09358BF6">
            <w:pPr>
              <w:spacing w:before="0" w:after="0" w:line="320" w:lineRule="exact"/>
              <w:jc w:val="left"/>
            </w:pPr>
            <w:r>
              <w:rPr>
                <w:rFonts w:ascii="Times New Roman" w:hAnsi="Times New Roman" w:eastAsia="宋体"/>
                <w:b w:val="0"/>
                <w:sz w:val="21"/>
              </w:rPr>
              <w:t>14.9 %</w:t>
            </w:r>
          </w:p>
        </w:tc>
      </w:tr>
      <w:tr w14:paraId="381A6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18A3B6D8">
            <w:pPr>
              <w:spacing w:before="0" w:after="0" w:line="320" w:lineRule="exact"/>
              <w:jc w:val="left"/>
            </w:pPr>
            <w:r>
              <w:rPr>
                <w:rFonts w:ascii="Times New Roman" w:hAnsi="Times New Roman" w:eastAsia="宋体"/>
                <w:b w:val="0"/>
                <w:sz w:val="21"/>
              </w:rPr>
              <w:t>宗教场所</w:t>
            </w:r>
          </w:p>
        </w:tc>
        <w:tc>
          <w:tcPr>
            <w:tcW w:w="2910" w:type="dxa"/>
            <w:vAlign w:val="center"/>
          </w:tcPr>
          <w:p w14:paraId="2E25CF05">
            <w:pPr>
              <w:spacing w:before="0" w:after="0" w:line="320" w:lineRule="exact"/>
              <w:jc w:val="left"/>
            </w:pPr>
            <w:r>
              <w:rPr>
                <w:rFonts w:ascii="Times New Roman" w:hAnsi="Times New Roman" w:eastAsia="宋体"/>
                <w:b w:val="0"/>
                <w:sz w:val="21"/>
              </w:rPr>
              <w:t>481</w:t>
            </w:r>
          </w:p>
        </w:tc>
        <w:tc>
          <w:tcPr>
            <w:tcW w:w="2910" w:type="dxa"/>
            <w:vAlign w:val="center"/>
          </w:tcPr>
          <w:p w14:paraId="3A5AB719">
            <w:pPr>
              <w:spacing w:before="0" w:after="0" w:line="320" w:lineRule="exact"/>
              <w:jc w:val="left"/>
            </w:pPr>
            <w:r>
              <w:rPr>
                <w:rFonts w:ascii="Times New Roman" w:hAnsi="Times New Roman" w:eastAsia="宋体"/>
                <w:b w:val="0"/>
                <w:sz w:val="21"/>
              </w:rPr>
              <w:t>3.6 %</w:t>
            </w:r>
          </w:p>
        </w:tc>
      </w:tr>
      <w:tr w14:paraId="67955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58D15B90">
            <w:pPr>
              <w:spacing w:before="0" w:after="0" w:line="320" w:lineRule="exact"/>
              <w:jc w:val="left"/>
            </w:pPr>
            <w:r>
              <w:rPr>
                <w:rFonts w:ascii="Times New Roman" w:hAnsi="Times New Roman" w:eastAsia="宋体"/>
                <w:b w:val="0"/>
                <w:sz w:val="21"/>
              </w:rPr>
              <w:t>人文古迹</w:t>
            </w:r>
          </w:p>
        </w:tc>
        <w:tc>
          <w:tcPr>
            <w:tcW w:w="2910" w:type="dxa"/>
            <w:vAlign w:val="center"/>
          </w:tcPr>
          <w:p w14:paraId="4452FF00">
            <w:pPr>
              <w:spacing w:before="0" w:after="0" w:line="320" w:lineRule="exact"/>
              <w:jc w:val="left"/>
            </w:pPr>
            <w:r>
              <w:rPr>
                <w:rFonts w:ascii="Times New Roman" w:hAnsi="Times New Roman" w:eastAsia="宋体"/>
                <w:b w:val="0"/>
                <w:sz w:val="21"/>
              </w:rPr>
              <w:t>420</w:t>
            </w:r>
          </w:p>
        </w:tc>
        <w:tc>
          <w:tcPr>
            <w:tcW w:w="2910" w:type="dxa"/>
            <w:vAlign w:val="center"/>
          </w:tcPr>
          <w:p w14:paraId="688DEA77">
            <w:pPr>
              <w:spacing w:before="0" w:after="0" w:line="320" w:lineRule="exact"/>
              <w:jc w:val="left"/>
            </w:pPr>
            <w:r>
              <w:rPr>
                <w:rFonts w:ascii="Times New Roman" w:hAnsi="Times New Roman" w:eastAsia="宋体"/>
                <w:b w:val="0"/>
                <w:sz w:val="21"/>
              </w:rPr>
              <w:t>3.1 %</w:t>
            </w:r>
          </w:p>
        </w:tc>
      </w:tr>
      <w:tr w14:paraId="51029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6560615E">
            <w:pPr>
              <w:spacing w:before="0" w:after="0" w:line="320" w:lineRule="exact"/>
              <w:jc w:val="left"/>
            </w:pPr>
            <w:r>
              <w:rPr>
                <w:rFonts w:ascii="Times New Roman" w:hAnsi="Times New Roman" w:eastAsia="宋体"/>
                <w:b w:val="0"/>
                <w:sz w:val="21"/>
              </w:rPr>
              <w:t>文化场馆</w:t>
            </w:r>
          </w:p>
        </w:tc>
        <w:tc>
          <w:tcPr>
            <w:tcW w:w="2910" w:type="dxa"/>
            <w:vAlign w:val="center"/>
          </w:tcPr>
          <w:p w14:paraId="7B365504">
            <w:pPr>
              <w:spacing w:before="0" w:after="0" w:line="320" w:lineRule="exact"/>
              <w:jc w:val="left"/>
            </w:pPr>
            <w:r>
              <w:rPr>
                <w:rFonts w:ascii="Times New Roman" w:hAnsi="Times New Roman" w:eastAsia="宋体"/>
                <w:b w:val="0"/>
                <w:sz w:val="21"/>
              </w:rPr>
              <w:t>318</w:t>
            </w:r>
          </w:p>
        </w:tc>
        <w:tc>
          <w:tcPr>
            <w:tcW w:w="2910" w:type="dxa"/>
            <w:vAlign w:val="center"/>
          </w:tcPr>
          <w:p w14:paraId="0B2B187D">
            <w:pPr>
              <w:spacing w:before="0" w:after="0" w:line="320" w:lineRule="exact"/>
              <w:jc w:val="left"/>
            </w:pPr>
            <w:r>
              <w:rPr>
                <w:rFonts w:ascii="Times New Roman" w:hAnsi="Times New Roman" w:eastAsia="宋体"/>
                <w:b w:val="0"/>
                <w:sz w:val="21"/>
              </w:rPr>
              <w:t>2.4 %</w:t>
            </w:r>
          </w:p>
        </w:tc>
      </w:tr>
      <w:tr w14:paraId="270F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04F2A970">
            <w:pPr>
              <w:spacing w:before="0" w:after="0" w:line="320" w:lineRule="exact"/>
              <w:jc w:val="left"/>
            </w:pPr>
            <w:r>
              <w:rPr>
                <w:rFonts w:ascii="Times New Roman" w:hAnsi="Times New Roman" w:eastAsia="宋体"/>
                <w:b w:val="0"/>
                <w:sz w:val="21"/>
              </w:rPr>
              <w:t>休闲娱乐</w:t>
            </w:r>
          </w:p>
        </w:tc>
        <w:tc>
          <w:tcPr>
            <w:tcW w:w="2910" w:type="dxa"/>
            <w:vAlign w:val="center"/>
          </w:tcPr>
          <w:p w14:paraId="5B9E0C4E">
            <w:pPr>
              <w:spacing w:before="0" w:after="0" w:line="320" w:lineRule="exact"/>
              <w:jc w:val="left"/>
            </w:pPr>
            <w:r>
              <w:rPr>
                <w:rFonts w:ascii="Times New Roman" w:hAnsi="Times New Roman" w:eastAsia="宋体"/>
                <w:b w:val="0"/>
                <w:sz w:val="21"/>
              </w:rPr>
              <w:t>242</w:t>
            </w:r>
          </w:p>
        </w:tc>
        <w:tc>
          <w:tcPr>
            <w:tcW w:w="2910" w:type="dxa"/>
            <w:vAlign w:val="center"/>
          </w:tcPr>
          <w:p w14:paraId="72B9E904">
            <w:pPr>
              <w:spacing w:before="0" w:after="0" w:line="320" w:lineRule="exact"/>
              <w:jc w:val="left"/>
            </w:pPr>
            <w:r>
              <w:rPr>
                <w:rFonts w:ascii="Times New Roman" w:hAnsi="Times New Roman" w:eastAsia="宋体"/>
                <w:b w:val="0"/>
                <w:sz w:val="21"/>
              </w:rPr>
              <w:t>1.8 %</w:t>
            </w:r>
          </w:p>
        </w:tc>
      </w:tr>
      <w:tr w14:paraId="25530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1178D31A">
            <w:pPr>
              <w:spacing w:before="0" w:after="0" w:line="320" w:lineRule="exact"/>
              <w:jc w:val="left"/>
            </w:pPr>
            <w:r>
              <w:rPr>
                <w:rFonts w:ascii="Times New Roman" w:hAnsi="Times New Roman" w:eastAsia="宋体"/>
                <w:b w:val="0"/>
                <w:sz w:val="21"/>
              </w:rPr>
              <w:t>体育设施</w:t>
            </w:r>
          </w:p>
        </w:tc>
        <w:tc>
          <w:tcPr>
            <w:tcW w:w="2910" w:type="dxa"/>
            <w:vAlign w:val="center"/>
          </w:tcPr>
          <w:p w14:paraId="2C8C843A">
            <w:pPr>
              <w:spacing w:before="0" w:after="0" w:line="320" w:lineRule="exact"/>
              <w:jc w:val="left"/>
            </w:pPr>
            <w:r>
              <w:rPr>
                <w:rFonts w:ascii="Times New Roman" w:hAnsi="Times New Roman" w:eastAsia="宋体"/>
                <w:b w:val="0"/>
                <w:sz w:val="21"/>
              </w:rPr>
              <w:t>175</w:t>
            </w:r>
          </w:p>
        </w:tc>
        <w:tc>
          <w:tcPr>
            <w:tcW w:w="2910" w:type="dxa"/>
            <w:vAlign w:val="center"/>
          </w:tcPr>
          <w:p w14:paraId="796B4F93">
            <w:pPr>
              <w:spacing w:before="0" w:after="0" w:line="320" w:lineRule="exact"/>
              <w:jc w:val="left"/>
            </w:pPr>
            <w:r>
              <w:rPr>
                <w:rFonts w:ascii="Times New Roman" w:hAnsi="Times New Roman" w:eastAsia="宋体"/>
                <w:b w:val="0"/>
                <w:sz w:val="21"/>
              </w:rPr>
              <w:t>1.3 %</w:t>
            </w:r>
          </w:p>
        </w:tc>
      </w:tr>
      <w:tr w14:paraId="206FE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30C12E64">
            <w:pPr>
              <w:spacing w:before="0" w:after="0" w:line="320" w:lineRule="exact"/>
              <w:jc w:val="left"/>
            </w:pPr>
            <w:r>
              <w:rPr>
                <w:rFonts w:ascii="Times New Roman" w:hAnsi="Times New Roman" w:eastAsia="宋体"/>
                <w:b w:val="0"/>
                <w:sz w:val="21"/>
              </w:rPr>
              <w:t>非遗体验</w:t>
            </w:r>
          </w:p>
        </w:tc>
        <w:tc>
          <w:tcPr>
            <w:tcW w:w="2910" w:type="dxa"/>
            <w:vAlign w:val="center"/>
          </w:tcPr>
          <w:p w14:paraId="19336E90">
            <w:pPr>
              <w:spacing w:before="0" w:after="0" w:line="320" w:lineRule="exact"/>
              <w:jc w:val="left"/>
            </w:pPr>
            <w:r>
              <w:rPr>
                <w:rFonts w:ascii="Times New Roman" w:hAnsi="Times New Roman" w:eastAsia="宋体"/>
                <w:b w:val="0"/>
                <w:sz w:val="21"/>
              </w:rPr>
              <w:t>137</w:t>
            </w:r>
          </w:p>
        </w:tc>
        <w:tc>
          <w:tcPr>
            <w:tcW w:w="2910" w:type="dxa"/>
            <w:vAlign w:val="center"/>
          </w:tcPr>
          <w:p w14:paraId="072E3910">
            <w:pPr>
              <w:spacing w:before="0" w:after="0" w:line="320" w:lineRule="exact"/>
              <w:jc w:val="left"/>
            </w:pPr>
            <w:r>
              <w:rPr>
                <w:rFonts w:ascii="Times New Roman" w:hAnsi="Times New Roman" w:eastAsia="宋体"/>
                <w:b w:val="0"/>
                <w:sz w:val="21"/>
              </w:rPr>
              <w:t>1.0 %</w:t>
            </w:r>
          </w:p>
        </w:tc>
      </w:tr>
      <w:tr w14:paraId="079E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6B0446D6">
            <w:pPr>
              <w:spacing w:before="0" w:after="0" w:line="320" w:lineRule="exact"/>
              <w:jc w:val="left"/>
            </w:pPr>
            <w:r>
              <w:rPr>
                <w:rFonts w:ascii="Times New Roman" w:hAnsi="Times New Roman" w:eastAsia="宋体"/>
                <w:b w:val="0"/>
                <w:sz w:val="21"/>
              </w:rPr>
              <w:t>教育研学</w:t>
            </w:r>
          </w:p>
        </w:tc>
        <w:tc>
          <w:tcPr>
            <w:tcW w:w="2910" w:type="dxa"/>
            <w:vAlign w:val="center"/>
          </w:tcPr>
          <w:p w14:paraId="3487170A">
            <w:pPr>
              <w:spacing w:before="0" w:after="0" w:line="320" w:lineRule="exact"/>
              <w:jc w:val="left"/>
            </w:pPr>
            <w:r>
              <w:rPr>
                <w:rFonts w:ascii="Times New Roman" w:hAnsi="Times New Roman" w:eastAsia="宋体"/>
                <w:b w:val="0"/>
                <w:sz w:val="21"/>
              </w:rPr>
              <w:t>104</w:t>
            </w:r>
          </w:p>
        </w:tc>
        <w:tc>
          <w:tcPr>
            <w:tcW w:w="2910" w:type="dxa"/>
            <w:vAlign w:val="center"/>
          </w:tcPr>
          <w:p w14:paraId="61E27075">
            <w:pPr>
              <w:spacing w:before="0" w:after="0" w:line="320" w:lineRule="exact"/>
              <w:jc w:val="left"/>
            </w:pPr>
            <w:r>
              <w:rPr>
                <w:rFonts w:ascii="Times New Roman" w:hAnsi="Times New Roman" w:eastAsia="宋体"/>
                <w:b w:val="0"/>
                <w:sz w:val="21"/>
              </w:rPr>
              <w:t>0.8 %</w:t>
            </w:r>
          </w:p>
        </w:tc>
      </w:tr>
      <w:tr w14:paraId="1B6A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5D742248">
            <w:pPr>
              <w:spacing w:before="0" w:after="0" w:line="320" w:lineRule="exact"/>
              <w:jc w:val="left"/>
            </w:pPr>
            <w:r>
              <w:rPr>
                <w:rFonts w:ascii="Times New Roman" w:hAnsi="Times New Roman" w:eastAsia="宋体"/>
                <w:b w:val="0"/>
                <w:sz w:val="21"/>
              </w:rPr>
              <w:t>特色街区</w:t>
            </w:r>
          </w:p>
        </w:tc>
        <w:tc>
          <w:tcPr>
            <w:tcW w:w="2910" w:type="dxa"/>
            <w:vAlign w:val="center"/>
          </w:tcPr>
          <w:p w14:paraId="1A7489C7">
            <w:pPr>
              <w:spacing w:before="0" w:after="0" w:line="320" w:lineRule="exact"/>
              <w:jc w:val="left"/>
            </w:pPr>
            <w:r>
              <w:rPr>
                <w:rFonts w:ascii="Times New Roman" w:hAnsi="Times New Roman" w:eastAsia="宋体"/>
                <w:b w:val="0"/>
                <w:sz w:val="21"/>
              </w:rPr>
              <w:t>53</w:t>
            </w:r>
          </w:p>
        </w:tc>
        <w:tc>
          <w:tcPr>
            <w:tcW w:w="2910" w:type="dxa"/>
            <w:vAlign w:val="center"/>
          </w:tcPr>
          <w:p w14:paraId="3C78286C">
            <w:pPr>
              <w:spacing w:before="0" w:after="0" w:line="320" w:lineRule="exact"/>
              <w:jc w:val="left"/>
            </w:pPr>
            <w:r>
              <w:rPr>
                <w:rFonts w:ascii="Times New Roman" w:hAnsi="Times New Roman" w:eastAsia="宋体"/>
                <w:b w:val="0"/>
                <w:sz w:val="21"/>
              </w:rPr>
              <w:t>0.4 %</w:t>
            </w:r>
          </w:p>
        </w:tc>
      </w:tr>
      <w:tr w14:paraId="22CB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0BB34CB6">
            <w:pPr>
              <w:spacing w:before="0" w:after="0" w:line="320" w:lineRule="exact"/>
              <w:jc w:val="left"/>
            </w:pPr>
            <w:r>
              <w:rPr>
                <w:rFonts w:ascii="Times New Roman" w:hAnsi="Times New Roman" w:eastAsia="宋体"/>
                <w:b w:val="0"/>
                <w:sz w:val="21"/>
              </w:rPr>
              <w:t>合计</w:t>
            </w:r>
          </w:p>
        </w:tc>
        <w:tc>
          <w:tcPr>
            <w:tcW w:w="2910" w:type="dxa"/>
            <w:vAlign w:val="center"/>
          </w:tcPr>
          <w:p w14:paraId="46C31F3E">
            <w:pPr>
              <w:spacing w:before="0" w:after="0" w:line="320" w:lineRule="exact"/>
              <w:jc w:val="left"/>
            </w:pPr>
            <w:r>
              <w:rPr>
                <w:rFonts w:ascii="Times New Roman" w:hAnsi="Times New Roman" w:eastAsia="宋体"/>
                <w:b w:val="0"/>
                <w:sz w:val="21"/>
              </w:rPr>
              <w:t>13,512</w:t>
            </w:r>
          </w:p>
        </w:tc>
        <w:tc>
          <w:tcPr>
            <w:tcW w:w="2910" w:type="dxa"/>
            <w:vAlign w:val="center"/>
          </w:tcPr>
          <w:p w14:paraId="2B1026AE">
            <w:pPr>
              <w:spacing w:before="0" w:after="0" w:line="320" w:lineRule="exact"/>
              <w:jc w:val="left"/>
            </w:pPr>
            <w:r>
              <w:rPr>
                <w:rFonts w:ascii="Times New Roman" w:hAnsi="Times New Roman" w:eastAsia="宋体"/>
                <w:b w:val="0"/>
                <w:sz w:val="21"/>
              </w:rPr>
              <w:t>100 %</w:t>
            </w:r>
          </w:p>
        </w:tc>
      </w:tr>
    </w:tbl>
    <w:p w14:paraId="5DDB485D">
      <w:pPr>
        <w:spacing w:before="40" w:after="120" w:line="400" w:lineRule="exact"/>
        <w:jc w:val="center"/>
      </w:pPr>
      <w:r>
        <w:rPr>
          <w:rFonts w:ascii="Times New Roman" w:hAnsi="Times New Roman" w:eastAsia="宋体"/>
          <w:b/>
          <w:sz w:val="21"/>
        </w:rPr>
        <w:t>表 5.1　13,512 条 POI 按 11 大类的构成</w:t>
      </w:r>
    </w:p>
    <w:p w14:paraId="1DB61AD4">
      <w:pPr>
        <w:spacing w:before="60" w:after="40" w:line="400" w:lineRule="exact"/>
        <w:jc w:val="center"/>
      </w:pPr>
      <w:r>
        <w:drawing>
          <wp:inline distT="0" distB="0" distL="114300" distR="114300">
            <wp:extent cx="5471795" cy="3039745"/>
            <wp:effectExtent l="0" t="0" r="146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3040234"/>
                    </a:xfrm>
                    <a:prstGeom prst="rect">
                      <a:avLst/>
                    </a:prstGeom>
                  </pic:spPr>
                </pic:pic>
              </a:graphicData>
            </a:graphic>
          </wp:inline>
        </w:drawing>
      </w:r>
    </w:p>
    <w:p w14:paraId="4597605D">
      <w:pPr>
        <w:spacing w:before="40" w:after="120" w:line="400" w:lineRule="exact"/>
        <w:jc w:val="center"/>
      </w:pPr>
      <w:r>
        <w:rPr>
          <w:rFonts w:ascii="Times New Roman" w:hAnsi="Times New Roman" w:eastAsia="宋体"/>
          <w:b/>
          <w:sz w:val="21"/>
        </w:rPr>
        <w:t>图 5.1　13,512 条 POI 的类型构成与镇街分布</w:t>
      </w:r>
    </w:p>
    <w:p w14:paraId="73E174EB">
      <w:pPr>
        <w:spacing w:before="240" w:after="120" w:line="400" w:lineRule="exact"/>
        <w:jc w:val="left"/>
        <w:outlineLvl w:val="2"/>
      </w:pPr>
      <w:bookmarkStart w:id="48" w:name="_Toc621"/>
      <w:r>
        <w:rPr>
          <w:rFonts w:ascii="Times New Roman" w:hAnsi="Times New Roman" w:eastAsia="黑体"/>
          <w:b/>
          <w:sz w:val="26"/>
        </w:rPr>
        <w:t>5.1.2 镇街分布</w:t>
      </w:r>
      <w:bookmarkEnd w:id="48"/>
    </w:p>
    <w:p w14:paraId="3FED26EF">
      <w:pPr>
        <w:spacing w:before="0" w:after="0" w:line="400" w:lineRule="exact"/>
        <w:ind w:firstLine="480"/>
        <w:jc w:val="left"/>
      </w:pPr>
      <w:r>
        <w:rPr>
          <w:rFonts w:ascii="Times New Roman" w:hAnsi="Times New Roman" w:eastAsia="宋体"/>
          <w:b w:val="0"/>
          <w:sz w:val="24"/>
        </w:rPr>
        <w:t>从镇街分布看，桂城街道（4,174）、里水镇（2,625）、狮山镇（2,233）和大沥镇（2,080）合计占全区 POI 的 82.2%，形成以东部和东北部城镇化片区为主的供给集中格局。相较之下，丹灶镇（1,086）、西樵镇（1,055）和九江镇（259）的 POI 数量相对偏低，其中九江镇仅占全区 1.92%，为七个镇街中最低。这一结果说明，南海区旅游产品数量分布与文化资源分布并不完全重合，也为第 6 章关于“东旅西文”空间错位的讨论提供了基础。</w:t>
      </w:r>
    </w:p>
    <w:p w14:paraId="1A0ED722">
      <w:pPr>
        <w:spacing w:before="240" w:after="120" w:line="400" w:lineRule="exact"/>
        <w:jc w:val="left"/>
        <w:outlineLvl w:val="1"/>
      </w:pPr>
      <w:bookmarkStart w:id="49" w:name="_Toc31200"/>
      <w:r>
        <w:rPr>
          <w:rFonts w:ascii="Times New Roman" w:hAnsi="Times New Roman" w:eastAsia="黑体"/>
          <w:b/>
          <w:sz w:val="28"/>
        </w:rPr>
        <w:t>5.2 文化—旅游耦合桥梁：物质遗产为主、非遗为补充</w:t>
      </w:r>
      <w:bookmarkEnd w:id="49"/>
    </w:p>
    <w:p w14:paraId="59955DBF">
      <w:pPr>
        <w:spacing w:before="240" w:after="120" w:line="400" w:lineRule="exact"/>
        <w:jc w:val="left"/>
        <w:outlineLvl w:val="2"/>
      </w:pPr>
      <w:bookmarkStart w:id="50" w:name="_Toc5110"/>
      <w:r>
        <w:rPr>
          <w:rFonts w:ascii="Times New Roman" w:hAnsi="Times New Roman" w:eastAsia="黑体"/>
          <w:b/>
          <w:sz w:val="26"/>
        </w:rPr>
        <w:t>5.2.1 桥梁的操作化设计</w:t>
      </w:r>
      <w:bookmarkEnd w:id="50"/>
    </w:p>
    <w:p w14:paraId="420CC7E0">
      <w:pPr>
        <w:spacing w:before="0" w:after="0" w:line="400" w:lineRule="exact"/>
        <w:ind w:firstLine="480"/>
        <w:jc w:val="left"/>
      </w:pPr>
      <w:r>
        <w:rPr>
          <w:rFonts w:ascii="Times New Roman" w:hAnsi="Times New Roman" w:eastAsia="宋体"/>
          <w:b w:val="0"/>
          <w:sz w:val="24"/>
        </w:rPr>
        <w:t>本研究将文化记忆与旅游供给区分为两条分析线：知识图谱主要用于表征文化记忆侧的语义联系，POI 与评论数据主要用于表征旅游供给侧的现实热度。二者之间不能直接等同，因此需要设置一组可被复核的“耦合桥梁”。在本研究中，桥梁指具有明确名称、较稳定空间指向，并能够同时进入文化叙事和旅游空间分析的文化载体。</w:t>
      </w:r>
    </w:p>
    <w:p w14:paraId="03123DBA">
      <w:pPr>
        <w:spacing w:before="0" w:after="0" w:line="400" w:lineRule="exact"/>
        <w:ind w:firstLine="480"/>
        <w:jc w:val="left"/>
      </w:pPr>
      <w:r>
        <w:rPr>
          <w:rFonts w:ascii="Times New Roman" w:hAnsi="Times New Roman" w:eastAsia="宋体"/>
          <w:b w:val="0"/>
          <w:sz w:val="24"/>
        </w:rPr>
        <w:t>桥梁的核心样本由 165 条文化载体组成，其类型构成见表 3.3。选择这些载体作为主样本，主要基于三点考虑：其一，多数载体具有较明确的空间位置，能够与 POI 及后续空间网格进行对应；其二，文物保护单位、历史文化名村、风景名胜区以及非遗项目等载体具有不同层级的官方认定，可作为官方认证指数的依据；其三，载体名称相对稳定，有利于与知识图谱中的实体进行名称匹配。</w:t>
      </w:r>
    </w:p>
    <w:p w14:paraId="6C6D5F15">
      <w:pPr>
        <w:spacing w:before="240" w:after="120" w:line="400" w:lineRule="exact"/>
        <w:jc w:val="left"/>
        <w:outlineLvl w:val="2"/>
      </w:pPr>
      <w:bookmarkStart w:id="51" w:name="_Toc5783"/>
      <w:r>
        <w:rPr>
          <w:rFonts w:ascii="Times New Roman" w:hAnsi="Times New Roman" w:eastAsia="黑体"/>
          <w:b/>
          <w:sz w:val="26"/>
        </w:rPr>
        <w:t>5.2.2 动态补充：依托空间的非遗项目</w:t>
      </w:r>
      <w:bookmarkEnd w:id="51"/>
    </w:p>
    <w:p w14:paraId="5AF6CD45">
      <w:pPr>
        <w:spacing w:before="0" w:after="0" w:line="400" w:lineRule="exact"/>
        <w:ind w:firstLine="480"/>
        <w:jc w:val="left"/>
      </w:pPr>
      <w:r>
        <w:rPr>
          <w:rFonts w:ascii="Times New Roman" w:hAnsi="Times New Roman" w:eastAsia="宋体"/>
          <w:b w:val="0"/>
          <w:sz w:val="24"/>
        </w:rPr>
        <w:t>90 项非遗项目中，有 36 项能够对应到较明确的空间载体，例如九江双蒸博物馆、西樵醒狮训练基地和松塘龙舟训练场等。这一部分非遗项目并入 165 条核心载体，参与空间匹配与旅游热度计算。其余 54 项主要依托传承人登记地或镇街信息，空间边界较弱，因此不直接与单个 POI 作一一对应，而是作为文化记忆侧的补充信息进入指数计算和后续规划判断。</w:t>
      </w:r>
    </w:p>
    <w:p w14:paraId="0D2FDB81">
      <w:pPr>
        <w:spacing w:before="240" w:after="120" w:line="400" w:lineRule="exact"/>
        <w:jc w:val="left"/>
        <w:outlineLvl w:val="2"/>
      </w:pPr>
      <w:bookmarkStart w:id="52" w:name="_Toc25978"/>
      <w:r>
        <w:rPr>
          <w:rFonts w:ascii="Times New Roman" w:hAnsi="Times New Roman" w:eastAsia="黑体"/>
          <w:b/>
          <w:sz w:val="26"/>
        </w:rPr>
        <w:t>5.2.3 两条数据线的汇流</w:t>
      </w:r>
      <w:bookmarkEnd w:id="52"/>
    </w:p>
    <w:p w14:paraId="42B3F2D9">
      <w:pPr>
        <w:spacing w:before="0" w:after="0" w:line="400" w:lineRule="exact"/>
        <w:ind w:firstLine="480"/>
        <w:jc w:val="left"/>
      </w:pPr>
      <w:r>
        <w:rPr>
          <w:rFonts w:ascii="Times New Roman" w:hAnsi="Times New Roman" w:eastAsia="宋体"/>
          <w:b w:val="0"/>
          <w:sz w:val="24"/>
        </w:rPr>
        <w:t>从管理条线看，文旅系统中的文物保护单位、遗址公园和非遗项目，住建系统中的风景名胜区、历史文化名镇名村与传统村落，虽然来源不同，但都可以在地方文化记忆与旅游空间之间形成连接。本文将其统一整理为文化载体样本，并不是把所有资源简单并列，而是将其放入同一套“文化记忆—官方认证—旅游热度”的比较框架中。这样可以减少单一依赖非遗或单一依赖景点名单带来的偏差，也更符合南海区文化资源多条线并存的实际情况。</w:t>
      </w:r>
    </w:p>
    <w:p w14:paraId="36E810AC">
      <w:pPr>
        <w:spacing w:before="240" w:after="120" w:line="400" w:lineRule="exact"/>
        <w:jc w:val="left"/>
        <w:outlineLvl w:val="2"/>
      </w:pPr>
      <w:bookmarkStart w:id="53" w:name="_Toc22577"/>
      <w:r>
        <w:rPr>
          <w:rFonts w:ascii="Times New Roman" w:hAnsi="Times New Roman" w:eastAsia="黑体"/>
          <w:b/>
          <w:sz w:val="26"/>
        </w:rPr>
        <w:t>5.2.4 匹配规则</w:t>
      </w:r>
      <w:bookmarkEnd w:id="53"/>
    </w:p>
    <w:p w14:paraId="68227D14">
      <w:pPr>
        <w:spacing w:before="0" w:after="0" w:line="400" w:lineRule="exact"/>
        <w:ind w:firstLine="480"/>
        <w:jc w:val="left"/>
      </w:pPr>
      <w:r>
        <w:rPr>
          <w:rFonts w:ascii="Times New Roman" w:hAnsi="Times New Roman" w:eastAsia="宋体"/>
          <w:b w:val="0"/>
          <w:sz w:val="24"/>
        </w:rPr>
        <w:t>匹配过程分为两个方向。第一，向文化记忆侧匹配，即以载体名称为入口，在知识图谱中检索相关实体，并结合名称简化和实体类型约束提高准确性。例如，“九江双蒸酒酿制技艺”可通过“双蒸酒”等核心词汇与图谱实体建立联系。第二，向旅游供给侧匹配，即以载体位置为中心，结合名称匹配与 500 m 缓冲范围内的 POI 进行对应。前者用于衡量文化记忆的可见度，后者用于衡量旅游供给的覆盖度。对于无法明确空间定位的项目，本文只将其纳入文化记忆侧，不将其强行转化为 POI 周边热度。</w:t>
      </w:r>
    </w:p>
    <w:p w14:paraId="633F348A">
      <w:pPr>
        <w:spacing w:before="240" w:after="120" w:line="400" w:lineRule="exact"/>
        <w:jc w:val="left"/>
        <w:outlineLvl w:val="1"/>
      </w:pPr>
      <w:bookmarkStart w:id="54" w:name="_Toc30425"/>
      <w:r>
        <w:rPr>
          <w:rFonts w:ascii="Times New Roman" w:hAnsi="Times New Roman" w:eastAsia="黑体"/>
          <w:b/>
          <w:sz w:val="28"/>
        </w:rPr>
        <w:t>5.3 文化—旅游量化指数与错位指数</w:t>
      </w:r>
      <w:bookmarkEnd w:id="54"/>
    </w:p>
    <w:p w14:paraId="43CF190A">
      <w:pPr>
        <w:spacing w:before="0" w:after="0" w:line="400" w:lineRule="exact"/>
        <w:ind w:firstLine="480"/>
        <w:jc w:val="left"/>
      </w:pPr>
      <w:r>
        <w:rPr>
          <w:rFonts w:ascii="Times New Roman" w:hAnsi="Times New Roman" w:eastAsia="宋体"/>
          <w:b w:val="0"/>
          <w:sz w:val="24"/>
        </w:rPr>
        <w:t>本节构造文化记忆指数、官方认证指数、旅游热度指数和错位指数四个指标，用于替代单纯的定性判断。需要说明的是，这些指标并不试图完整评价某一文化载体的价值，而是服务于本研究的核心问题：识别文化资源与旅游产品之间是否存在转化不足或文化支撑不足的现象。</w:t>
      </w:r>
    </w:p>
    <w:p w14:paraId="49907AE5">
      <w:pPr>
        <w:spacing w:before="240" w:after="120" w:line="400" w:lineRule="exact"/>
        <w:jc w:val="left"/>
        <w:outlineLvl w:val="2"/>
      </w:pPr>
      <w:bookmarkStart w:id="55" w:name="_Toc14245"/>
      <w:r>
        <w:rPr>
          <w:rFonts w:ascii="Times New Roman" w:hAnsi="Times New Roman" w:eastAsia="黑体"/>
          <w:b/>
          <w:sz w:val="26"/>
        </w:rPr>
        <w:t>5.3.1 文化记忆指数（CMI）</w:t>
      </w:r>
      <w:bookmarkEnd w:id="55"/>
    </w:p>
    <w:p w14:paraId="75AAA2B0">
      <w:pPr>
        <w:spacing w:before="0" w:after="0" w:line="400" w:lineRule="exact"/>
        <w:ind w:firstLine="480"/>
        <w:jc w:val="left"/>
      </w:pPr>
      <w:r>
        <w:rPr>
          <w:rFonts w:ascii="Times New Roman" w:hAnsi="Times New Roman" w:eastAsia="宋体"/>
          <w:b w:val="0"/>
          <w:sz w:val="24"/>
        </w:rPr>
        <w:t>对每一条载体 c，按名称匹配得到知识图谱实体集合 Ec，并汇总相关实体的提及频次。设实体 e 的提及频次为 Me，则载体 c 的原始文化记忆量定义为：</w:t>
      </w:r>
    </w:p>
    <w:p w14:paraId="3DE3A6C8">
      <w:pPr>
        <w:spacing w:before="0" w:after="0" w:line="400" w:lineRule="exact"/>
        <w:jc w:val="center"/>
      </w:pPr>
      <w:r>
        <w:rPr>
          <w:rFonts w:ascii="Times New Roman" w:hAnsi="Times New Roman" w:eastAsia="宋体"/>
          <w:b w:val="0"/>
          <w:sz w:val="24"/>
        </w:rPr>
        <w:t>m_c = \sum_{e \in E_c} M_e</w:t>
      </w:r>
    </w:p>
    <w:p w14:paraId="5B6A6384">
      <w:pPr>
        <w:spacing w:before="0" w:after="0" w:line="400" w:lineRule="exact"/>
        <w:ind w:firstLine="480"/>
        <w:jc w:val="left"/>
      </w:pPr>
      <w:r>
        <w:rPr>
          <w:rFonts w:ascii="Times New Roman" w:hAnsi="Times New Roman" w:eastAsia="宋体"/>
          <w:b w:val="0"/>
          <w:sz w:val="24"/>
        </w:rPr>
        <w:t>为降低少数高频实体对结果的拉动，本文先取对数，再按 Min-Max 方法归一到 [0, 100]：</w:t>
      </w:r>
    </w:p>
    <w:p w14:paraId="700BA6DC">
      <w:pPr>
        <w:spacing w:before="0" w:after="0" w:line="400" w:lineRule="exact"/>
        <w:jc w:val="center"/>
      </w:pPr>
      <w:r>
        <w:rPr>
          <w:rFonts w:ascii="Times New Roman" w:hAnsi="Times New Roman" w:eastAsia="宋体"/>
          <w:b w:val="0"/>
          <w:sz w:val="24"/>
        </w:rPr>
        <w:t>CMI_c = 100 \times \frac{\log(1 + m_c) - \min(\log(1 + m))}{\max(\log(1 + m)) - \min(\log(1 + m))}</w:t>
      </w:r>
    </w:p>
    <w:p w14:paraId="6790273F">
      <w:pPr>
        <w:spacing w:before="0" w:after="0" w:line="400" w:lineRule="exact"/>
        <w:ind w:firstLine="480"/>
        <w:jc w:val="left"/>
      </w:pPr>
      <w:r>
        <w:rPr>
          <w:rFonts w:ascii="Times New Roman" w:hAnsi="Times New Roman" w:eastAsia="宋体"/>
          <w:b w:val="0"/>
          <w:sz w:val="24"/>
        </w:rPr>
        <w:t>对仅能定位到传承人登记地或镇街层面的非遗项目，本文按其图谱提及频次的 0.5 倍折算为文化记忆侧补充值。这一处理保留了非遗项目的文本记忆信息，但避免将其误认为具有明确边界的旅游空间节点。</w:t>
      </w:r>
    </w:p>
    <w:p w14:paraId="48A1F795">
      <w:pPr>
        <w:spacing w:before="240" w:after="120" w:line="400" w:lineRule="exact"/>
        <w:jc w:val="left"/>
        <w:outlineLvl w:val="2"/>
      </w:pPr>
      <w:bookmarkStart w:id="56" w:name="_Toc23397"/>
      <w:r>
        <w:rPr>
          <w:rFonts w:ascii="Times New Roman" w:hAnsi="Times New Roman" w:eastAsia="黑体"/>
          <w:b/>
          <w:sz w:val="26"/>
        </w:rPr>
        <w:t>5.3.2 官方认证指数（OAI）</w:t>
      </w:r>
      <w:bookmarkEnd w:id="56"/>
    </w:p>
    <w:p w14:paraId="10C5AC88">
      <w:pPr>
        <w:spacing w:before="0" w:after="0" w:line="400" w:lineRule="exact"/>
        <w:ind w:firstLine="480"/>
        <w:jc w:val="left"/>
      </w:pPr>
      <w:r>
        <w:rPr>
          <w:rFonts w:ascii="Times New Roman" w:hAnsi="Times New Roman" w:eastAsia="宋体"/>
          <w:b w:val="0"/>
          <w:sz w:val="24"/>
        </w:rPr>
        <w:t>官方认证指数用于表达文化载体在保护名录、非遗名录或历史文化资源名录中的制度性位置。赋分规则如下：</w:t>
      </w:r>
    </w:p>
    <w:p w14:paraId="72D98A6F">
      <w:pPr>
        <w:pStyle w:val="19"/>
        <w:spacing w:before="0" w:after="0" w:line="400" w:lineRule="exact"/>
      </w:pPr>
      <w:r>
        <w:rPr>
          <w:rFonts w:ascii="Times New Roman" w:hAnsi="Times New Roman" w:eastAsia="宋体"/>
          <w:b w:val="0"/>
          <w:sz w:val="24"/>
        </w:rPr>
        <w:t>全国重点文物保护单位、国家级非遗、中国历史文化名镇赋值为 100；</w:t>
      </w:r>
    </w:p>
    <w:p w14:paraId="73422663">
      <w:pPr>
        <w:pStyle w:val="19"/>
        <w:spacing w:before="0" w:after="0" w:line="400" w:lineRule="exact"/>
      </w:pPr>
      <w:r>
        <w:rPr>
          <w:rFonts w:ascii="Times New Roman" w:hAnsi="Times New Roman" w:eastAsia="宋体"/>
          <w:b w:val="0"/>
          <w:sz w:val="24"/>
        </w:rPr>
        <w:t>省级文物保护单位、省级非遗、广东省历史文化名村和省级传统村落赋值为 75；</w:t>
      </w:r>
    </w:p>
    <w:p w14:paraId="1BB5AA5D">
      <w:pPr>
        <w:pStyle w:val="19"/>
        <w:spacing w:before="0" w:after="0" w:line="400" w:lineRule="exact"/>
      </w:pPr>
      <w:r>
        <w:rPr>
          <w:rFonts w:ascii="Times New Roman" w:hAnsi="Times New Roman" w:eastAsia="宋体"/>
          <w:b w:val="0"/>
          <w:sz w:val="24"/>
        </w:rPr>
        <w:t>市级文物保护单位和市级非遗赋值为 50；</w:t>
      </w:r>
    </w:p>
    <w:p w14:paraId="18B51BFC">
      <w:pPr>
        <w:pStyle w:val="19"/>
        <w:spacing w:before="0" w:after="0" w:line="400" w:lineRule="exact"/>
      </w:pPr>
      <w:r>
        <w:rPr>
          <w:rFonts w:ascii="Times New Roman" w:hAnsi="Times New Roman" w:eastAsia="宋体"/>
          <w:b w:val="0"/>
          <w:sz w:val="24"/>
        </w:rPr>
        <w:t>区级认定资源赋值为 25；</w:t>
      </w:r>
    </w:p>
    <w:p w14:paraId="0922062F">
      <w:pPr>
        <w:pStyle w:val="19"/>
        <w:spacing w:before="0" w:after="0" w:line="400" w:lineRule="exact"/>
      </w:pPr>
      <w:r>
        <w:rPr>
          <w:rFonts w:ascii="Times New Roman" w:hAnsi="Times New Roman" w:eastAsia="宋体"/>
          <w:b w:val="0"/>
          <w:sz w:val="24"/>
        </w:rPr>
        <w:t>未进入上述官方认定体系的资源赋值为 0。</w:t>
      </w:r>
    </w:p>
    <w:p w14:paraId="4714C73D">
      <w:pPr>
        <w:spacing w:before="0" w:after="0" w:line="400" w:lineRule="exact"/>
        <w:ind w:firstLine="480"/>
        <w:jc w:val="left"/>
      </w:pPr>
      <w:r>
        <w:rPr>
          <w:rFonts w:ascii="Times New Roman" w:hAnsi="Times New Roman" w:eastAsia="宋体"/>
          <w:b w:val="0"/>
          <w:sz w:val="24"/>
        </w:rPr>
        <w:t>同一载体若同时具备多重认证，取其最高等级作为 OAI 值。这样处理可以避免重复计分，同时保留最高保护层级对资源识别的影响。</w:t>
      </w:r>
    </w:p>
    <w:p w14:paraId="1D4F17E9">
      <w:pPr>
        <w:spacing w:before="240" w:after="120" w:line="400" w:lineRule="exact"/>
        <w:jc w:val="left"/>
        <w:outlineLvl w:val="2"/>
      </w:pPr>
      <w:bookmarkStart w:id="57" w:name="_Toc18539"/>
      <w:r>
        <w:rPr>
          <w:rFonts w:ascii="Times New Roman" w:hAnsi="Times New Roman" w:eastAsia="黑体"/>
          <w:b/>
          <w:sz w:val="26"/>
        </w:rPr>
        <w:t>5.3.3 旅游热度指数（THI）</w:t>
      </w:r>
      <w:bookmarkEnd w:id="57"/>
    </w:p>
    <w:p w14:paraId="4E8D09CE">
      <w:pPr>
        <w:spacing w:before="0" w:after="0" w:line="400" w:lineRule="exact"/>
        <w:ind w:firstLine="480"/>
        <w:jc w:val="left"/>
      </w:pPr>
      <w:r>
        <w:rPr>
          <w:rFonts w:ascii="Times New Roman" w:hAnsi="Times New Roman" w:eastAsia="宋体"/>
          <w:b w:val="0"/>
          <w:sz w:val="24"/>
        </w:rPr>
        <w:t>旅游热度指数由 500 m 缓冲范围内的 POI 数量 Nc、相关 POI 平均评分 Rc 和评论总量 Vc 共同构成。三项指标分别归一到 [0, 100]，其中评论总量先取 log(1 + Vc)，以削弱极端高评论点的影响。综合指数按 40%、20%、40% 加权：</w:t>
      </w:r>
    </w:p>
    <w:p w14:paraId="120030F9">
      <w:pPr>
        <w:spacing w:before="0" w:after="0" w:line="400" w:lineRule="exact"/>
        <w:jc w:val="center"/>
      </w:pPr>
      <w:r>
        <w:rPr>
          <w:rFonts w:ascii="Times New Roman" w:hAnsi="Times New Roman" w:eastAsia="宋体"/>
          <w:b w:val="0"/>
          <w:sz w:val="24"/>
        </w:rPr>
        <w:t>THI_c = 0.4 \times \widehat{N_c} + 0.2 \times \widehat{R_c} + 0.4 \times \widehat{\log(1 + V_c)}</w:t>
      </w:r>
    </w:p>
    <w:p w14:paraId="5998C9E4">
      <w:pPr>
        <w:spacing w:before="0" w:after="0" w:line="400" w:lineRule="exact"/>
        <w:ind w:firstLine="480"/>
        <w:jc w:val="left"/>
      </w:pPr>
      <w:r>
        <w:rPr>
          <w:rFonts w:ascii="Times New Roman" w:hAnsi="Times New Roman" w:eastAsia="宋体"/>
          <w:b w:val="0"/>
          <w:sz w:val="24"/>
        </w:rPr>
        <w:t>（5-2）</w:t>
      </w:r>
    </w:p>
    <w:p w14:paraId="694444A8">
      <w:pPr>
        <w:spacing w:before="0" w:after="0" w:line="400" w:lineRule="exact"/>
        <w:ind w:firstLine="480"/>
        <w:jc w:val="left"/>
      </w:pPr>
      <w:r>
        <w:rPr>
          <w:rFonts w:ascii="Times New Roman" w:hAnsi="Times New Roman" w:eastAsia="宋体"/>
          <w:b w:val="0"/>
          <w:sz w:val="24"/>
        </w:rPr>
        <w:t>500 m 缓冲半径与后续网格分析保持一致，大致对应步行可达范围内的周边旅游供给。评分和评论量来自平台数据，能够反映游客侧的可见热度，但也会受到平台覆盖、评论习惯和 POI 拆分方式的影响，因此本文只将其作为相对比较指标。</w:t>
      </w:r>
    </w:p>
    <w:p w14:paraId="42A79F89">
      <w:pPr>
        <w:spacing w:before="240" w:after="120" w:line="400" w:lineRule="exact"/>
        <w:jc w:val="left"/>
        <w:outlineLvl w:val="2"/>
      </w:pPr>
      <w:bookmarkStart w:id="58" w:name="_Toc6261"/>
      <w:r>
        <w:rPr>
          <w:rFonts w:ascii="Times New Roman" w:hAnsi="Times New Roman" w:eastAsia="黑体"/>
          <w:b/>
          <w:sz w:val="26"/>
        </w:rPr>
        <w:t>5.3.4 错位指数（MI）</w:t>
      </w:r>
      <w:bookmarkEnd w:id="58"/>
    </w:p>
    <w:p w14:paraId="04DE6589">
      <w:pPr>
        <w:spacing w:before="0" w:after="0" w:line="400" w:lineRule="exact"/>
        <w:ind w:firstLine="480"/>
        <w:jc w:val="left"/>
      </w:pPr>
      <w:r>
        <w:rPr>
          <w:rFonts w:ascii="Times New Roman" w:hAnsi="Times New Roman" w:eastAsia="宋体"/>
          <w:b w:val="0"/>
          <w:sz w:val="24"/>
        </w:rPr>
        <w:t>错位指数用于比较旅游热度与文化家底之间的相对差异，其形式为：</w:t>
      </w:r>
    </w:p>
    <w:p w14:paraId="7ADF8791">
      <w:pPr>
        <w:spacing w:before="0" w:after="0" w:line="400" w:lineRule="exact"/>
        <w:jc w:val="center"/>
      </w:pPr>
      <w:r>
        <w:rPr>
          <w:rFonts w:ascii="Times New Roman" w:hAnsi="Times New Roman" w:eastAsia="宋体"/>
          <w:b w:val="0"/>
          <w:sz w:val="24"/>
        </w:rPr>
        <w:t>MI_c = THI_c - \alpha \cdot CMI_c - \beta \cdot OAI_c, \quad \alpha = \beta = 0.5</w:t>
      </w:r>
    </w:p>
    <w:p w14:paraId="35DE02ED">
      <w:pPr>
        <w:spacing w:before="0" w:after="0" w:line="400" w:lineRule="exact"/>
        <w:ind w:firstLine="480"/>
        <w:jc w:val="left"/>
      </w:pPr>
      <w:r>
        <w:rPr>
          <w:rFonts w:ascii="Times New Roman" w:hAnsi="Times New Roman" w:eastAsia="宋体"/>
          <w:b w:val="0"/>
          <w:sz w:val="24"/>
        </w:rPr>
        <w:t>（5-3）</w:t>
      </w:r>
    </w:p>
    <w:p w14:paraId="7F35A126">
      <w:pPr>
        <w:spacing w:before="0" w:after="0" w:line="400" w:lineRule="exact"/>
        <w:ind w:firstLine="480"/>
        <w:jc w:val="left"/>
      </w:pPr>
      <w:r>
        <w:rPr>
          <w:rFonts w:ascii="Times New Roman" w:hAnsi="Times New Roman" w:eastAsia="宋体"/>
          <w:b w:val="0"/>
          <w:sz w:val="24"/>
        </w:rPr>
        <w:t>MI 为正，表示旅游热度相对强于文化记忆和官方认证，可能出现“旅游强、文化解释弱”的空心景点倾向；MI 为负，表示文化记忆和官方认证较强，但尚未转化为相应旅游热度，可视为沉睡潜力倾向。本文采用 alpha = beta = 0.5 的等权设定，是为了在文化记忆和官方认证之间保持基本平衡。第 6.3 节将进一步通过相关分析讨论该设定的解释边界。</w:t>
      </w:r>
    </w:p>
    <w:p w14:paraId="5FE0A591">
      <w:pPr>
        <w:spacing w:before="240" w:after="120" w:line="400" w:lineRule="exact"/>
        <w:jc w:val="left"/>
        <w:outlineLvl w:val="2"/>
      </w:pPr>
      <w:bookmarkStart w:id="59" w:name="_Toc17209"/>
      <w:r>
        <w:rPr>
          <w:rFonts w:ascii="Times New Roman" w:hAnsi="Times New Roman" w:eastAsia="黑体"/>
          <w:b/>
          <w:sz w:val="26"/>
        </w:rPr>
        <w:t>5.3.5 结果分层</w:t>
      </w:r>
      <w:bookmarkEnd w:id="59"/>
    </w:p>
    <w:p w14:paraId="79909090">
      <w:pPr>
        <w:spacing w:before="0" w:after="0" w:line="400" w:lineRule="exact"/>
        <w:ind w:firstLine="480"/>
        <w:jc w:val="left"/>
      </w:pPr>
      <w:r>
        <w:rPr>
          <w:rFonts w:ascii="Times New Roman" w:hAnsi="Times New Roman" w:eastAsia="宋体"/>
          <w:b w:val="0"/>
          <w:sz w:val="24"/>
        </w:rPr>
        <w:t>根据 CMI、THI 与 MI 的组合关系，本文将 165 条文化载体划分为四类（表 5.2）。其中，核心耦合区强调文化记忆与旅游热度的双高重合；沉睡潜力区强调文化资源较强但旅游转化不足；空心景点区强调旅游热度较高但文化支撑相对不足；其余样本归入一般耦合区，用作过渡性类型。</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183"/>
        <w:gridCol w:w="2183"/>
        <w:gridCol w:w="2183"/>
        <w:gridCol w:w="2183"/>
      </w:tblGrid>
      <w:tr w14:paraId="1BCC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65066F0">
            <w:pPr>
              <w:spacing w:before="0" w:after="0" w:line="320" w:lineRule="exact"/>
              <w:jc w:val="center"/>
            </w:pPr>
            <w:r>
              <w:rPr>
                <w:rFonts w:ascii="Times New Roman" w:hAnsi="Times New Roman" w:eastAsia="宋体"/>
                <w:b/>
                <w:sz w:val="21"/>
              </w:rPr>
              <w:t>类别</w:t>
            </w:r>
          </w:p>
        </w:tc>
        <w:tc>
          <w:tcPr>
            <w:tcW w:w="2183" w:type="dxa"/>
            <w:vAlign w:val="center"/>
          </w:tcPr>
          <w:p w14:paraId="668C47BC">
            <w:pPr>
              <w:spacing w:before="0" w:after="0" w:line="320" w:lineRule="exact"/>
              <w:jc w:val="center"/>
            </w:pPr>
            <w:r>
              <w:rPr>
                <w:rFonts w:ascii="Times New Roman" w:hAnsi="Times New Roman" w:eastAsia="宋体"/>
                <w:b/>
                <w:sz w:val="21"/>
              </w:rPr>
              <w:t>判别规则</w:t>
            </w:r>
          </w:p>
        </w:tc>
        <w:tc>
          <w:tcPr>
            <w:tcW w:w="2183" w:type="dxa"/>
            <w:vAlign w:val="center"/>
          </w:tcPr>
          <w:p w14:paraId="0666E88A">
            <w:pPr>
              <w:spacing w:before="0" w:after="0" w:line="320" w:lineRule="exact"/>
              <w:jc w:val="center"/>
            </w:pPr>
            <w:r>
              <w:rPr>
                <w:rFonts w:ascii="Times New Roman" w:hAnsi="Times New Roman" w:eastAsia="宋体"/>
                <w:b/>
                <w:sz w:val="21"/>
              </w:rPr>
              <w:t>载体数</w:t>
            </w:r>
          </w:p>
        </w:tc>
        <w:tc>
          <w:tcPr>
            <w:tcW w:w="2183" w:type="dxa"/>
            <w:vAlign w:val="center"/>
          </w:tcPr>
          <w:p w14:paraId="65091CE2">
            <w:pPr>
              <w:spacing w:before="0" w:after="0" w:line="320" w:lineRule="exact"/>
              <w:jc w:val="center"/>
            </w:pPr>
            <w:r>
              <w:rPr>
                <w:rFonts w:ascii="Times New Roman" w:hAnsi="Times New Roman" w:eastAsia="宋体"/>
                <w:b/>
                <w:sz w:val="21"/>
              </w:rPr>
              <w:t>占比</w:t>
            </w:r>
          </w:p>
        </w:tc>
      </w:tr>
      <w:tr w14:paraId="0E953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7ADA086C">
            <w:pPr>
              <w:spacing w:before="0" w:after="0" w:line="320" w:lineRule="exact"/>
              <w:jc w:val="left"/>
            </w:pPr>
            <w:r>
              <w:rPr>
                <w:rFonts w:ascii="Times New Roman" w:hAnsi="Times New Roman" w:eastAsia="宋体"/>
                <w:b w:val="0"/>
                <w:sz w:val="21"/>
              </w:rPr>
              <w:t>核心耦合区</w:t>
            </w:r>
          </w:p>
        </w:tc>
        <w:tc>
          <w:tcPr>
            <w:tcW w:w="2183" w:type="dxa"/>
            <w:vAlign w:val="center"/>
          </w:tcPr>
          <w:p w14:paraId="6B64C3F4">
            <w:pPr>
              <w:spacing w:before="0" w:after="0" w:line="320" w:lineRule="exact"/>
              <w:jc w:val="left"/>
            </w:pPr>
            <w:r>
              <w:rPr>
                <w:rFonts w:ascii="Times New Roman" w:hAnsi="Times New Roman" w:eastAsia="宋体"/>
                <w:b w:val="0"/>
                <w:sz w:val="21"/>
              </w:rPr>
              <w:t>MI 的绝对值 = 50、THI &gt;= 50</w:t>
            </w:r>
          </w:p>
        </w:tc>
        <w:tc>
          <w:tcPr>
            <w:tcW w:w="2183" w:type="dxa"/>
            <w:vAlign w:val="center"/>
          </w:tcPr>
          <w:p w14:paraId="66F5A3AD">
            <w:pPr>
              <w:spacing w:before="0" w:after="0" w:line="320" w:lineRule="exact"/>
              <w:jc w:val="left"/>
            </w:pPr>
            <w:r>
              <w:rPr>
                <w:rFonts w:ascii="Times New Roman" w:hAnsi="Times New Roman" w:eastAsia="宋体"/>
                <w:b w:val="0"/>
                <w:sz w:val="21"/>
              </w:rPr>
              <w:t>10</w:t>
            </w:r>
          </w:p>
        </w:tc>
        <w:tc>
          <w:tcPr>
            <w:tcW w:w="2183" w:type="dxa"/>
            <w:vAlign w:val="center"/>
          </w:tcPr>
          <w:p w14:paraId="1011F23F">
            <w:pPr>
              <w:spacing w:before="0" w:after="0" w:line="320" w:lineRule="exact"/>
              <w:jc w:val="left"/>
            </w:pPr>
            <w:r>
              <w:rPr>
                <w:rFonts w:ascii="Times New Roman" w:hAnsi="Times New Roman" w:eastAsia="宋体"/>
                <w:b w:val="0"/>
                <w:sz w:val="21"/>
              </w:rPr>
              <w:t>6.1 %</w:t>
            </w:r>
          </w:p>
        </w:tc>
      </w:tr>
      <w:tr w14:paraId="0B05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5919DF2">
            <w:pPr>
              <w:spacing w:before="0" w:after="0" w:line="320" w:lineRule="exact"/>
              <w:jc w:val="left"/>
            </w:pPr>
            <w:r>
              <w:rPr>
                <w:rFonts w:ascii="Times New Roman" w:hAnsi="Times New Roman" w:eastAsia="宋体"/>
                <w:b w:val="0"/>
                <w:sz w:val="21"/>
              </w:rPr>
              <w:t>一般耦合区</w:t>
            </w:r>
          </w:p>
        </w:tc>
        <w:tc>
          <w:tcPr>
            <w:tcW w:w="2183" w:type="dxa"/>
            <w:vAlign w:val="center"/>
          </w:tcPr>
          <w:p w14:paraId="5461A4AB">
            <w:pPr>
              <w:spacing w:before="0" w:after="0" w:line="320" w:lineRule="exact"/>
              <w:jc w:val="left"/>
            </w:pPr>
            <w:r>
              <w:rPr>
                <w:rFonts w:ascii="Times New Roman" w:hAnsi="Times New Roman" w:eastAsia="宋体"/>
                <w:b w:val="0"/>
                <w:sz w:val="21"/>
              </w:rPr>
              <w:t>未达到核心耦合、沉睡潜力或空心景点判别阈值</w:t>
            </w:r>
          </w:p>
        </w:tc>
        <w:tc>
          <w:tcPr>
            <w:tcW w:w="2183" w:type="dxa"/>
            <w:vAlign w:val="center"/>
          </w:tcPr>
          <w:p w14:paraId="5DC92A2B">
            <w:pPr>
              <w:spacing w:before="0" w:after="0" w:line="320" w:lineRule="exact"/>
              <w:jc w:val="left"/>
            </w:pPr>
            <w:r>
              <w:rPr>
                <w:rFonts w:ascii="Times New Roman" w:hAnsi="Times New Roman" w:eastAsia="宋体"/>
                <w:b w:val="0"/>
                <w:sz w:val="21"/>
              </w:rPr>
              <w:t>55</w:t>
            </w:r>
          </w:p>
        </w:tc>
        <w:tc>
          <w:tcPr>
            <w:tcW w:w="2183" w:type="dxa"/>
            <w:vAlign w:val="center"/>
          </w:tcPr>
          <w:p w14:paraId="16CDDA1B">
            <w:pPr>
              <w:spacing w:before="0" w:after="0" w:line="320" w:lineRule="exact"/>
              <w:jc w:val="left"/>
            </w:pPr>
            <w:r>
              <w:rPr>
                <w:rFonts w:ascii="Times New Roman" w:hAnsi="Times New Roman" w:eastAsia="宋体"/>
                <w:b w:val="0"/>
                <w:sz w:val="21"/>
              </w:rPr>
              <w:t>33.3 %</w:t>
            </w:r>
          </w:p>
        </w:tc>
      </w:tr>
      <w:tr w14:paraId="2AE3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ED77679">
            <w:pPr>
              <w:spacing w:before="0" w:after="0" w:line="320" w:lineRule="exact"/>
              <w:jc w:val="left"/>
            </w:pPr>
            <w:r>
              <w:rPr>
                <w:rFonts w:ascii="Times New Roman" w:hAnsi="Times New Roman" w:eastAsia="宋体"/>
                <w:b w:val="0"/>
                <w:sz w:val="21"/>
              </w:rPr>
              <w:t>沉睡潜力区</w:t>
            </w:r>
          </w:p>
        </w:tc>
        <w:tc>
          <w:tcPr>
            <w:tcW w:w="2183" w:type="dxa"/>
            <w:vAlign w:val="center"/>
          </w:tcPr>
          <w:p w14:paraId="048753FB">
            <w:pPr>
              <w:spacing w:before="0" w:after="0" w:line="320" w:lineRule="exact"/>
              <w:jc w:val="left"/>
            </w:pPr>
            <w:r>
              <w:rPr>
                <w:rFonts w:ascii="Times New Roman" w:hAnsi="Times New Roman" w:eastAsia="宋体"/>
                <w:b w:val="0"/>
                <w:sz w:val="21"/>
              </w:rPr>
              <w:t>MI  THI</w:t>
            </w:r>
          </w:p>
        </w:tc>
        <w:tc>
          <w:tcPr>
            <w:tcW w:w="2183" w:type="dxa"/>
            <w:vAlign w:val="center"/>
          </w:tcPr>
          <w:p w14:paraId="6C442695">
            <w:pPr>
              <w:spacing w:before="0" w:after="0" w:line="320" w:lineRule="exact"/>
              <w:jc w:val="left"/>
            </w:pPr>
            <w:r>
              <w:rPr>
                <w:rFonts w:ascii="Times New Roman" w:hAnsi="Times New Roman" w:eastAsia="宋体"/>
                <w:b w:val="0"/>
                <w:sz w:val="21"/>
              </w:rPr>
              <w:t>47</w:t>
            </w:r>
          </w:p>
        </w:tc>
        <w:tc>
          <w:tcPr>
            <w:tcW w:w="2183" w:type="dxa"/>
            <w:vAlign w:val="center"/>
          </w:tcPr>
          <w:p w14:paraId="52CE73F6">
            <w:pPr>
              <w:spacing w:before="0" w:after="0" w:line="320" w:lineRule="exact"/>
              <w:jc w:val="left"/>
            </w:pPr>
            <w:r>
              <w:rPr>
                <w:rFonts w:ascii="Times New Roman" w:hAnsi="Times New Roman" w:eastAsia="宋体"/>
                <w:b w:val="0"/>
                <w:sz w:val="21"/>
              </w:rPr>
              <w:t>28.5 %</w:t>
            </w:r>
          </w:p>
        </w:tc>
      </w:tr>
      <w:tr w14:paraId="6AF4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37281B76">
            <w:pPr>
              <w:spacing w:before="0" w:after="0" w:line="320" w:lineRule="exact"/>
              <w:jc w:val="left"/>
            </w:pPr>
            <w:r>
              <w:rPr>
                <w:rFonts w:ascii="Times New Roman" w:hAnsi="Times New Roman" w:eastAsia="宋体"/>
                <w:b w:val="0"/>
                <w:sz w:val="21"/>
              </w:rPr>
              <w:t>空心景点区</w:t>
            </w:r>
          </w:p>
        </w:tc>
        <w:tc>
          <w:tcPr>
            <w:tcW w:w="2183" w:type="dxa"/>
            <w:vAlign w:val="center"/>
          </w:tcPr>
          <w:p w14:paraId="4FC8277C">
            <w:pPr>
              <w:spacing w:before="0" w:after="0" w:line="320" w:lineRule="exact"/>
              <w:jc w:val="left"/>
            </w:pPr>
            <w:r>
              <w:rPr>
                <w:rFonts w:ascii="Times New Roman" w:hAnsi="Times New Roman" w:eastAsia="宋体"/>
                <w:b w:val="0"/>
                <w:sz w:val="21"/>
              </w:rPr>
              <w:t>MI &gt; 10，且 THI &gt; CMI</w:t>
            </w:r>
          </w:p>
        </w:tc>
        <w:tc>
          <w:tcPr>
            <w:tcW w:w="2183" w:type="dxa"/>
            <w:vAlign w:val="center"/>
          </w:tcPr>
          <w:p w14:paraId="24844231">
            <w:pPr>
              <w:spacing w:before="0" w:after="0" w:line="320" w:lineRule="exact"/>
              <w:jc w:val="left"/>
            </w:pPr>
            <w:r>
              <w:rPr>
                <w:rFonts w:ascii="Times New Roman" w:hAnsi="Times New Roman" w:eastAsia="宋体"/>
                <w:b w:val="0"/>
                <w:sz w:val="21"/>
              </w:rPr>
              <w:t>53</w:t>
            </w:r>
          </w:p>
        </w:tc>
        <w:tc>
          <w:tcPr>
            <w:tcW w:w="2183" w:type="dxa"/>
            <w:vAlign w:val="center"/>
          </w:tcPr>
          <w:p w14:paraId="6E804293">
            <w:pPr>
              <w:spacing w:before="0" w:after="0" w:line="320" w:lineRule="exact"/>
              <w:jc w:val="left"/>
            </w:pPr>
            <w:r>
              <w:rPr>
                <w:rFonts w:ascii="Times New Roman" w:hAnsi="Times New Roman" w:eastAsia="宋体"/>
                <w:b w:val="0"/>
                <w:sz w:val="21"/>
              </w:rPr>
              <w:t>32.1 %</w:t>
            </w:r>
          </w:p>
        </w:tc>
      </w:tr>
      <w:tr w14:paraId="6DDC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81DC4F7">
            <w:pPr>
              <w:spacing w:before="0" w:after="0" w:line="320" w:lineRule="exact"/>
              <w:jc w:val="left"/>
            </w:pPr>
            <w:r>
              <w:rPr>
                <w:rFonts w:ascii="Times New Roman" w:hAnsi="Times New Roman" w:eastAsia="宋体"/>
                <w:b w:val="0"/>
                <w:sz w:val="21"/>
              </w:rPr>
              <w:t>合计</w:t>
            </w:r>
          </w:p>
        </w:tc>
        <w:tc>
          <w:tcPr>
            <w:tcW w:w="2183" w:type="dxa"/>
            <w:vAlign w:val="center"/>
          </w:tcPr>
          <w:p w14:paraId="7DAD36BF">
            <w:pPr>
              <w:spacing w:before="0" w:after="0" w:line="320" w:lineRule="exact"/>
              <w:jc w:val="left"/>
            </w:pPr>
            <w:r>
              <w:rPr>
                <w:rFonts w:ascii="Times New Roman" w:hAnsi="Times New Roman" w:eastAsia="宋体"/>
                <w:b w:val="0"/>
                <w:sz w:val="21"/>
              </w:rPr>
              <w:t>—</w:t>
            </w:r>
          </w:p>
        </w:tc>
        <w:tc>
          <w:tcPr>
            <w:tcW w:w="2183" w:type="dxa"/>
            <w:vAlign w:val="center"/>
          </w:tcPr>
          <w:p w14:paraId="16A3B01A">
            <w:pPr>
              <w:spacing w:before="0" w:after="0" w:line="320" w:lineRule="exact"/>
              <w:jc w:val="left"/>
            </w:pPr>
            <w:r>
              <w:rPr>
                <w:rFonts w:ascii="Times New Roman" w:hAnsi="Times New Roman" w:eastAsia="宋体"/>
                <w:b w:val="0"/>
                <w:sz w:val="21"/>
              </w:rPr>
              <w:t>165</w:t>
            </w:r>
          </w:p>
        </w:tc>
        <w:tc>
          <w:tcPr>
            <w:tcW w:w="2183" w:type="dxa"/>
            <w:vAlign w:val="center"/>
          </w:tcPr>
          <w:p w14:paraId="735E4E64">
            <w:pPr>
              <w:spacing w:before="0" w:after="0" w:line="320" w:lineRule="exact"/>
              <w:jc w:val="left"/>
            </w:pPr>
            <w:r>
              <w:rPr>
                <w:rFonts w:ascii="Times New Roman" w:hAnsi="Times New Roman" w:eastAsia="宋体"/>
                <w:b w:val="0"/>
                <w:sz w:val="21"/>
              </w:rPr>
              <w:t>100 %</w:t>
            </w:r>
          </w:p>
        </w:tc>
      </w:tr>
    </w:tbl>
    <w:p w14:paraId="7818771B">
      <w:pPr>
        <w:spacing w:before="40" w:after="120" w:line="400" w:lineRule="exact"/>
        <w:jc w:val="center"/>
      </w:pPr>
      <w:r>
        <w:rPr>
          <w:rFonts w:ascii="Times New Roman" w:hAnsi="Times New Roman" w:eastAsia="宋体"/>
          <w:b/>
          <w:sz w:val="21"/>
        </w:rPr>
        <w:t>表 5.2　错位分层四象限的载体计数</w:t>
      </w:r>
    </w:p>
    <w:p w14:paraId="79F75DF5">
      <w:pPr>
        <w:spacing w:before="0" w:after="0" w:line="400" w:lineRule="exact"/>
        <w:ind w:firstLine="480"/>
        <w:jc w:val="left"/>
      </w:pPr>
      <w:r>
        <w:rPr>
          <w:rFonts w:ascii="Times New Roman" w:hAnsi="Times New Roman" w:eastAsia="宋体"/>
          <w:b w:val="0"/>
          <w:sz w:val="24"/>
        </w:rPr>
        <w:t>165 条载体的 MI 最小值为 −80.17，第一四分位数为 −19.37，中位数为 0.84，第三四分位数为 18.91，最大值为 61.00。整体上，沉睡潜力区和空心景点区合计占 60.6%，说明南海区文化资源与旅游产品之间存在较明显的结构性不均衡。</w:t>
      </w:r>
    </w:p>
    <w:p w14:paraId="7029A539">
      <w:pPr>
        <w:spacing w:before="60" w:after="40" w:line="400" w:lineRule="exact"/>
        <w:jc w:val="center"/>
      </w:pPr>
      <w:r>
        <w:drawing>
          <wp:inline distT="0" distB="0" distL="114300" distR="114300">
            <wp:extent cx="5471795" cy="3856355"/>
            <wp:effectExtent l="0" t="0" r="1460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856555"/>
                    </a:xfrm>
                    <a:prstGeom prst="rect">
                      <a:avLst/>
                    </a:prstGeom>
                  </pic:spPr>
                </pic:pic>
              </a:graphicData>
            </a:graphic>
          </wp:inline>
        </w:drawing>
      </w:r>
    </w:p>
    <w:p w14:paraId="09342E34">
      <w:pPr>
        <w:spacing w:before="40" w:after="120" w:line="400" w:lineRule="exact"/>
        <w:jc w:val="center"/>
      </w:pPr>
      <w:r>
        <w:rPr>
          <w:rFonts w:ascii="Times New Roman" w:hAnsi="Times New Roman" w:eastAsia="宋体"/>
          <w:b/>
          <w:sz w:val="21"/>
        </w:rPr>
        <w:t>图 5.2　500 m 网格文化—旅游分布与错位分层</w:t>
      </w:r>
    </w:p>
    <w:p w14:paraId="2416E5C8">
      <w:pPr>
        <w:spacing w:before="0" w:after="0" w:line="400" w:lineRule="exact"/>
        <w:ind w:firstLine="480"/>
        <w:jc w:val="left"/>
      </w:pPr>
      <w:r>
        <w:rPr>
          <w:rFonts w:ascii="Times New Roman" w:hAnsi="Times New Roman" w:eastAsia="宋体"/>
          <w:b w:val="0"/>
          <w:sz w:val="24"/>
        </w:rPr>
        <w:t>图 5.2 中，横轴表示文化厚度，纵轴表示旅游热度。黄色星标标出 1 跳知识图谱口径下的核心耦合网格，用于区分一般高值点与已经形成“文化厚度—旅游热度”双高重叠的重点节点。该图的价值不在于替代空间分布图，而在于把不同错位类型放到同一坐标系中进行比较。</w:t>
      </w:r>
    </w:p>
    <w:p w14:paraId="0022E54C">
      <w:pPr>
        <w:spacing w:before="240" w:after="120" w:line="400" w:lineRule="exact"/>
        <w:jc w:val="left"/>
        <w:outlineLvl w:val="2"/>
      </w:pPr>
      <w:bookmarkStart w:id="60" w:name="_Toc4537"/>
      <w:r>
        <w:rPr>
          <w:rFonts w:ascii="Times New Roman" w:hAnsi="Times New Roman" w:eastAsia="黑体"/>
          <w:b/>
          <w:sz w:val="26"/>
        </w:rPr>
        <w:t>5.3.6 典型案例</w:t>
      </w:r>
      <w:bookmarkEnd w:id="60"/>
    </w:p>
    <w:p w14:paraId="14334AA3">
      <w:pPr>
        <w:spacing w:before="0" w:after="0" w:line="400" w:lineRule="exact"/>
        <w:ind w:firstLine="480"/>
        <w:jc w:val="left"/>
      </w:pPr>
      <w:r>
        <w:rPr>
          <w:rFonts w:ascii="Times New Roman" w:hAnsi="Times New Roman" w:eastAsia="宋体"/>
          <w:b w:val="0"/>
          <w:sz w:val="24"/>
        </w:rPr>
        <w:t>为了避免仅停留在类型数量层面，本文进一步列出三类典型样本。表 5.3 至表 5.5 均按 MI 的方向和绝对值选取代表案例，用于说明不同类型的形成机制。</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55"/>
        <w:gridCol w:w="1455"/>
        <w:gridCol w:w="1455"/>
        <w:gridCol w:w="1455"/>
        <w:gridCol w:w="1455"/>
        <w:gridCol w:w="1455"/>
      </w:tblGrid>
      <w:tr w14:paraId="15C8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1A674F29">
            <w:pPr>
              <w:spacing w:before="0" w:after="0" w:line="320" w:lineRule="exact"/>
              <w:jc w:val="center"/>
            </w:pPr>
            <w:r>
              <w:rPr>
                <w:rFonts w:ascii="Times New Roman" w:hAnsi="Times New Roman" w:eastAsia="宋体"/>
                <w:b/>
                <w:sz w:val="21"/>
              </w:rPr>
              <w:t>载体名称</w:t>
            </w:r>
          </w:p>
        </w:tc>
        <w:tc>
          <w:tcPr>
            <w:tcW w:w="1455" w:type="dxa"/>
            <w:vAlign w:val="center"/>
          </w:tcPr>
          <w:p w14:paraId="77E72674">
            <w:pPr>
              <w:spacing w:before="0" w:after="0" w:line="320" w:lineRule="exact"/>
              <w:jc w:val="center"/>
            </w:pPr>
            <w:r>
              <w:rPr>
                <w:rFonts w:ascii="Times New Roman" w:hAnsi="Times New Roman" w:eastAsia="宋体"/>
                <w:b/>
                <w:sz w:val="21"/>
              </w:rPr>
              <w:t>所属片区</w:t>
            </w:r>
          </w:p>
        </w:tc>
        <w:tc>
          <w:tcPr>
            <w:tcW w:w="1455" w:type="dxa"/>
            <w:vAlign w:val="center"/>
          </w:tcPr>
          <w:p w14:paraId="41D5E7B5">
            <w:pPr>
              <w:spacing w:before="0" w:after="0" w:line="320" w:lineRule="exact"/>
              <w:jc w:val="center"/>
            </w:pPr>
            <w:r>
              <w:rPr>
                <w:rFonts w:ascii="Times New Roman" w:hAnsi="Times New Roman" w:eastAsia="宋体"/>
                <w:b/>
                <w:sz w:val="21"/>
              </w:rPr>
              <w:t>CMI</w:t>
            </w:r>
          </w:p>
        </w:tc>
        <w:tc>
          <w:tcPr>
            <w:tcW w:w="1455" w:type="dxa"/>
            <w:vAlign w:val="center"/>
          </w:tcPr>
          <w:p w14:paraId="34A0595D">
            <w:pPr>
              <w:spacing w:before="0" w:after="0" w:line="320" w:lineRule="exact"/>
              <w:jc w:val="center"/>
            </w:pPr>
            <w:r>
              <w:rPr>
                <w:rFonts w:ascii="Times New Roman" w:hAnsi="Times New Roman" w:eastAsia="宋体"/>
                <w:b/>
                <w:sz w:val="21"/>
              </w:rPr>
              <w:t>OAI</w:t>
            </w:r>
          </w:p>
        </w:tc>
        <w:tc>
          <w:tcPr>
            <w:tcW w:w="1455" w:type="dxa"/>
            <w:vAlign w:val="center"/>
          </w:tcPr>
          <w:p w14:paraId="6011E5D2">
            <w:pPr>
              <w:spacing w:before="0" w:after="0" w:line="320" w:lineRule="exact"/>
              <w:jc w:val="center"/>
            </w:pPr>
            <w:r>
              <w:rPr>
                <w:rFonts w:ascii="Times New Roman" w:hAnsi="Times New Roman" w:eastAsia="宋体"/>
                <w:b/>
                <w:sz w:val="21"/>
              </w:rPr>
              <w:t>THI</w:t>
            </w:r>
          </w:p>
        </w:tc>
        <w:tc>
          <w:tcPr>
            <w:tcW w:w="1455" w:type="dxa"/>
            <w:vAlign w:val="center"/>
          </w:tcPr>
          <w:p w14:paraId="5B1C318D">
            <w:pPr>
              <w:spacing w:before="0" w:after="0" w:line="320" w:lineRule="exact"/>
              <w:jc w:val="center"/>
            </w:pPr>
            <w:r>
              <w:rPr>
                <w:rFonts w:ascii="Times New Roman" w:hAnsi="Times New Roman" w:eastAsia="宋体"/>
                <w:b/>
                <w:sz w:val="21"/>
              </w:rPr>
              <w:t>MI</w:t>
            </w:r>
          </w:p>
        </w:tc>
      </w:tr>
      <w:tr w14:paraId="1A32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68D6106">
            <w:pPr>
              <w:spacing w:before="0" w:after="0" w:line="320" w:lineRule="exact"/>
              <w:jc w:val="left"/>
            </w:pPr>
            <w:r>
              <w:rPr>
                <w:rFonts w:ascii="Times New Roman" w:hAnsi="Times New Roman" w:eastAsia="宋体"/>
                <w:b w:val="0"/>
                <w:sz w:val="21"/>
              </w:rPr>
              <w:t>西樵镇松塘村</w:t>
            </w:r>
          </w:p>
        </w:tc>
        <w:tc>
          <w:tcPr>
            <w:tcW w:w="1455" w:type="dxa"/>
            <w:vAlign w:val="center"/>
          </w:tcPr>
          <w:p w14:paraId="59E76DB1">
            <w:pPr>
              <w:spacing w:before="0" w:after="0" w:line="320" w:lineRule="exact"/>
              <w:jc w:val="left"/>
            </w:pPr>
            <w:r>
              <w:rPr>
                <w:rFonts w:ascii="Times New Roman" w:hAnsi="Times New Roman" w:eastAsia="宋体"/>
                <w:b w:val="0"/>
                <w:sz w:val="21"/>
              </w:rPr>
              <w:t>西樵</w:t>
            </w:r>
          </w:p>
        </w:tc>
        <w:tc>
          <w:tcPr>
            <w:tcW w:w="1455" w:type="dxa"/>
            <w:vAlign w:val="center"/>
          </w:tcPr>
          <w:p w14:paraId="2829C8F7">
            <w:pPr>
              <w:spacing w:before="0" w:after="0" w:line="320" w:lineRule="exact"/>
              <w:jc w:val="left"/>
            </w:pPr>
            <w:r>
              <w:rPr>
                <w:rFonts w:ascii="Times New Roman" w:hAnsi="Times New Roman" w:eastAsia="宋体"/>
                <w:b w:val="0"/>
                <w:sz w:val="21"/>
              </w:rPr>
              <w:t>71.81</w:t>
            </w:r>
          </w:p>
        </w:tc>
        <w:tc>
          <w:tcPr>
            <w:tcW w:w="1455" w:type="dxa"/>
            <w:vAlign w:val="center"/>
          </w:tcPr>
          <w:p w14:paraId="238C511E">
            <w:pPr>
              <w:spacing w:before="0" w:after="0" w:line="320" w:lineRule="exact"/>
              <w:jc w:val="left"/>
            </w:pPr>
            <w:r>
              <w:rPr>
                <w:rFonts w:ascii="Times New Roman" w:hAnsi="Times New Roman" w:eastAsia="宋体"/>
                <w:b w:val="0"/>
                <w:sz w:val="21"/>
              </w:rPr>
              <w:t>100.0</w:t>
            </w:r>
          </w:p>
        </w:tc>
        <w:tc>
          <w:tcPr>
            <w:tcW w:w="1455" w:type="dxa"/>
            <w:vAlign w:val="center"/>
          </w:tcPr>
          <w:p w14:paraId="3621B9B6">
            <w:pPr>
              <w:spacing w:before="0" w:after="0" w:line="320" w:lineRule="exact"/>
              <w:jc w:val="left"/>
            </w:pPr>
            <w:r>
              <w:rPr>
                <w:rFonts w:ascii="Times New Roman" w:hAnsi="Times New Roman" w:eastAsia="宋体"/>
                <w:b w:val="0"/>
                <w:sz w:val="21"/>
              </w:rPr>
              <w:t>5.73</w:t>
            </w:r>
          </w:p>
        </w:tc>
        <w:tc>
          <w:tcPr>
            <w:tcW w:w="1455" w:type="dxa"/>
            <w:vAlign w:val="center"/>
          </w:tcPr>
          <w:p w14:paraId="33D66357">
            <w:pPr>
              <w:spacing w:before="0" w:after="0" w:line="320" w:lineRule="exact"/>
              <w:jc w:val="left"/>
            </w:pPr>
            <w:r>
              <w:rPr>
                <w:rFonts w:ascii="Times New Roman" w:hAnsi="Times New Roman" w:eastAsia="宋体"/>
                <w:b w:val="0"/>
                <w:sz w:val="21"/>
              </w:rPr>
              <w:t>−80.17</w:t>
            </w:r>
          </w:p>
        </w:tc>
      </w:tr>
      <w:tr w14:paraId="02C6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60BE462">
            <w:pPr>
              <w:spacing w:before="0" w:after="0" w:line="320" w:lineRule="exact"/>
              <w:jc w:val="left"/>
            </w:pPr>
            <w:r>
              <w:rPr>
                <w:rFonts w:ascii="Times New Roman" w:hAnsi="Times New Roman" w:eastAsia="宋体"/>
                <w:b w:val="0"/>
                <w:sz w:val="21"/>
              </w:rPr>
              <w:t>九江镇烟桥烟南村</w:t>
            </w:r>
          </w:p>
        </w:tc>
        <w:tc>
          <w:tcPr>
            <w:tcW w:w="1455" w:type="dxa"/>
            <w:vAlign w:val="center"/>
          </w:tcPr>
          <w:p w14:paraId="7B30E313">
            <w:pPr>
              <w:spacing w:before="0" w:after="0" w:line="320" w:lineRule="exact"/>
              <w:jc w:val="left"/>
            </w:pPr>
            <w:r>
              <w:rPr>
                <w:rFonts w:ascii="Times New Roman" w:hAnsi="Times New Roman" w:eastAsia="宋体"/>
                <w:b w:val="0"/>
                <w:sz w:val="21"/>
              </w:rPr>
              <w:t>九江</w:t>
            </w:r>
          </w:p>
        </w:tc>
        <w:tc>
          <w:tcPr>
            <w:tcW w:w="1455" w:type="dxa"/>
            <w:vAlign w:val="center"/>
          </w:tcPr>
          <w:p w14:paraId="64E7F90E">
            <w:pPr>
              <w:spacing w:before="0" w:after="0" w:line="320" w:lineRule="exact"/>
              <w:jc w:val="left"/>
            </w:pPr>
            <w:r>
              <w:rPr>
                <w:rFonts w:ascii="Times New Roman" w:hAnsi="Times New Roman" w:eastAsia="宋体"/>
                <w:b w:val="0"/>
                <w:sz w:val="21"/>
              </w:rPr>
              <w:t>77.57</w:t>
            </w:r>
          </w:p>
        </w:tc>
        <w:tc>
          <w:tcPr>
            <w:tcW w:w="1455" w:type="dxa"/>
            <w:vAlign w:val="center"/>
          </w:tcPr>
          <w:p w14:paraId="5FD39EEE">
            <w:pPr>
              <w:spacing w:before="0" w:after="0" w:line="320" w:lineRule="exact"/>
              <w:jc w:val="left"/>
            </w:pPr>
            <w:r>
              <w:rPr>
                <w:rFonts w:ascii="Times New Roman" w:hAnsi="Times New Roman" w:eastAsia="宋体"/>
                <w:b w:val="0"/>
                <w:sz w:val="21"/>
              </w:rPr>
              <w:t>100.0</w:t>
            </w:r>
          </w:p>
        </w:tc>
        <w:tc>
          <w:tcPr>
            <w:tcW w:w="1455" w:type="dxa"/>
            <w:vAlign w:val="center"/>
          </w:tcPr>
          <w:p w14:paraId="1FFDBE56">
            <w:pPr>
              <w:spacing w:before="0" w:after="0" w:line="320" w:lineRule="exact"/>
              <w:jc w:val="left"/>
            </w:pPr>
            <w:r>
              <w:rPr>
                <w:rFonts w:ascii="Times New Roman" w:hAnsi="Times New Roman" w:eastAsia="宋体"/>
                <w:b w:val="0"/>
                <w:sz w:val="21"/>
              </w:rPr>
              <w:t>9.09</w:t>
            </w:r>
          </w:p>
        </w:tc>
        <w:tc>
          <w:tcPr>
            <w:tcW w:w="1455" w:type="dxa"/>
            <w:vAlign w:val="center"/>
          </w:tcPr>
          <w:p w14:paraId="1ABE7FFD">
            <w:pPr>
              <w:spacing w:before="0" w:after="0" w:line="320" w:lineRule="exact"/>
              <w:jc w:val="left"/>
            </w:pPr>
            <w:r>
              <w:rPr>
                <w:rFonts w:ascii="Times New Roman" w:hAnsi="Times New Roman" w:eastAsia="宋体"/>
                <w:b w:val="0"/>
                <w:sz w:val="21"/>
              </w:rPr>
              <w:t>−79.70</w:t>
            </w:r>
          </w:p>
        </w:tc>
      </w:tr>
      <w:tr w14:paraId="4599C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6635A42B">
            <w:pPr>
              <w:spacing w:before="0" w:after="0" w:line="320" w:lineRule="exact"/>
              <w:jc w:val="left"/>
            </w:pPr>
            <w:r>
              <w:rPr>
                <w:rFonts w:ascii="Times New Roman" w:hAnsi="Times New Roman" w:eastAsia="宋体"/>
                <w:b w:val="0"/>
                <w:sz w:val="21"/>
              </w:rPr>
              <w:t>丹灶镇仙岗社区</w:t>
            </w:r>
          </w:p>
        </w:tc>
        <w:tc>
          <w:tcPr>
            <w:tcW w:w="1455" w:type="dxa"/>
            <w:vAlign w:val="center"/>
          </w:tcPr>
          <w:p w14:paraId="5C166D93">
            <w:pPr>
              <w:spacing w:before="0" w:after="0" w:line="320" w:lineRule="exact"/>
              <w:jc w:val="left"/>
            </w:pPr>
            <w:r>
              <w:rPr>
                <w:rFonts w:ascii="Times New Roman" w:hAnsi="Times New Roman" w:eastAsia="宋体"/>
                <w:b w:val="0"/>
                <w:sz w:val="21"/>
              </w:rPr>
              <w:t>丹灶</w:t>
            </w:r>
          </w:p>
        </w:tc>
        <w:tc>
          <w:tcPr>
            <w:tcW w:w="1455" w:type="dxa"/>
            <w:vAlign w:val="center"/>
          </w:tcPr>
          <w:p w14:paraId="1E702EA0">
            <w:pPr>
              <w:spacing w:before="0" w:after="0" w:line="320" w:lineRule="exact"/>
              <w:jc w:val="left"/>
            </w:pPr>
            <w:r>
              <w:rPr>
                <w:rFonts w:ascii="Times New Roman" w:hAnsi="Times New Roman" w:eastAsia="宋体"/>
                <w:b w:val="0"/>
                <w:sz w:val="21"/>
              </w:rPr>
              <w:t>57.28</w:t>
            </w:r>
          </w:p>
        </w:tc>
        <w:tc>
          <w:tcPr>
            <w:tcW w:w="1455" w:type="dxa"/>
            <w:vAlign w:val="center"/>
          </w:tcPr>
          <w:p w14:paraId="585B57A2">
            <w:pPr>
              <w:spacing w:before="0" w:after="0" w:line="320" w:lineRule="exact"/>
              <w:jc w:val="left"/>
            </w:pPr>
            <w:r>
              <w:rPr>
                <w:rFonts w:ascii="Times New Roman" w:hAnsi="Times New Roman" w:eastAsia="宋体"/>
                <w:b w:val="0"/>
                <w:sz w:val="21"/>
              </w:rPr>
              <w:t>100.0</w:t>
            </w:r>
          </w:p>
        </w:tc>
        <w:tc>
          <w:tcPr>
            <w:tcW w:w="1455" w:type="dxa"/>
            <w:vAlign w:val="center"/>
          </w:tcPr>
          <w:p w14:paraId="7C5FF882">
            <w:pPr>
              <w:spacing w:before="0" w:after="0" w:line="320" w:lineRule="exact"/>
              <w:jc w:val="left"/>
            </w:pPr>
            <w:r>
              <w:rPr>
                <w:rFonts w:ascii="Times New Roman" w:hAnsi="Times New Roman" w:eastAsia="宋体"/>
                <w:b w:val="0"/>
                <w:sz w:val="21"/>
              </w:rPr>
              <w:t>5.73</w:t>
            </w:r>
          </w:p>
        </w:tc>
        <w:tc>
          <w:tcPr>
            <w:tcW w:w="1455" w:type="dxa"/>
            <w:vAlign w:val="center"/>
          </w:tcPr>
          <w:p w14:paraId="71CEEFFC">
            <w:pPr>
              <w:spacing w:before="0" w:after="0" w:line="320" w:lineRule="exact"/>
              <w:jc w:val="left"/>
            </w:pPr>
            <w:r>
              <w:rPr>
                <w:rFonts w:ascii="Times New Roman" w:hAnsi="Times New Roman" w:eastAsia="宋体"/>
                <w:b w:val="0"/>
                <w:sz w:val="21"/>
              </w:rPr>
              <w:t>−72.91</w:t>
            </w:r>
          </w:p>
        </w:tc>
      </w:tr>
      <w:tr w14:paraId="0E7A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CED6995">
            <w:pPr>
              <w:spacing w:before="0" w:after="0" w:line="320" w:lineRule="exact"/>
              <w:jc w:val="left"/>
            </w:pPr>
            <w:r>
              <w:rPr>
                <w:rFonts w:ascii="Times New Roman" w:hAnsi="Times New Roman" w:eastAsia="宋体"/>
                <w:b w:val="0"/>
                <w:sz w:val="21"/>
              </w:rPr>
              <w:t>西樵山仙姑亭</w:t>
            </w:r>
          </w:p>
        </w:tc>
        <w:tc>
          <w:tcPr>
            <w:tcW w:w="1455" w:type="dxa"/>
            <w:vAlign w:val="center"/>
          </w:tcPr>
          <w:p w14:paraId="3FED846B">
            <w:pPr>
              <w:spacing w:before="0" w:after="0" w:line="320" w:lineRule="exact"/>
              <w:jc w:val="left"/>
            </w:pPr>
            <w:r>
              <w:rPr>
                <w:rFonts w:ascii="Times New Roman" w:hAnsi="Times New Roman" w:eastAsia="宋体"/>
                <w:b w:val="0"/>
                <w:sz w:val="21"/>
              </w:rPr>
              <w:t>西樵</w:t>
            </w:r>
          </w:p>
        </w:tc>
        <w:tc>
          <w:tcPr>
            <w:tcW w:w="1455" w:type="dxa"/>
            <w:vAlign w:val="center"/>
          </w:tcPr>
          <w:p w14:paraId="03D36387">
            <w:pPr>
              <w:spacing w:before="0" w:after="0" w:line="320" w:lineRule="exact"/>
              <w:jc w:val="left"/>
            </w:pPr>
            <w:r>
              <w:rPr>
                <w:rFonts w:ascii="Times New Roman" w:hAnsi="Times New Roman" w:eastAsia="宋体"/>
                <w:b w:val="0"/>
                <w:sz w:val="21"/>
              </w:rPr>
              <w:t>91.60</w:t>
            </w:r>
          </w:p>
        </w:tc>
        <w:tc>
          <w:tcPr>
            <w:tcW w:w="1455" w:type="dxa"/>
            <w:vAlign w:val="center"/>
          </w:tcPr>
          <w:p w14:paraId="1368F800">
            <w:pPr>
              <w:spacing w:before="0" w:after="0" w:line="320" w:lineRule="exact"/>
              <w:jc w:val="left"/>
            </w:pPr>
            <w:r>
              <w:rPr>
                <w:rFonts w:ascii="Times New Roman" w:hAnsi="Times New Roman" w:eastAsia="宋体"/>
                <w:b w:val="0"/>
                <w:sz w:val="21"/>
              </w:rPr>
              <w:t>50.0</w:t>
            </w:r>
          </w:p>
        </w:tc>
        <w:tc>
          <w:tcPr>
            <w:tcW w:w="1455" w:type="dxa"/>
            <w:vAlign w:val="center"/>
          </w:tcPr>
          <w:p w14:paraId="3ECF475D">
            <w:pPr>
              <w:spacing w:before="0" w:after="0" w:line="320" w:lineRule="exact"/>
              <w:jc w:val="left"/>
            </w:pPr>
            <w:r>
              <w:rPr>
                <w:rFonts w:ascii="Times New Roman" w:hAnsi="Times New Roman" w:eastAsia="宋体"/>
                <w:b w:val="0"/>
                <w:sz w:val="21"/>
              </w:rPr>
              <w:t>0.00</w:t>
            </w:r>
          </w:p>
        </w:tc>
        <w:tc>
          <w:tcPr>
            <w:tcW w:w="1455" w:type="dxa"/>
            <w:vAlign w:val="center"/>
          </w:tcPr>
          <w:p w14:paraId="4460FB45">
            <w:pPr>
              <w:spacing w:before="0" w:after="0" w:line="320" w:lineRule="exact"/>
              <w:jc w:val="left"/>
            </w:pPr>
            <w:r>
              <w:rPr>
                <w:rFonts w:ascii="Times New Roman" w:hAnsi="Times New Roman" w:eastAsia="宋体"/>
                <w:b w:val="0"/>
                <w:sz w:val="21"/>
              </w:rPr>
              <w:t>−70.80</w:t>
            </w:r>
          </w:p>
        </w:tc>
      </w:tr>
      <w:tr w14:paraId="5A71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7C7ADE3C">
            <w:pPr>
              <w:spacing w:before="0" w:after="0" w:line="320" w:lineRule="exact"/>
              <w:jc w:val="left"/>
            </w:pPr>
            <w:r>
              <w:rPr>
                <w:rFonts w:ascii="Times New Roman" w:hAnsi="Times New Roman" w:eastAsia="宋体"/>
                <w:b w:val="0"/>
                <w:sz w:val="21"/>
              </w:rPr>
              <w:t>九江镇烟桥村</w:t>
            </w:r>
          </w:p>
        </w:tc>
        <w:tc>
          <w:tcPr>
            <w:tcW w:w="1455" w:type="dxa"/>
            <w:vAlign w:val="center"/>
          </w:tcPr>
          <w:p w14:paraId="1DBC3273">
            <w:pPr>
              <w:spacing w:before="0" w:after="0" w:line="320" w:lineRule="exact"/>
              <w:jc w:val="left"/>
            </w:pPr>
            <w:r>
              <w:rPr>
                <w:rFonts w:ascii="Times New Roman" w:hAnsi="Times New Roman" w:eastAsia="宋体"/>
                <w:b w:val="0"/>
                <w:sz w:val="21"/>
              </w:rPr>
              <w:t>九江</w:t>
            </w:r>
          </w:p>
        </w:tc>
        <w:tc>
          <w:tcPr>
            <w:tcW w:w="1455" w:type="dxa"/>
            <w:vAlign w:val="center"/>
          </w:tcPr>
          <w:p w14:paraId="12E02183">
            <w:pPr>
              <w:spacing w:before="0" w:after="0" w:line="320" w:lineRule="exact"/>
              <w:jc w:val="left"/>
            </w:pPr>
            <w:r>
              <w:rPr>
                <w:rFonts w:ascii="Times New Roman" w:hAnsi="Times New Roman" w:eastAsia="宋体"/>
                <w:b w:val="0"/>
                <w:sz w:val="21"/>
              </w:rPr>
              <w:t>77.76</w:t>
            </w:r>
          </w:p>
        </w:tc>
        <w:tc>
          <w:tcPr>
            <w:tcW w:w="1455" w:type="dxa"/>
            <w:vAlign w:val="center"/>
          </w:tcPr>
          <w:p w14:paraId="64D1F300">
            <w:pPr>
              <w:spacing w:before="0" w:after="0" w:line="320" w:lineRule="exact"/>
              <w:jc w:val="left"/>
            </w:pPr>
            <w:r>
              <w:rPr>
                <w:rFonts w:ascii="Times New Roman" w:hAnsi="Times New Roman" w:eastAsia="宋体"/>
                <w:b w:val="0"/>
                <w:sz w:val="21"/>
              </w:rPr>
              <w:t>75.0</w:t>
            </w:r>
          </w:p>
        </w:tc>
        <w:tc>
          <w:tcPr>
            <w:tcW w:w="1455" w:type="dxa"/>
            <w:vAlign w:val="center"/>
          </w:tcPr>
          <w:p w14:paraId="249B7970">
            <w:pPr>
              <w:spacing w:before="0" w:after="0" w:line="320" w:lineRule="exact"/>
              <w:jc w:val="left"/>
            </w:pPr>
            <w:r>
              <w:rPr>
                <w:rFonts w:ascii="Times New Roman" w:hAnsi="Times New Roman" w:eastAsia="宋体"/>
                <w:b w:val="0"/>
                <w:sz w:val="21"/>
              </w:rPr>
              <w:t>9.09</w:t>
            </w:r>
          </w:p>
        </w:tc>
        <w:tc>
          <w:tcPr>
            <w:tcW w:w="1455" w:type="dxa"/>
            <w:vAlign w:val="center"/>
          </w:tcPr>
          <w:p w14:paraId="68A0FE7C">
            <w:pPr>
              <w:spacing w:before="0" w:after="0" w:line="320" w:lineRule="exact"/>
              <w:jc w:val="left"/>
            </w:pPr>
            <w:r>
              <w:rPr>
                <w:rFonts w:ascii="Times New Roman" w:hAnsi="Times New Roman" w:eastAsia="宋体"/>
                <w:b w:val="0"/>
                <w:sz w:val="21"/>
              </w:rPr>
              <w:t>−67.29</w:t>
            </w:r>
          </w:p>
        </w:tc>
      </w:tr>
    </w:tbl>
    <w:p w14:paraId="47839468">
      <w:pPr>
        <w:spacing w:before="40" w:after="120" w:line="400" w:lineRule="exact"/>
        <w:jc w:val="center"/>
      </w:pPr>
      <w:r>
        <w:rPr>
          <w:rFonts w:ascii="Times New Roman" w:hAnsi="Times New Roman" w:eastAsia="宋体"/>
          <w:b/>
          <w:sz w:val="21"/>
        </w:rPr>
        <w:t>表 5.3　沉睡潜力区典型载体</w:t>
      </w:r>
    </w:p>
    <w:p w14:paraId="4D641DC0">
      <w:pPr>
        <w:spacing w:before="0" w:after="0" w:line="400" w:lineRule="exact"/>
        <w:ind w:firstLine="480"/>
        <w:jc w:val="left"/>
      </w:pPr>
      <w:r>
        <w:rPr>
          <w:rFonts w:ascii="Times New Roman" w:hAnsi="Times New Roman" w:eastAsia="宋体"/>
          <w:b w:val="0"/>
          <w:sz w:val="24"/>
        </w:rPr>
        <w:t>沉睡潜力区的共同特征是文化记忆和官方认证较强，但缓冲范围内 POI、评分和评论量较低。以松塘村、烟桥村等历史村落为例，其文化价值并不低，问题主要在于旅游产品组织、到达条件和可体验内容尚未充分转化。</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55"/>
        <w:gridCol w:w="1455"/>
        <w:gridCol w:w="1455"/>
        <w:gridCol w:w="1455"/>
        <w:gridCol w:w="1455"/>
        <w:gridCol w:w="1455"/>
      </w:tblGrid>
      <w:tr w14:paraId="12673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11E81892">
            <w:pPr>
              <w:spacing w:before="0" w:after="0" w:line="320" w:lineRule="exact"/>
              <w:jc w:val="center"/>
            </w:pPr>
            <w:r>
              <w:rPr>
                <w:rFonts w:ascii="Times New Roman" w:hAnsi="Times New Roman" w:eastAsia="宋体"/>
                <w:b/>
                <w:sz w:val="21"/>
              </w:rPr>
              <w:t>载体名称</w:t>
            </w:r>
          </w:p>
        </w:tc>
        <w:tc>
          <w:tcPr>
            <w:tcW w:w="1455" w:type="dxa"/>
            <w:vAlign w:val="center"/>
          </w:tcPr>
          <w:p w14:paraId="47F4F636">
            <w:pPr>
              <w:spacing w:before="0" w:after="0" w:line="320" w:lineRule="exact"/>
              <w:jc w:val="center"/>
            </w:pPr>
            <w:r>
              <w:rPr>
                <w:rFonts w:ascii="Times New Roman" w:hAnsi="Times New Roman" w:eastAsia="宋体"/>
                <w:b/>
                <w:sz w:val="21"/>
              </w:rPr>
              <w:t>所属片区</w:t>
            </w:r>
          </w:p>
        </w:tc>
        <w:tc>
          <w:tcPr>
            <w:tcW w:w="1455" w:type="dxa"/>
            <w:vAlign w:val="center"/>
          </w:tcPr>
          <w:p w14:paraId="4651024B">
            <w:pPr>
              <w:spacing w:before="0" w:after="0" w:line="320" w:lineRule="exact"/>
              <w:jc w:val="center"/>
            </w:pPr>
            <w:r>
              <w:rPr>
                <w:rFonts w:ascii="Times New Roman" w:hAnsi="Times New Roman" w:eastAsia="宋体"/>
                <w:b/>
                <w:sz w:val="21"/>
              </w:rPr>
              <w:t>CMI</w:t>
            </w:r>
          </w:p>
        </w:tc>
        <w:tc>
          <w:tcPr>
            <w:tcW w:w="1455" w:type="dxa"/>
            <w:vAlign w:val="center"/>
          </w:tcPr>
          <w:p w14:paraId="48B00207">
            <w:pPr>
              <w:spacing w:before="0" w:after="0" w:line="320" w:lineRule="exact"/>
              <w:jc w:val="center"/>
            </w:pPr>
            <w:r>
              <w:rPr>
                <w:rFonts w:ascii="Times New Roman" w:hAnsi="Times New Roman" w:eastAsia="宋体"/>
                <w:b/>
                <w:sz w:val="21"/>
              </w:rPr>
              <w:t>OAI</w:t>
            </w:r>
          </w:p>
        </w:tc>
        <w:tc>
          <w:tcPr>
            <w:tcW w:w="1455" w:type="dxa"/>
            <w:vAlign w:val="center"/>
          </w:tcPr>
          <w:p w14:paraId="451E4F57">
            <w:pPr>
              <w:spacing w:before="0" w:after="0" w:line="320" w:lineRule="exact"/>
              <w:jc w:val="center"/>
            </w:pPr>
            <w:r>
              <w:rPr>
                <w:rFonts w:ascii="Times New Roman" w:hAnsi="Times New Roman" w:eastAsia="宋体"/>
                <w:b/>
                <w:sz w:val="21"/>
              </w:rPr>
              <w:t>THI</w:t>
            </w:r>
          </w:p>
        </w:tc>
        <w:tc>
          <w:tcPr>
            <w:tcW w:w="1455" w:type="dxa"/>
            <w:vAlign w:val="center"/>
          </w:tcPr>
          <w:p w14:paraId="017A5D5D">
            <w:pPr>
              <w:spacing w:before="0" w:after="0" w:line="320" w:lineRule="exact"/>
              <w:jc w:val="center"/>
            </w:pPr>
            <w:r>
              <w:rPr>
                <w:rFonts w:ascii="Times New Roman" w:hAnsi="Times New Roman" w:eastAsia="宋体"/>
                <w:b/>
                <w:sz w:val="21"/>
              </w:rPr>
              <w:t>MI</w:t>
            </w:r>
          </w:p>
        </w:tc>
      </w:tr>
      <w:tr w14:paraId="2778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26EA803">
            <w:pPr>
              <w:spacing w:before="0" w:after="0" w:line="320" w:lineRule="exact"/>
              <w:jc w:val="left"/>
            </w:pPr>
            <w:r>
              <w:rPr>
                <w:rFonts w:ascii="Times New Roman" w:hAnsi="Times New Roman" w:eastAsia="宋体"/>
                <w:b w:val="0"/>
                <w:sz w:val="21"/>
              </w:rPr>
              <w:t>大伸市</w:t>
            </w:r>
          </w:p>
        </w:tc>
        <w:tc>
          <w:tcPr>
            <w:tcW w:w="1455" w:type="dxa"/>
            <w:vAlign w:val="center"/>
          </w:tcPr>
          <w:p w14:paraId="448287AC">
            <w:pPr>
              <w:spacing w:before="0" w:after="0" w:line="320" w:lineRule="exact"/>
              <w:jc w:val="left"/>
            </w:pPr>
            <w:r>
              <w:rPr>
                <w:rFonts w:ascii="Times New Roman" w:hAnsi="Times New Roman" w:eastAsia="宋体"/>
                <w:b w:val="0"/>
                <w:sz w:val="21"/>
              </w:rPr>
              <w:t>未标注</w:t>
            </w:r>
          </w:p>
        </w:tc>
        <w:tc>
          <w:tcPr>
            <w:tcW w:w="1455" w:type="dxa"/>
            <w:vAlign w:val="center"/>
          </w:tcPr>
          <w:p w14:paraId="05AED383">
            <w:pPr>
              <w:spacing w:before="0" w:after="0" w:line="320" w:lineRule="exact"/>
              <w:jc w:val="left"/>
            </w:pPr>
            <w:r>
              <w:rPr>
                <w:rFonts w:ascii="Times New Roman" w:hAnsi="Times New Roman" w:eastAsia="宋体"/>
                <w:b w:val="0"/>
                <w:sz w:val="21"/>
              </w:rPr>
              <w:t>0.00</w:t>
            </w:r>
          </w:p>
        </w:tc>
        <w:tc>
          <w:tcPr>
            <w:tcW w:w="1455" w:type="dxa"/>
            <w:vAlign w:val="center"/>
          </w:tcPr>
          <w:p w14:paraId="6BBE936B">
            <w:pPr>
              <w:spacing w:before="0" w:after="0" w:line="320" w:lineRule="exact"/>
              <w:jc w:val="left"/>
            </w:pPr>
            <w:r>
              <w:rPr>
                <w:rFonts w:ascii="Times New Roman" w:hAnsi="Times New Roman" w:eastAsia="宋体"/>
                <w:b w:val="0"/>
                <w:sz w:val="21"/>
              </w:rPr>
              <w:t>0.0</w:t>
            </w:r>
          </w:p>
        </w:tc>
        <w:tc>
          <w:tcPr>
            <w:tcW w:w="1455" w:type="dxa"/>
            <w:vAlign w:val="center"/>
          </w:tcPr>
          <w:p w14:paraId="59452AA8">
            <w:pPr>
              <w:spacing w:before="0" w:after="0" w:line="320" w:lineRule="exact"/>
              <w:jc w:val="left"/>
            </w:pPr>
            <w:r>
              <w:rPr>
                <w:rFonts w:ascii="Times New Roman" w:hAnsi="Times New Roman" w:eastAsia="宋体"/>
                <w:b w:val="0"/>
                <w:sz w:val="21"/>
              </w:rPr>
              <w:t>61.00</w:t>
            </w:r>
          </w:p>
        </w:tc>
        <w:tc>
          <w:tcPr>
            <w:tcW w:w="1455" w:type="dxa"/>
            <w:vAlign w:val="center"/>
          </w:tcPr>
          <w:p w14:paraId="30894BBB">
            <w:pPr>
              <w:spacing w:before="0" w:after="0" w:line="320" w:lineRule="exact"/>
              <w:jc w:val="left"/>
            </w:pPr>
            <w:r>
              <w:rPr>
                <w:rFonts w:ascii="Times New Roman" w:hAnsi="Times New Roman" w:eastAsia="宋体"/>
                <w:b w:val="0"/>
                <w:sz w:val="21"/>
              </w:rPr>
              <w:t>61.00</w:t>
            </w:r>
          </w:p>
        </w:tc>
      </w:tr>
      <w:tr w14:paraId="1B55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D2E4DE4">
            <w:pPr>
              <w:spacing w:before="0" w:after="0" w:line="320" w:lineRule="exact"/>
              <w:jc w:val="left"/>
            </w:pPr>
            <w:r>
              <w:rPr>
                <w:rFonts w:ascii="Times New Roman" w:hAnsi="Times New Roman" w:eastAsia="宋体"/>
                <w:b w:val="0"/>
                <w:sz w:val="21"/>
              </w:rPr>
              <w:t>光分亭</w:t>
            </w:r>
          </w:p>
        </w:tc>
        <w:tc>
          <w:tcPr>
            <w:tcW w:w="1455" w:type="dxa"/>
            <w:vAlign w:val="center"/>
          </w:tcPr>
          <w:p w14:paraId="6B854236">
            <w:pPr>
              <w:spacing w:before="0" w:after="0" w:line="320" w:lineRule="exact"/>
              <w:jc w:val="left"/>
            </w:pPr>
            <w:r>
              <w:rPr>
                <w:rFonts w:ascii="Times New Roman" w:hAnsi="Times New Roman" w:eastAsia="宋体"/>
                <w:b w:val="0"/>
                <w:sz w:val="21"/>
              </w:rPr>
              <w:t>未标注</w:t>
            </w:r>
          </w:p>
        </w:tc>
        <w:tc>
          <w:tcPr>
            <w:tcW w:w="1455" w:type="dxa"/>
            <w:vAlign w:val="center"/>
          </w:tcPr>
          <w:p w14:paraId="4DF3DEE8">
            <w:pPr>
              <w:spacing w:before="0" w:after="0" w:line="320" w:lineRule="exact"/>
              <w:jc w:val="left"/>
            </w:pPr>
            <w:r>
              <w:rPr>
                <w:rFonts w:ascii="Times New Roman" w:hAnsi="Times New Roman" w:eastAsia="宋体"/>
                <w:b w:val="0"/>
                <w:sz w:val="21"/>
              </w:rPr>
              <w:t>0.00</w:t>
            </w:r>
          </w:p>
        </w:tc>
        <w:tc>
          <w:tcPr>
            <w:tcW w:w="1455" w:type="dxa"/>
            <w:vAlign w:val="center"/>
          </w:tcPr>
          <w:p w14:paraId="68B7A118">
            <w:pPr>
              <w:spacing w:before="0" w:after="0" w:line="320" w:lineRule="exact"/>
              <w:jc w:val="left"/>
            </w:pPr>
            <w:r>
              <w:rPr>
                <w:rFonts w:ascii="Times New Roman" w:hAnsi="Times New Roman" w:eastAsia="宋体"/>
                <w:b w:val="0"/>
                <w:sz w:val="21"/>
              </w:rPr>
              <w:t>50.0</w:t>
            </w:r>
          </w:p>
        </w:tc>
        <w:tc>
          <w:tcPr>
            <w:tcW w:w="1455" w:type="dxa"/>
            <w:vAlign w:val="center"/>
          </w:tcPr>
          <w:p w14:paraId="43B8421E">
            <w:pPr>
              <w:spacing w:before="0" w:after="0" w:line="320" w:lineRule="exact"/>
              <w:jc w:val="left"/>
            </w:pPr>
            <w:r>
              <w:rPr>
                <w:rFonts w:ascii="Times New Roman" w:hAnsi="Times New Roman" w:eastAsia="宋体"/>
                <w:b w:val="0"/>
                <w:sz w:val="21"/>
              </w:rPr>
              <w:t>77.74</w:t>
            </w:r>
          </w:p>
        </w:tc>
        <w:tc>
          <w:tcPr>
            <w:tcW w:w="1455" w:type="dxa"/>
            <w:vAlign w:val="center"/>
          </w:tcPr>
          <w:p w14:paraId="1CAD1B54">
            <w:pPr>
              <w:spacing w:before="0" w:after="0" w:line="320" w:lineRule="exact"/>
              <w:jc w:val="left"/>
            </w:pPr>
            <w:r>
              <w:rPr>
                <w:rFonts w:ascii="Times New Roman" w:hAnsi="Times New Roman" w:eastAsia="宋体"/>
                <w:b w:val="0"/>
                <w:sz w:val="21"/>
              </w:rPr>
              <w:t>52.74</w:t>
            </w:r>
          </w:p>
        </w:tc>
      </w:tr>
      <w:tr w14:paraId="5C7C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7C899749">
            <w:pPr>
              <w:spacing w:before="0" w:after="0" w:line="320" w:lineRule="exact"/>
              <w:jc w:val="left"/>
            </w:pPr>
            <w:r>
              <w:rPr>
                <w:rFonts w:ascii="Times New Roman" w:hAnsi="Times New Roman" w:eastAsia="宋体"/>
                <w:b w:val="0"/>
                <w:sz w:val="21"/>
              </w:rPr>
              <w:t>西联村神诞</w:t>
            </w:r>
          </w:p>
        </w:tc>
        <w:tc>
          <w:tcPr>
            <w:tcW w:w="1455" w:type="dxa"/>
            <w:vAlign w:val="center"/>
          </w:tcPr>
          <w:p w14:paraId="505ACA93">
            <w:pPr>
              <w:spacing w:before="0" w:after="0" w:line="320" w:lineRule="exact"/>
              <w:jc w:val="left"/>
            </w:pPr>
            <w:r>
              <w:rPr>
                <w:rFonts w:ascii="Times New Roman" w:hAnsi="Times New Roman" w:eastAsia="宋体"/>
                <w:b w:val="0"/>
                <w:sz w:val="21"/>
              </w:rPr>
              <w:t>丹灶</w:t>
            </w:r>
          </w:p>
        </w:tc>
        <w:tc>
          <w:tcPr>
            <w:tcW w:w="1455" w:type="dxa"/>
            <w:vAlign w:val="center"/>
          </w:tcPr>
          <w:p w14:paraId="69B2FF2A">
            <w:pPr>
              <w:spacing w:before="0" w:after="0" w:line="320" w:lineRule="exact"/>
              <w:jc w:val="left"/>
            </w:pPr>
            <w:r>
              <w:rPr>
                <w:rFonts w:ascii="Times New Roman" w:hAnsi="Times New Roman" w:eastAsia="宋体"/>
                <w:b w:val="0"/>
                <w:sz w:val="21"/>
              </w:rPr>
              <w:t>0.00</w:t>
            </w:r>
          </w:p>
        </w:tc>
        <w:tc>
          <w:tcPr>
            <w:tcW w:w="1455" w:type="dxa"/>
            <w:vAlign w:val="center"/>
          </w:tcPr>
          <w:p w14:paraId="3FA1D313">
            <w:pPr>
              <w:spacing w:before="0" w:after="0" w:line="320" w:lineRule="exact"/>
              <w:jc w:val="left"/>
            </w:pPr>
            <w:r>
              <w:rPr>
                <w:rFonts w:ascii="Times New Roman" w:hAnsi="Times New Roman" w:eastAsia="宋体"/>
                <w:b w:val="0"/>
                <w:sz w:val="21"/>
              </w:rPr>
              <w:t>25.0</w:t>
            </w:r>
          </w:p>
        </w:tc>
        <w:tc>
          <w:tcPr>
            <w:tcW w:w="1455" w:type="dxa"/>
            <w:vAlign w:val="center"/>
          </w:tcPr>
          <w:p w14:paraId="3F19686D">
            <w:pPr>
              <w:spacing w:before="0" w:after="0" w:line="320" w:lineRule="exact"/>
              <w:jc w:val="left"/>
            </w:pPr>
            <w:r>
              <w:rPr>
                <w:rFonts w:ascii="Times New Roman" w:hAnsi="Times New Roman" w:eastAsia="宋体"/>
                <w:b w:val="0"/>
                <w:sz w:val="21"/>
              </w:rPr>
              <w:t>57.88</w:t>
            </w:r>
          </w:p>
        </w:tc>
        <w:tc>
          <w:tcPr>
            <w:tcW w:w="1455" w:type="dxa"/>
            <w:vAlign w:val="center"/>
          </w:tcPr>
          <w:p w14:paraId="1FE5C81D">
            <w:pPr>
              <w:spacing w:before="0" w:after="0" w:line="320" w:lineRule="exact"/>
              <w:jc w:val="left"/>
            </w:pPr>
            <w:r>
              <w:rPr>
                <w:rFonts w:ascii="Times New Roman" w:hAnsi="Times New Roman" w:eastAsia="宋体"/>
                <w:b w:val="0"/>
                <w:sz w:val="21"/>
              </w:rPr>
              <w:t>45.38</w:t>
            </w:r>
          </w:p>
        </w:tc>
      </w:tr>
      <w:tr w14:paraId="37184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EDDFCCA">
            <w:pPr>
              <w:spacing w:before="0" w:after="0" w:line="320" w:lineRule="exact"/>
              <w:jc w:val="left"/>
            </w:pPr>
            <w:r>
              <w:rPr>
                <w:rFonts w:ascii="Times New Roman" w:hAnsi="Times New Roman" w:eastAsia="宋体"/>
                <w:b w:val="0"/>
                <w:sz w:val="21"/>
              </w:rPr>
              <w:t>唢呐制作技艺</w:t>
            </w:r>
          </w:p>
        </w:tc>
        <w:tc>
          <w:tcPr>
            <w:tcW w:w="1455" w:type="dxa"/>
            <w:vAlign w:val="center"/>
          </w:tcPr>
          <w:p w14:paraId="7FD60D64">
            <w:pPr>
              <w:spacing w:before="0" w:after="0" w:line="320" w:lineRule="exact"/>
              <w:jc w:val="left"/>
            </w:pPr>
            <w:r>
              <w:rPr>
                <w:rFonts w:ascii="Times New Roman" w:hAnsi="Times New Roman" w:eastAsia="宋体"/>
                <w:b w:val="0"/>
                <w:sz w:val="21"/>
              </w:rPr>
              <w:t>桂城</w:t>
            </w:r>
          </w:p>
        </w:tc>
        <w:tc>
          <w:tcPr>
            <w:tcW w:w="1455" w:type="dxa"/>
            <w:vAlign w:val="center"/>
          </w:tcPr>
          <w:p w14:paraId="5A84ADE3">
            <w:pPr>
              <w:spacing w:before="0" w:after="0" w:line="320" w:lineRule="exact"/>
              <w:jc w:val="left"/>
            </w:pPr>
            <w:r>
              <w:rPr>
                <w:rFonts w:ascii="Times New Roman" w:hAnsi="Times New Roman" w:eastAsia="宋体"/>
                <w:b w:val="0"/>
                <w:sz w:val="21"/>
              </w:rPr>
              <w:t>0.00</w:t>
            </w:r>
          </w:p>
        </w:tc>
        <w:tc>
          <w:tcPr>
            <w:tcW w:w="1455" w:type="dxa"/>
            <w:vAlign w:val="center"/>
          </w:tcPr>
          <w:p w14:paraId="15F0E61D">
            <w:pPr>
              <w:spacing w:before="0" w:after="0" w:line="320" w:lineRule="exact"/>
              <w:jc w:val="left"/>
            </w:pPr>
            <w:r>
              <w:rPr>
                <w:rFonts w:ascii="Times New Roman" w:hAnsi="Times New Roman" w:eastAsia="宋体"/>
                <w:b w:val="0"/>
                <w:sz w:val="21"/>
              </w:rPr>
              <w:t>50.0</w:t>
            </w:r>
          </w:p>
        </w:tc>
        <w:tc>
          <w:tcPr>
            <w:tcW w:w="1455" w:type="dxa"/>
            <w:vAlign w:val="center"/>
          </w:tcPr>
          <w:p w14:paraId="5991D264">
            <w:pPr>
              <w:spacing w:before="0" w:after="0" w:line="320" w:lineRule="exact"/>
              <w:jc w:val="left"/>
            </w:pPr>
            <w:r>
              <w:rPr>
                <w:rFonts w:ascii="Times New Roman" w:hAnsi="Times New Roman" w:eastAsia="宋体"/>
                <w:b w:val="0"/>
                <w:sz w:val="21"/>
              </w:rPr>
              <w:t>68.81</w:t>
            </w:r>
          </w:p>
        </w:tc>
        <w:tc>
          <w:tcPr>
            <w:tcW w:w="1455" w:type="dxa"/>
            <w:vAlign w:val="center"/>
          </w:tcPr>
          <w:p w14:paraId="326607FC">
            <w:pPr>
              <w:spacing w:before="0" w:after="0" w:line="320" w:lineRule="exact"/>
              <w:jc w:val="left"/>
            </w:pPr>
            <w:r>
              <w:rPr>
                <w:rFonts w:ascii="Times New Roman" w:hAnsi="Times New Roman" w:eastAsia="宋体"/>
                <w:b w:val="0"/>
                <w:sz w:val="21"/>
              </w:rPr>
              <w:t>43.81</w:t>
            </w:r>
          </w:p>
        </w:tc>
      </w:tr>
      <w:tr w14:paraId="642B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8AD59ED">
            <w:pPr>
              <w:spacing w:before="0" w:after="0" w:line="320" w:lineRule="exact"/>
              <w:jc w:val="left"/>
            </w:pPr>
            <w:r>
              <w:rPr>
                <w:rFonts w:ascii="Times New Roman" w:hAnsi="Times New Roman" w:eastAsia="宋体"/>
                <w:b w:val="0"/>
                <w:sz w:val="21"/>
              </w:rPr>
              <w:t>南海农谚</w:t>
            </w:r>
          </w:p>
        </w:tc>
        <w:tc>
          <w:tcPr>
            <w:tcW w:w="1455" w:type="dxa"/>
            <w:vAlign w:val="center"/>
          </w:tcPr>
          <w:p w14:paraId="75C9F0D4">
            <w:pPr>
              <w:spacing w:before="0" w:after="0" w:line="320" w:lineRule="exact"/>
              <w:jc w:val="left"/>
            </w:pPr>
            <w:r>
              <w:rPr>
                <w:rFonts w:ascii="Times New Roman" w:hAnsi="Times New Roman" w:eastAsia="宋体"/>
                <w:b w:val="0"/>
                <w:sz w:val="21"/>
              </w:rPr>
              <w:t>西樵</w:t>
            </w:r>
          </w:p>
        </w:tc>
        <w:tc>
          <w:tcPr>
            <w:tcW w:w="1455" w:type="dxa"/>
            <w:vAlign w:val="center"/>
          </w:tcPr>
          <w:p w14:paraId="14806082">
            <w:pPr>
              <w:spacing w:before="0" w:after="0" w:line="320" w:lineRule="exact"/>
              <w:jc w:val="left"/>
            </w:pPr>
            <w:r>
              <w:rPr>
                <w:rFonts w:ascii="Times New Roman" w:hAnsi="Times New Roman" w:eastAsia="宋体"/>
                <w:b w:val="0"/>
                <w:sz w:val="21"/>
              </w:rPr>
              <w:t>69.39</w:t>
            </w:r>
          </w:p>
        </w:tc>
        <w:tc>
          <w:tcPr>
            <w:tcW w:w="1455" w:type="dxa"/>
            <w:vAlign w:val="center"/>
          </w:tcPr>
          <w:p w14:paraId="0EB462C0">
            <w:pPr>
              <w:spacing w:before="0" w:after="0" w:line="320" w:lineRule="exact"/>
              <w:jc w:val="left"/>
            </w:pPr>
            <w:r>
              <w:rPr>
                <w:rFonts w:ascii="Times New Roman" w:hAnsi="Times New Roman" w:eastAsia="宋体"/>
                <w:b w:val="0"/>
                <w:sz w:val="21"/>
              </w:rPr>
              <w:t>25.0</w:t>
            </w:r>
          </w:p>
        </w:tc>
        <w:tc>
          <w:tcPr>
            <w:tcW w:w="1455" w:type="dxa"/>
            <w:vAlign w:val="center"/>
          </w:tcPr>
          <w:p w14:paraId="75E49691">
            <w:pPr>
              <w:spacing w:before="0" w:after="0" w:line="320" w:lineRule="exact"/>
              <w:jc w:val="left"/>
            </w:pPr>
            <w:r>
              <w:rPr>
                <w:rFonts w:ascii="Times New Roman" w:hAnsi="Times New Roman" w:eastAsia="宋体"/>
                <w:b w:val="0"/>
                <w:sz w:val="21"/>
              </w:rPr>
              <w:t>90.88</w:t>
            </w:r>
          </w:p>
        </w:tc>
        <w:tc>
          <w:tcPr>
            <w:tcW w:w="1455" w:type="dxa"/>
            <w:vAlign w:val="center"/>
          </w:tcPr>
          <w:p w14:paraId="5833F92B">
            <w:pPr>
              <w:spacing w:before="0" w:after="0" w:line="320" w:lineRule="exact"/>
              <w:jc w:val="left"/>
            </w:pPr>
            <w:r>
              <w:rPr>
                <w:rFonts w:ascii="Times New Roman" w:hAnsi="Times New Roman" w:eastAsia="宋体"/>
                <w:b w:val="0"/>
                <w:sz w:val="21"/>
              </w:rPr>
              <w:t>43.68</w:t>
            </w:r>
          </w:p>
        </w:tc>
      </w:tr>
    </w:tbl>
    <w:p w14:paraId="2CA4B968">
      <w:pPr>
        <w:spacing w:before="40" w:after="120" w:line="400" w:lineRule="exact"/>
        <w:jc w:val="center"/>
      </w:pPr>
      <w:r>
        <w:rPr>
          <w:rFonts w:ascii="Times New Roman" w:hAnsi="Times New Roman" w:eastAsia="宋体"/>
          <w:b/>
          <w:sz w:val="21"/>
        </w:rPr>
        <w:t>表 5.4　空心景点区典型载体</w:t>
      </w:r>
    </w:p>
    <w:p w14:paraId="382670AE">
      <w:pPr>
        <w:spacing w:before="0" w:after="0" w:line="400" w:lineRule="exact"/>
        <w:ind w:firstLine="480"/>
        <w:jc w:val="left"/>
      </w:pPr>
      <w:r>
        <w:rPr>
          <w:rFonts w:ascii="Times New Roman" w:hAnsi="Times New Roman" w:eastAsia="宋体"/>
          <w:b w:val="0"/>
          <w:sz w:val="24"/>
        </w:rPr>
        <w:t>空心景点区并不等同于“没有文化价值”。它更准确地说明：旅游热度已经高于当前可识别的文化记忆和官方认证支撑。部分样本的 CMI 接近 0，说明其文化叙事尚未在典籍文本或知识图谱中形成较强可见度；也有样本如南海农谚，文化记忆并不低，但周边旅游热度更高，仍然表现出文化解释与旅游消费之间的不均衡。</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55"/>
        <w:gridCol w:w="1455"/>
        <w:gridCol w:w="1455"/>
        <w:gridCol w:w="1455"/>
        <w:gridCol w:w="1455"/>
        <w:gridCol w:w="1455"/>
      </w:tblGrid>
      <w:tr w14:paraId="194C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8FCA58C">
            <w:pPr>
              <w:spacing w:before="0" w:after="0" w:line="320" w:lineRule="exact"/>
              <w:jc w:val="center"/>
            </w:pPr>
            <w:r>
              <w:rPr>
                <w:rFonts w:ascii="Times New Roman" w:hAnsi="Times New Roman" w:eastAsia="宋体"/>
                <w:b/>
                <w:sz w:val="21"/>
              </w:rPr>
              <w:t>载体名称</w:t>
            </w:r>
          </w:p>
        </w:tc>
        <w:tc>
          <w:tcPr>
            <w:tcW w:w="1455" w:type="dxa"/>
            <w:vAlign w:val="center"/>
          </w:tcPr>
          <w:p w14:paraId="5E078E81">
            <w:pPr>
              <w:spacing w:before="0" w:after="0" w:line="320" w:lineRule="exact"/>
              <w:jc w:val="center"/>
            </w:pPr>
            <w:r>
              <w:rPr>
                <w:rFonts w:ascii="Times New Roman" w:hAnsi="Times New Roman" w:eastAsia="宋体"/>
                <w:b/>
                <w:sz w:val="21"/>
              </w:rPr>
              <w:t>所属片区</w:t>
            </w:r>
          </w:p>
        </w:tc>
        <w:tc>
          <w:tcPr>
            <w:tcW w:w="1455" w:type="dxa"/>
            <w:vAlign w:val="center"/>
          </w:tcPr>
          <w:p w14:paraId="1E0BAFF2">
            <w:pPr>
              <w:spacing w:before="0" w:after="0" w:line="320" w:lineRule="exact"/>
              <w:jc w:val="center"/>
            </w:pPr>
            <w:r>
              <w:rPr>
                <w:rFonts w:ascii="Times New Roman" w:hAnsi="Times New Roman" w:eastAsia="宋体"/>
                <w:b/>
                <w:sz w:val="21"/>
              </w:rPr>
              <w:t>CMI</w:t>
            </w:r>
          </w:p>
        </w:tc>
        <w:tc>
          <w:tcPr>
            <w:tcW w:w="1455" w:type="dxa"/>
            <w:vAlign w:val="center"/>
          </w:tcPr>
          <w:p w14:paraId="61C19E17">
            <w:pPr>
              <w:spacing w:before="0" w:after="0" w:line="320" w:lineRule="exact"/>
              <w:jc w:val="center"/>
            </w:pPr>
            <w:r>
              <w:rPr>
                <w:rFonts w:ascii="Times New Roman" w:hAnsi="Times New Roman" w:eastAsia="宋体"/>
                <w:b/>
                <w:sz w:val="21"/>
              </w:rPr>
              <w:t>OAI</w:t>
            </w:r>
          </w:p>
        </w:tc>
        <w:tc>
          <w:tcPr>
            <w:tcW w:w="1455" w:type="dxa"/>
            <w:vAlign w:val="center"/>
          </w:tcPr>
          <w:p w14:paraId="44286CFB">
            <w:pPr>
              <w:spacing w:before="0" w:after="0" w:line="320" w:lineRule="exact"/>
              <w:jc w:val="center"/>
            </w:pPr>
            <w:r>
              <w:rPr>
                <w:rFonts w:ascii="Times New Roman" w:hAnsi="Times New Roman" w:eastAsia="宋体"/>
                <w:b/>
                <w:sz w:val="21"/>
              </w:rPr>
              <w:t>THI</w:t>
            </w:r>
          </w:p>
        </w:tc>
        <w:tc>
          <w:tcPr>
            <w:tcW w:w="1455" w:type="dxa"/>
            <w:vAlign w:val="center"/>
          </w:tcPr>
          <w:p w14:paraId="2D2F116E">
            <w:pPr>
              <w:spacing w:before="0" w:after="0" w:line="320" w:lineRule="exact"/>
              <w:jc w:val="center"/>
            </w:pPr>
            <w:r>
              <w:rPr>
                <w:rFonts w:ascii="Times New Roman" w:hAnsi="Times New Roman" w:eastAsia="宋体"/>
                <w:b/>
                <w:sz w:val="21"/>
              </w:rPr>
              <w:t>MI</w:t>
            </w:r>
          </w:p>
        </w:tc>
      </w:tr>
      <w:tr w14:paraId="2AED4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5B7D73FC">
            <w:pPr>
              <w:spacing w:before="0" w:after="0" w:line="320" w:lineRule="exact"/>
              <w:jc w:val="left"/>
            </w:pPr>
            <w:r>
              <w:rPr>
                <w:rFonts w:ascii="Times New Roman" w:hAnsi="Times New Roman" w:eastAsia="宋体"/>
                <w:b w:val="0"/>
                <w:sz w:val="21"/>
              </w:rPr>
              <w:t>丹灶葛洪炼丹传说</w:t>
            </w:r>
          </w:p>
        </w:tc>
        <w:tc>
          <w:tcPr>
            <w:tcW w:w="1455" w:type="dxa"/>
            <w:vAlign w:val="center"/>
          </w:tcPr>
          <w:p w14:paraId="2907511D">
            <w:pPr>
              <w:spacing w:before="0" w:after="0" w:line="320" w:lineRule="exact"/>
              <w:jc w:val="left"/>
            </w:pPr>
            <w:r>
              <w:rPr>
                <w:rFonts w:ascii="Times New Roman" w:hAnsi="Times New Roman" w:eastAsia="宋体"/>
                <w:b w:val="0"/>
                <w:sz w:val="21"/>
              </w:rPr>
              <w:t>丹灶</w:t>
            </w:r>
          </w:p>
        </w:tc>
        <w:tc>
          <w:tcPr>
            <w:tcW w:w="1455" w:type="dxa"/>
            <w:vAlign w:val="center"/>
          </w:tcPr>
          <w:p w14:paraId="1D9FEE89">
            <w:pPr>
              <w:spacing w:before="0" w:after="0" w:line="320" w:lineRule="exact"/>
              <w:jc w:val="left"/>
            </w:pPr>
            <w:r>
              <w:rPr>
                <w:rFonts w:ascii="Times New Roman" w:hAnsi="Times New Roman" w:eastAsia="宋体"/>
                <w:b w:val="0"/>
                <w:sz w:val="21"/>
              </w:rPr>
              <w:t>54.02</w:t>
            </w:r>
          </w:p>
        </w:tc>
        <w:tc>
          <w:tcPr>
            <w:tcW w:w="1455" w:type="dxa"/>
            <w:vAlign w:val="center"/>
          </w:tcPr>
          <w:p w14:paraId="58FDD58E">
            <w:pPr>
              <w:spacing w:before="0" w:after="0" w:line="320" w:lineRule="exact"/>
              <w:jc w:val="left"/>
            </w:pPr>
            <w:r>
              <w:rPr>
                <w:rFonts w:ascii="Times New Roman" w:hAnsi="Times New Roman" w:eastAsia="宋体"/>
                <w:b w:val="0"/>
                <w:sz w:val="21"/>
              </w:rPr>
              <w:t>50.0</w:t>
            </w:r>
          </w:p>
        </w:tc>
        <w:tc>
          <w:tcPr>
            <w:tcW w:w="1455" w:type="dxa"/>
            <w:vAlign w:val="center"/>
          </w:tcPr>
          <w:p w14:paraId="23C89C03">
            <w:pPr>
              <w:spacing w:before="0" w:after="0" w:line="320" w:lineRule="exact"/>
              <w:jc w:val="left"/>
            </w:pPr>
            <w:r>
              <w:rPr>
                <w:rFonts w:ascii="Times New Roman" w:hAnsi="Times New Roman" w:eastAsia="宋体"/>
                <w:b w:val="0"/>
                <w:sz w:val="21"/>
              </w:rPr>
              <w:t>52.84</w:t>
            </w:r>
          </w:p>
        </w:tc>
        <w:tc>
          <w:tcPr>
            <w:tcW w:w="1455" w:type="dxa"/>
            <w:vAlign w:val="center"/>
          </w:tcPr>
          <w:p w14:paraId="03E506FC">
            <w:pPr>
              <w:spacing w:before="0" w:after="0" w:line="320" w:lineRule="exact"/>
              <w:jc w:val="left"/>
            </w:pPr>
            <w:r>
              <w:rPr>
                <w:rFonts w:ascii="Times New Roman" w:hAnsi="Times New Roman" w:eastAsia="宋体"/>
                <w:b w:val="0"/>
                <w:sz w:val="21"/>
              </w:rPr>
              <w:t>0.83</w:t>
            </w:r>
          </w:p>
        </w:tc>
      </w:tr>
      <w:tr w14:paraId="24C23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4BBFCADB">
            <w:pPr>
              <w:spacing w:before="0" w:after="0" w:line="320" w:lineRule="exact"/>
              <w:jc w:val="left"/>
            </w:pPr>
            <w:r>
              <w:rPr>
                <w:rFonts w:ascii="Times New Roman" w:hAnsi="Times New Roman" w:eastAsia="宋体"/>
                <w:b w:val="0"/>
                <w:sz w:val="21"/>
              </w:rPr>
              <w:t>西樵山传说</w:t>
            </w:r>
          </w:p>
        </w:tc>
        <w:tc>
          <w:tcPr>
            <w:tcW w:w="1455" w:type="dxa"/>
            <w:vAlign w:val="center"/>
          </w:tcPr>
          <w:p w14:paraId="1E4D3E08">
            <w:pPr>
              <w:spacing w:before="0" w:after="0" w:line="320" w:lineRule="exact"/>
              <w:jc w:val="left"/>
            </w:pPr>
            <w:r>
              <w:rPr>
                <w:rFonts w:ascii="Times New Roman" w:hAnsi="Times New Roman" w:eastAsia="宋体"/>
                <w:b w:val="0"/>
                <w:sz w:val="21"/>
              </w:rPr>
              <w:t>西樵</w:t>
            </w:r>
          </w:p>
        </w:tc>
        <w:tc>
          <w:tcPr>
            <w:tcW w:w="1455" w:type="dxa"/>
            <w:vAlign w:val="center"/>
          </w:tcPr>
          <w:p w14:paraId="763BF244">
            <w:pPr>
              <w:spacing w:before="0" w:after="0" w:line="320" w:lineRule="exact"/>
              <w:jc w:val="left"/>
            </w:pPr>
            <w:r>
              <w:rPr>
                <w:rFonts w:ascii="Times New Roman" w:hAnsi="Times New Roman" w:eastAsia="宋体"/>
                <w:b w:val="0"/>
                <w:sz w:val="21"/>
              </w:rPr>
              <w:t>91.60</w:t>
            </w:r>
          </w:p>
        </w:tc>
        <w:tc>
          <w:tcPr>
            <w:tcW w:w="1455" w:type="dxa"/>
            <w:vAlign w:val="center"/>
          </w:tcPr>
          <w:p w14:paraId="02CD8CEE">
            <w:pPr>
              <w:spacing w:before="0" w:after="0" w:line="320" w:lineRule="exact"/>
              <w:jc w:val="left"/>
            </w:pPr>
            <w:r>
              <w:rPr>
                <w:rFonts w:ascii="Times New Roman" w:hAnsi="Times New Roman" w:eastAsia="宋体"/>
                <w:b w:val="0"/>
                <w:sz w:val="21"/>
              </w:rPr>
              <w:t>25.0</w:t>
            </w:r>
          </w:p>
        </w:tc>
        <w:tc>
          <w:tcPr>
            <w:tcW w:w="1455" w:type="dxa"/>
            <w:vAlign w:val="center"/>
          </w:tcPr>
          <w:p w14:paraId="75BED1BB">
            <w:pPr>
              <w:spacing w:before="0" w:after="0" w:line="320" w:lineRule="exact"/>
              <w:jc w:val="left"/>
            </w:pPr>
            <w:r>
              <w:rPr>
                <w:rFonts w:ascii="Times New Roman" w:hAnsi="Times New Roman" w:eastAsia="宋体"/>
                <w:b w:val="0"/>
                <w:sz w:val="21"/>
              </w:rPr>
              <w:t>60.05</w:t>
            </w:r>
          </w:p>
        </w:tc>
        <w:tc>
          <w:tcPr>
            <w:tcW w:w="1455" w:type="dxa"/>
            <w:vAlign w:val="center"/>
          </w:tcPr>
          <w:p w14:paraId="61378D8E">
            <w:pPr>
              <w:spacing w:before="0" w:after="0" w:line="320" w:lineRule="exact"/>
              <w:jc w:val="left"/>
            </w:pPr>
            <w:r>
              <w:rPr>
                <w:rFonts w:ascii="Times New Roman" w:hAnsi="Times New Roman" w:eastAsia="宋体"/>
                <w:b w:val="0"/>
                <w:sz w:val="21"/>
              </w:rPr>
              <w:t>1.75</w:t>
            </w:r>
          </w:p>
        </w:tc>
      </w:tr>
      <w:tr w14:paraId="428C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7F656498">
            <w:pPr>
              <w:spacing w:before="0" w:after="0" w:line="320" w:lineRule="exact"/>
              <w:jc w:val="left"/>
            </w:pPr>
            <w:r>
              <w:rPr>
                <w:rFonts w:ascii="Times New Roman" w:hAnsi="Times New Roman" w:eastAsia="宋体"/>
                <w:b w:val="0"/>
                <w:sz w:val="21"/>
              </w:rPr>
              <w:t>云泉仙馆</w:t>
            </w:r>
          </w:p>
        </w:tc>
        <w:tc>
          <w:tcPr>
            <w:tcW w:w="1455" w:type="dxa"/>
            <w:vAlign w:val="center"/>
          </w:tcPr>
          <w:p w14:paraId="293C4874">
            <w:pPr>
              <w:spacing w:before="0" w:after="0" w:line="320" w:lineRule="exact"/>
              <w:jc w:val="left"/>
            </w:pPr>
            <w:r>
              <w:rPr>
                <w:rFonts w:ascii="Times New Roman" w:hAnsi="Times New Roman" w:eastAsia="宋体"/>
                <w:b w:val="0"/>
                <w:sz w:val="21"/>
              </w:rPr>
              <w:t>西樵</w:t>
            </w:r>
          </w:p>
        </w:tc>
        <w:tc>
          <w:tcPr>
            <w:tcW w:w="1455" w:type="dxa"/>
            <w:vAlign w:val="center"/>
          </w:tcPr>
          <w:p w14:paraId="5BFB6FB9">
            <w:pPr>
              <w:spacing w:before="0" w:after="0" w:line="320" w:lineRule="exact"/>
              <w:jc w:val="left"/>
            </w:pPr>
            <w:r>
              <w:rPr>
                <w:rFonts w:ascii="Times New Roman" w:hAnsi="Times New Roman" w:eastAsia="宋体"/>
                <w:b w:val="0"/>
                <w:sz w:val="21"/>
              </w:rPr>
              <w:t>82.09</w:t>
            </w:r>
          </w:p>
        </w:tc>
        <w:tc>
          <w:tcPr>
            <w:tcW w:w="1455" w:type="dxa"/>
            <w:vAlign w:val="center"/>
          </w:tcPr>
          <w:p w14:paraId="703DC2A8">
            <w:pPr>
              <w:spacing w:before="0" w:after="0" w:line="320" w:lineRule="exact"/>
              <w:jc w:val="left"/>
            </w:pPr>
            <w:r>
              <w:rPr>
                <w:rFonts w:ascii="Times New Roman" w:hAnsi="Times New Roman" w:eastAsia="宋体"/>
                <w:b w:val="0"/>
                <w:sz w:val="21"/>
              </w:rPr>
              <w:t>75.0</w:t>
            </w:r>
          </w:p>
        </w:tc>
        <w:tc>
          <w:tcPr>
            <w:tcW w:w="1455" w:type="dxa"/>
            <w:vAlign w:val="center"/>
          </w:tcPr>
          <w:p w14:paraId="21C009B5">
            <w:pPr>
              <w:spacing w:before="0" w:after="0" w:line="320" w:lineRule="exact"/>
              <w:jc w:val="left"/>
            </w:pPr>
            <w:r>
              <w:rPr>
                <w:rFonts w:ascii="Times New Roman" w:hAnsi="Times New Roman" w:eastAsia="宋体"/>
                <w:b w:val="0"/>
                <w:sz w:val="21"/>
              </w:rPr>
              <w:t>75.26</w:t>
            </w:r>
          </w:p>
        </w:tc>
        <w:tc>
          <w:tcPr>
            <w:tcW w:w="1455" w:type="dxa"/>
            <w:vAlign w:val="center"/>
          </w:tcPr>
          <w:p w14:paraId="5CBEEE51">
            <w:pPr>
              <w:spacing w:before="0" w:after="0" w:line="320" w:lineRule="exact"/>
              <w:jc w:val="left"/>
            </w:pPr>
            <w:r>
              <w:rPr>
                <w:rFonts w:ascii="Times New Roman" w:hAnsi="Times New Roman" w:eastAsia="宋体"/>
                <w:b w:val="0"/>
                <w:sz w:val="21"/>
              </w:rPr>
              <w:t>−3.29</w:t>
            </w:r>
          </w:p>
        </w:tc>
      </w:tr>
      <w:tr w14:paraId="734A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594DC5FD">
            <w:pPr>
              <w:spacing w:before="0" w:after="0" w:line="320" w:lineRule="exact"/>
              <w:jc w:val="left"/>
            </w:pPr>
            <w:r>
              <w:rPr>
                <w:rFonts w:ascii="Times New Roman" w:hAnsi="Times New Roman" w:eastAsia="宋体"/>
                <w:b w:val="0"/>
                <w:sz w:val="21"/>
              </w:rPr>
              <w:t>西樵山百步云梯</w:t>
            </w:r>
          </w:p>
        </w:tc>
        <w:tc>
          <w:tcPr>
            <w:tcW w:w="1455" w:type="dxa"/>
            <w:vAlign w:val="center"/>
          </w:tcPr>
          <w:p w14:paraId="4CE63A3F">
            <w:pPr>
              <w:spacing w:before="0" w:after="0" w:line="320" w:lineRule="exact"/>
              <w:jc w:val="left"/>
            </w:pPr>
            <w:r>
              <w:rPr>
                <w:rFonts w:ascii="Times New Roman" w:hAnsi="Times New Roman" w:eastAsia="宋体"/>
                <w:b w:val="0"/>
                <w:sz w:val="21"/>
              </w:rPr>
              <w:t>西樵</w:t>
            </w:r>
          </w:p>
        </w:tc>
        <w:tc>
          <w:tcPr>
            <w:tcW w:w="1455" w:type="dxa"/>
            <w:vAlign w:val="center"/>
          </w:tcPr>
          <w:p w14:paraId="4E55D00F">
            <w:pPr>
              <w:spacing w:before="0" w:after="0" w:line="320" w:lineRule="exact"/>
              <w:jc w:val="left"/>
            </w:pPr>
            <w:r>
              <w:rPr>
                <w:rFonts w:ascii="Times New Roman" w:hAnsi="Times New Roman" w:eastAsia="宋体"/>
                <w:b w:val="0"/>
                <w:sz w:val="21"/>
              </w:rPr>
              <w:t>91.63</w:t>
            </w:r>
          </w:p>
        </w:tc>
        <w:tc>
          <w:tcPr>
            <w:tcW w:w="1455" w:type="dxa"/>
            <w:vAlign w:val="center"/>
          </w:tcPr>
          <w:p w14:paraId="40A29D75">
            <w:pPr>
              <w:spacing w:before="0" w:after="0" w:line="320" w:lineRule="exact"/>
              <w:jc w:val="left"/>
            </w:pPr>
            <w:r>
              <w:rPr>
                <w:rFonts w:ascii="Times New Roman" w:hAnsi="Times New Roman" w:eastAsia="宋体"/>
                <w:b w:val="0"/>
                <w:sz w:val="21"/>
              </w:rPr>
              <w:t>50.0</w:t>
            </w:r>
          </w:p>
        </w:tc>
        <w:tc>
          <w:tcPr>
            <w:tcW w:w="1455" w:type="dxa"/>
            <w:vAlign w:val="center"/>
          </w:tcPr>
          <w:p w14:paraId="03FE7711">
            <w:pPr>
              <w:spacing w:before="0" w:after="0" w:line="320" w:lineRule="exact"/>
              <w:jc w:val="left"/>
            </w:pPr>
            <w:r>
              <w:rPr>
                <w:rFonts w:ascii="Times New Roman" w:hAnsi="Times New Roman" w:eastAsia="宋体"/>
                <w:b w:val="0"/>
                <w:sz w:val="21"/>
              </w:rPr>
              <w:t>65.56</w:t>
            </w:r>
          </w:p>
        </w:tc>
        <w:tc>
          <w:tcPr>
            <w:tcW w:w="1455" w:type="dxa"/>
            <w:vAlign w:val="center"/>
          </w:tcPr>
          <w:p w14:paraId="6ABD57AF">
            <w:pPr>
              <w:spacing w:before="0" w:after="0" w:line="320" w:lineRule="exact"/>
              <w:jc w:val="left"/>
            </w:pPr>
            <w:r>
              <w:rPr>
                <w:rFonts w:ascii="Times New Roman" w:hAnsi="Times New Roman" w:eastAsia="宋体"/>
                <w:b w:val="0"/>
                <w:sz w:val="21"/>
              </w:rPr>
              <w:t>−5.25</w:t>
            </w:r>
          </w:p>
        </w:tc>
      </w:tr>
      <w:tr w14:paraId="45BF8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4EEA7391">
            <w:pPr>
              <w:spacing w:before="0" w:after="0" w:line="320" w:lineRule="exact"/>
              <w:jc w:val="left"/>
            </w:pPr>
            <w:r>
              <w:rPr>
                <w:rFonts w:ascii="Times New Roman" w:hAnsi="Times New Roman" w:eastAsia="宋体"/>
                <w:b w:val="0"/>
                <w:sz w:val="21"/>
              </w:rPr>
              <w:t>龙舟说唱（南海）</w:t>
            </w:r>
          </w:p>
        </w:tc>
        <w:tc>
          <w:tcPr>
            <w:tcW w:w="1455" w:type="dxa"/>
            <w:vAlign w:val="center"/>
          </w:tcPr>
          <w:p w14:paraId="44860BBF">
            <w:pPr>
              <w:spacing w:before="0" w:after="0" w:line="320" w:lineRule="exact"/>
              <w:jc w:val="left"/>
            </w:pPr>
            <w:r>
              <w:rPr>
                <w:rFonts w:ascii="Times New Roman" w:hAnsi="Times New Roman" w:eastAsia="宋体"/>
                <w:b w:val="0"/>
                <w:sz w:val="21"/>
              </w:rPr>
              <w:t>丹灶</w:t>
            </w:r>
          </w:p>
        </w:tc>
        <w:tc>
          <w:tcPr>
            <w:tcW w:w="1455" w:type="dxa"/>
            <w:vAlign w:val="center"/>
          </w:tcPr>
          <w:p w14:paraId="7DA384C4">
            <w:pPr>
              <w:spacing w:before="0" w:after="0" w:line="320" w:lineRule="exact"/>
              <w:jc w:val="left"/>
            </w:pPr>
            <w:r>
              <w:rPr>
                <w:rFonts w:ascii="Times New Roman" w:hAnsi="Times New Roman" w:eastAsia="宋体"/>
                <w:b w:val="0"/>
                <w:sz w:val="21"/>
              </w:rPr>
              <w:t>74.65</w:t>
            </w:r>
          </w:p>
        </w:tc>
        <w:tc>
          <w:tcPr>
            <w:tcW w:w="1455" w:type="dxa"/>
            <w:vAlign w:val="center"/>
          </w:tcPr>
          <w:p w14:paraId="0E197C17">
            <w:pPr>
              <w:spacing w:before="0" w:after="0" w:line="320" w:lineRule="exact"/>
              <w:jc w:val="left"/>
            </w:pPr>
            <w:r>
              <w:rPr>
                <w:rFonts w:ascii="Times New Roman" w:hAnsi="Times New Roman" w:eastAsia="宋体"/>
                <w:b w:val="0"/>
                <w:sz w:val="21"/>
              </w:rPr>
              <w:t>50.0</w:t>
            </w:r>
          </w:p>
        </w:tc>
        <w:tc>
          <w:tcPr>
            <w:tcW w:w="1455" w:type="dxa"/>
            <w:vAlign w:val="center"/>
          </w:tcPr>
          <w:p w14:paraId="3916FCD2">
            <w:pPr>
              <w:spacing w:before="0" w:after="0" w:line="320" w:lineRule="exact"/>
              <w:jc w:val="left"/>
            </w:pPr>
            <w:r>
              <w:rPr>
                <w:rFonts w:ascii="Times New Roman" w:hAnsi="Times New Roman" w:eastAsia="宋体"/>
                <w:b w:val="0"/>
                <w:sz w:val="21"/>
              </w:rPr>
              <w:t>56.90</w:t>
            </w:r>
          </w:p>
        </w:tc>
        <w:tc>
          <w:tcPr>
            <w:tcW w:w="1455" w:type="dxa"/>
            <w:vAlign w:val="center"/>
          </w:tcPr>
          <w:p w14:paraId="7AC6255F">
            <w:pPr>
              <w:spacing w:before="0" w:after="0" w:line="320" w:lineRule="exact"/>
              <w:jc w:val="left"/>
            </w:pPr>
            <w:r>
              <w:rPr>
                <w:rFonts w:ascii="Times New Roman" w:hAnsi="Times New Roman" w:eastAsia="宋体"/>
                <w:b w:val="0"/>
                <w:sz w:val="21"/>
              </w:rPr>
              <w:t>−5.42</w:t>
            </w:r>
          </w:p>
        </w:tc>
      </w:tr>
    </w:tbl>
    <w:p w14:paraId="5FAEA045">
      <w:pPr>
        <w:spacing w:before="40" w:after="120" w:line="400" w:lineRule="exact"/>
        <w:jc w:val="center"/>
      </w:pPr>
      <w:r>
        <w:rPr>
          <w:rFonts w:ascii="Times New Roman" w:hAnsi="Times New Roman" w:eastAsia="宋体"/>
          <w:b/>
          <w:sz w:val="21"/>
        </w:rPr>
        <w:t>表 5.5　核心耦合区典型载体</w:t>
      </w:r>
    </w:p>
    <w:p w14:paraId="618780E0">
      <w:pPr>
        <w:spacing w:before="0" w:after="0" w:line="400" w:lineRule="exact"/>
        <w:ind w:firstLine="480"/>
        <w:jc w:val="left"/>
      </w:pPr>
      <w:r>
        <w:rPr>
          <w:rFonts w:ascii="Times New Roman" w:hAnsi="Times New Roman" w:eastAsia="宋体"/>
          <w:b w:val="0"/>
          <w:sz w:val="24"/>
        </w:rPr>
        <w:t>核心耦合区的样本数量较少，仅占 6.1%。这些载体的文化记忆、官方认证和旅游热度较为接近，说明其已初步形成可识别、可到达、可体验的文旅转化关系。它们可以作为后续产品组织和线路设计的基础节点，但不宜简单复制其模式，因为不同镇街的交通条件、周边业态和文化载体类型存在差异。</w:t>
      </w:r>
    </w:p>
    <w:p w14:paraId="4B9C1887">
      <w:pPr>
        <w:spacing w:before="240" w:after="120" w:line="400" w:lineRule="exact"/>
        <w:jc w:val="left"/>
        <w:outlineLvl w:val="2"/>
      </w:pPr>
      <w:bookmarkStart w:id="61" w:name="_Toc7042"/>
      <w:r>
        <w:rPr>
          <w:rFonts w:ascii="Times New Roman" w:hAnsi="Times New Roman" w:eastAsia="黑体"/>
          <w:b/>
          <w:sz w:val="26"/>
        </w:rPr>
        <w:t>5.3.7 层级层面观察</w:t>
      </w:r>
      <w:bookmarkEnd w:id="61"/>
    </w:p>
    <w:p w14:paraId="02CFC18F">
      <w:pPr>
        <w:spacing w:before="0" w:after="0" w:line="400" w:lineRule="exact"/>
        <w:ind w:firstLine="480"/>
        <w:jc w:val="left"/>
      </w:pPr>
      <w:r>
        <w:rPr>
          <w:rFonts w:ascii="Times New Roman" w:hAnsi="Times New Roman" w:eastAsia="宋体"/>
          <w:b w:val="0"/>
          <w:sz w:val="24"/>
        </w:rPr>
        <w:t>从层级和类型看，历史文化名村与传统村落在样本中全部落入沉睡潜力区，说明村落类文化资源在文化识别上较强，但旅游转化仍明显不足。非遗项目内部也呈现差异：省级非遗的 MI 中位值为 −34.82，市级非遗为 −6.78，区级非遗为 9.72，说明等级越高并不必然对应更高旅游热度。不可移动文物中，市级文物在空心景点区数量较多，提示部分文物周边已有较强旅游活动，但文化阐释和保护展示之间仍需进一步衔接。由此可见，官方等级应作为筛选和解释变量，而不宜被直接等同于旅游开发优先级。</w:t>
      </w:r>
    </w:p>
    <w:p w14:paraId="1A85CD53">
      <w:pPr>
        <w:spacing w:before="240" w:after="120" w:line="400" w:lineRule="exact"/>
        <w:jc w:val="left"/>
        <w:outlineLvl w:val="1"/>
      </w:pPr>
      <w:bookmarkStart w:id="62" w:name="_Toc14650"/>
      <w:r>
        <w:rPr>
          <w:rFonts w:ascii="Times New Roman" w:hAnsi="Times New Roman" w:eastAsia="黑体"/>
          <w:b/>
          <w:sz w:val="28"/>
        </w:rPr>
        <w:t>5.4 景区等级与游客体验的关联分析</w:t>
      </w:r>
      <w:bookmarkEnd w:id="62"/>
    </w:p>
    <w:p w14:paraId="3F239A16">
      <w:pPr>
        <w:spacing w:before="240" w:after="120" w:line="400" w:lineRule="exact"/>
        <w:jc w:val="left"/>
        <w:outlineLvl w:val="2"/>
      </w:pPr>
      <w:bookmarkStart w:id="63" w:name="_Toc7691"/>
      <w:r>
        <w:rPr>
          <w:rFonts w:ascii="Times New Roman" w:hAnsi="Times New Roman" w:eastAsia="黑体"/>
          <w:b/>
          <w:sz w:val="26"/>
        </w:rPr>
        <w:t>5.4.1 数据说明</w:t>
      </w:r>
      <w:bookmarkEnd w:id="63"/>
    </w:p>
    <w:p w14:paraId="24ECDFE2">
      <w:pPr>
        <w:spacing w:before="0" w:after="0" w:line="400" w:lineRule="exact"/>
        <w:ind w:firstLine="480"/>
        <w:jc w:val="left"/>
      </w:pPr>
      <w:r>
        <w:rPr>
          <w:rFonts w:ascii="Times New Roman" w:hAnsi="Times New Roman" w:eastAsia="宋体"/>
          <w:b w:val="0"/>
          <w:sz w:val="24"/>
        </w:rPr>
        <w:t>为进一步观察旅游品牌等级与游客体验之间的关系，本文选取南海区 16 处已知 A 级旅游景区作为校准样本，其中包括 1 处 5A、5 处 4A、8 处 3A 和 2 处 2A。由于 A 级景区标签并不直接包含在 POI 原始分类中，本文依据公开资料整理景区名单，并将其与平台 POI 进行名称和位置匹配。需要注意的是，部分景区在平台中存在拆分点位、评分缺失或评论量偏低等情况，因此本节结果只用于提示性分析，不作强因果判断。</w:t>
      </w:r>
    </w:p>
    <w:p w14:paraId="614A50AB">
      <w:pPr>
        <w:spacing w:before="240" w:after="120" w:line="400" w:lineRule="exact"/>
        <w:jc w:val="left"/>
        <w:outlineLvl w:val="2"/>
      </w:pPr>
      <w:bookmarkStart w:id="64" w:name="_Toc10265"/>
      <w:r>
        <w:rPr>
          <w:rFonts w:ascii="Times New Roman" w:hAnsi="Times New Roman" w:eastAsia="黑体"/>
          <w:b/>
          <w:sz w:val="26"/>
        </w:rPr>
        <w:t>5.4.2 相关性观察</w:t>
      </w:r>
      <w:bookmarkEnd w:id="64"/>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10"/>
        <w:gridCol w:w="2910"/>
        <w:gridCol w:w="2910"/>
      </w:tblGrid>
      <w:tr w14:paraId="47A2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6BBDC4A0">
            <w:pPr>
              <w:spacing w:before="0" w:after="0" w:line="320" w:lineRule="exact"/>
              <w:jc w:val="center"/>
            </w:pPr>
            <w:r>
              <w:rPr>
                <w:rFonts w:ascii="Times New Roman" w:hAnsi="Times New Roman" w:eastAsia="宋体"/>
                <w:b/>
                <w:sz w:val="21"/>
              </w:rPr>
              <w:t>指标对</w:t>
            </w:r>
          </w:p>
        </w:tc>
        <w:tc>
          <w:tcPr>
            <w:tcW w:w="2910" w:type="dxa"/>
            <w:vAlign w:val="center"/>
          </w:tcPr>
          <w:p w14:paraId="2D0E39C4">
            <w:pPr>
              <w:spacing w:before="0" w:after="0" w:line="320" w:lineRule="exact"/>
              <w:jc w:val="center"/>
            </w:pPr>
            <w:r>
              <w:rPr>
                <w:rFonts w:ascii="Times New Roman" w:hAnsi="Times New Roman" w:eastAsia="宋体"/>
                <w:b/>
                <w:sz w:val="21"/>
              </w:rPr>
              <w:t>Pearson</w:t>
            </w:r>
          </w:p>
        </w:tc>
        <w:tc>
          <w:tcPr>
            <w:tcW w:w="2910" w:type="dxa"/>
            <w:vAlign w:val="center"/>
          </w:tcPr>
          <w:p w14:paraId="76C4F2E7">
            <w:pPr>
              <w:spacing w:before="0" w:after="0" w:line="320" w:lineRule="exact"/>
              <w:jc w:val="center"/>
            </w:pPr>
            <w:r>
              <w:rPr>
                <w:rFonts w:ascii="Times New Roman" w:hAnsi="Times New Roman" w:eastAsia="宋体"/>
                <w:b/>
                <w:sz w:val="21"/>
              </w:rPr>
              <w:t>Spearman</w:t>
            </w:r>
          </w:p>
        </w:tc>
      </w:tr>
      <w:tr w14:paraId="7E6C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58A1D12B">
            <w:pPr>
              <w:spacing w:before="0" w:after="0" w:line="320" w:lineRule="exact"/>
              <w:jc w:val="left"/>
            </w:pPr>
            <w:r>
              <w:rPr>
                <w:rFonts w:ascii="Times New Roman" w:hAnsi="Times New Roman" w:eastAsia="宋体"/>
                <w:b w:val="0"/>
                <w:sz w:val="21"/>
              </w:rPr>
              <w:t>level_score ~ rating</w:t>
            </w:r>
          </w:p>
        </w:tc>
        <w:tc>
          <w:tcPr>
            <w:tcW w:w="2910" w:type="dxa"/>
            <w:vAlign w:val="center"/>
          </w:tcPr>
          <w:p w14:paraId="43409BEE">
            <w:pPr>
              <w:spacing w:before="0" w:after="0" w:line="320" w:lineRule="exact"/>
              <w:jc w:val="left"/>
            </w:pPr>
            <w:r>
              <w:rPr>
                <w:rFonts w:ascii="Times New Roman" w:hAnsi="Times New Roman" w:eastAsia="宋体"/>
                <w:b w:val="0"/>
                <w:sz w:val="21"/>
              </w:rPr>
              <w:t>0.319</w:t>
            </w:r>
          </w:p>
        </w:tc>
        <w:tc>
          <w:tcPr>
            <w:tcW w:w="2910" w:type="dxa"/>
            <w:vAlign w:val="center"/>
          </w:tcPr>
          <w:p w14:paraId="0A363CB2">
            <w:pPr>
              <w:spacing w:before="0" w:after="0" w:line="320" w:lineRule="exact"/>
              <w:jc w:val="left"/>
            </w:pPr>
            <w:r>
              <w:rPr>
                <w:rFonts w:ascii="Times New Roman" w:hAnsi="Times New Roman" w:eastAsia="宋体"/>
                <w:b w:val="0"/>
                <w:sz w:val="21"/>
              </w:rPr>
              <w:t>0.522</w:t>
            </w:r>
          </w:p>
        </w:tc>
      </w:tr>
      <w:tr w14:paraId="6BCA9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0C8AB9D3">
            <w:pPr>
              <w:spacing w:before="0" w:after="0" w:line="320" w:lineRule="exact"/>
              <w:jc w:val="left"/>
            </w:pPr>
            <w:r>
              <w:rPr>
                <w:rFonts w:ascii="Times New Roman" w:hAnsi="Times New Roman" w:eastAsia="宋体"/>
                <w:b w:val="0"/>
                <w:sz w:val="21"/>
              </w:rPr>
              <w:t>level_score ~ review_count</w:t>
            </w:r>
          </w:p>
        </w:tc>
        <w:tc>
          <w:tcPr>
            <w:tcW w:w="2910" w:type="dxa"/>
            <w:vAlign w:val="center"/>
          </w:tcPr>
          <w:p w14:paraId="24A0C217">
            <w:pPr>
              <w:spacing w:before="0" w:after="0" w:line="320" w:lineRule="exact"/>
              <w:jc w:val="left"/>
            </w:pPr>
            <w:r>
              <w:rPr>
                <w:rFonts w:ascii="Times New Roman" w:hAnsi="Times New Roman" w:eastAsia="宋体"/>
                <w:b w:val="0"/>
                <w:sz w:val="21"/>
              </w:rPr>
              <w:t>0.546</w:t>
            </w:r>
          </w:p>
        </w:tc>
        <w:tc>
          <w:tcPr>
            <w:tcW w:w="2910" w:type="dxa"/>
            <w:vAlign w:val="center"/>
          </w:tcPr>
          <w:p w14:paraId="46644902">
            <w:pPr>
              <w:spacing w:before="0" w:after="0" w:line="320" w:lineRule="exact"/>
              <w:jc w:val="left"/>
            </w:pPr>
            <w:r>
              <w:rPr>
                <w:rFonts w:ascii="Times New Roman" w:hAnsi="Times New Roman" w:eastAsia="宋体"/>
                <w:b w:val="0"/>
                <w:sz w:val="21"/>
              </w:rPr>
              <w:t>0.554</w:t>
            </w:r>
          </w:p>
        </w:tc>
      </w:tr>
      <w:tr w14:paraId="2419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6839A776">
            <w:pPr>
              <w:spacing w:before="0" w:after="0" w:line="320" w:lineRule="exact"/>
              <w:jc w:val="left"/>
            </w:pPr>
            <w:r>
              <w:rPr>
                <w:rFonts w:ascii="Times New Roman" w:hAnsi="Times New Roman" w:eastAsia="宋体"/>
                <w:b w:val="0"/>
                <w:sz w:val="21"/>
              </w:rPr>
              <w:t>level_score ~ positive_rate</w:t>
            </w:r>
          </w:p>
        </w:tc>
        <w:tc>
          <w:tcPr>
            <w:tcW w:w="2910" w:type="dxa"/>
            <w:vAlign w:val="center"/>
          </w:tcPr>
          <w:p w14:paraId="3A7CC353">
            <w:pPr>
              <w:spacing w:before="0" w:after="0" w:line="320" w:lineRule="exact"/>
              <w:jc w:val="left"/>
            </w:pPr>
            <w:r>
              <w:rPr>
                <w:rFonts w:ascii="Times New Roman" w:hAnsi="Times New Roman" w:eastAsia="宋体"/>
                <w:b w:val="0"/>
                <w:sz w:val="21"/>
              </w:rPr>
              <w:t>0.206</w:t>
            </w:r>
          </w:p>
        </w:tc>
        <w:tc>
          <w:tcPr>
            <w:tcW w:w="2910" w:type="dxa"/>
            <w:vAlign w:val="center"/>
          </w:tcPr>
          <w:p w14:paraId="4D6D756D">
            <w:pPr>
              <w:spacing w:before="0" w:after="0" w:line="320" w:lineRule="exact"/>
              <w:jc w:val="left"/>
            </w:pPr>
            <w:r>
              <w:rPr>
                <w:rFonts w:ascii="Times New Roman" w:hAnsi="Times New Roman" w:eastAsia="宋体"/>
                <w:b w:val="0"/>
                <w:sz w:val="21"/>
              </w:rPr>
              <w:t>0.230</w:t>
            </w:r>
          </w:p>
        </w:tc>
      </w:tr>
      <w:tr w14:paraId="3463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49A27A79">
            <w:pPr>
              <w:spacing w:before="0" w:after="0" w:line="320" w:lineRule="exact"/>
              <w:jc w:val="left"/>
            </w:pPr>
            <w:r>
              <w:rPr>
                <w:rFonts w:ascii="Times New Roman" w:hAnsi="Times New Roman" w:eastAsia="宋体"/>
                <w:b w:val="0"/>
                <w:sz w:val="21"/>
              </w:rPr>
              <w:t>rating ~ review_count</w:t>
            </w:r>
          </w:p>
        </w:tc>
        <w:tc>
          <w:tcPr>
            <w:tcW w:w="2910" w:type="dxa"/>
            <w:vAlign w:val="center"/>
          </w:tcPr>
          <w:p w14:paraId="20EED52B">
            <w:pPr>
              <w:spacing w:before="0" w:after="0" w:line="320" w:lineRule="exact"/>
              <w:jc w:val="left"/>
            </w:pPr>
            <w:r>
              <w:rPr>
                <w:rFonts w:ascii="Times New Roman" w:hAnsi="Times New Roman" w:eastAsia="宋体"/>
                <w:b w:val="0"/>
                <w:sz w:val="21"/>
              </w:rPr>
              <w:t>0.270</w:t>
            </w:r>
          </w:p>
        </w:tc>
        <w:tc>
          <w:tcPr>
            <w:tcW w:w="2910" w:type="dxa"/>
            <w:vAlign w:val="center"/>
          </w:tcPr>
          <w:p w14:paraId="7C88CE04">
            <w:pPr>
              <w:spacing w:before="0" w:after="0" w:line="320" w:lineRule="exact"/>
              <w:jc w:val="left"/>
            </w:pPr>
            <w:r>
              <w:rPr>
                <w:rFonts w:ascii="Times New Roman" w:hAnsi="Times New Roman" w:eastAsia="宋体"/>
                <w:b w:val="0"/>
                <w:sz w:val="21"/>
              </w:rPr>
              <w:t>0.392</w:t>
            </w:r>
          </w:p>
        </w:tc>
      </w:tr>
    </w:tbl>
    <w:p w14:paraId="78010E5E">
      <w:pPr>
        <w:spacing w:before="40" w:after="120" w:line="400" w:lineRule="exact"/>
        <w:jc w:val="center"/>
      </w:pPr>
      <w:r>
        <w:rPr>
          <w:rFonts w:ascii="Times New Roman" w:hAnsi="Times New Roman" w:eastAsia="宋体"/>
          <w:b/>
          <w:sz w:val="21"/>
        </w:rPr>
        <w:t>表 5.6　A 级景区相关系数（n = 16）</w:t>
      </w:r>
    </w:p>
    <w:p w14:paraId="559E851F">
      <w:pPr>
        <w:spacing w:before="0" w:after="0" w:line="400" w:lineRule="exact"/>
        <w:ind w:firstLine="480"/>
        <w:jc w:val="left"/>
      </w:pPr>
      <w:r>
        <w:rPr>
          <w:rFonts w:ascii="Times New Roman" w:hAnsi="Times New Roman" w:eastAsia="宋体"/>
          <w:b w:val="0"/>
          <w:sz w:val="24"/>
        </w:rPr>
        <w:t>表 5.6 显示，景区等级分数与评论量存在中等正相关（Pearson r = 0.546，Spearman r = 0.554），与平台评分的 Spearman 相关系数为 0.522；与正向率的相关性则较弱。由于样本量仅为 16，且部分平台评价存在缺失，上述结果只能说明评级等级与评论关注度、游客评分之间存在可观察联系，不能直接证明评级会导致游客满意度提高。</w:t>
      </w:r>
    </w:p>
    <w:p w14:paraId="49B320D7">
      <w:pPr>
        <w:spacing w:before="60" w:after="40" w:line="400" w:lineRule="exact"/>
        <w:jc w:val="center"/>
      </w:pPr>
      <w:r>
        <w:drawing>
          <wp:inline distT="0" distB="0" distL="114300" distR="114300">
            <wp:extent cx="5471795" cy="3184525"/>
            <wp:effectExtent l="0" t="0" r="14605"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3184808"/>
                    </a:xfrm>
                    <a:prstGeom prst="rect">
                      <a:avLst/>
                    </a:prstGeom>
                  </pic:spPr>
                </pic:pic>
              </a:graphicData>
            </a:graphic>
          </wp:inline>
        </w:drawing>
      </w:r>
    </w:p>
    <w:p w14:paraId="5C84C76C">
      <w:pPr>
        <w:spacing w:before="40" w:after="120" w:line="400" w:lineRule="exact"/>
        <w:jc w:val="center"/>
      </w:pPr>
      <w:r>
        <w:rPr>
          <w:rFonts w:ascii="Times New Roman" w:hAnsi="Times New Roman" w:eastAsia="宋体"/>
          <w:b/>
          <w:sz w:val="21"/>
        </w:rPr>
        <w:t>图 5.3　景区评级与评论热度、评分的关系</w:t>
      </w:r>
    </w:p>
    <w:p w14:paraId="40649060">
      <w:pPr>
        <w:spacing w:before="240" w:after="120" w:line="400" w:lineRule="exact"/>
        <w:jc w:val="left"/>
        <w:outlineLvl w:val="2"/>
      </w:pPr>
      <w:bookmarkStart w:id="65" w:name="_Toc18712"/>
      <w:r>
        <w:rPr>
          <w:rFonts w:ascii="Times New Roman" w:hAnsi="Times New Roman" w:eastAsia="黑体"/>
          <w:b/>
          <w:sz w:val="26"/>
        </w:rPr>
        <w:t>5.4.3 对规划的启示</w:t>
      </w:r>
      <w:bookmarkEnd w:id="65"/>
    </w:p>
    <w:p w14:paraId="53507C99">
      <w:pPr>
        <w:spacing w:before="0" w:after="0" w:line="400" w:lineRule="exact"/>
        <w:ind w:firstLine="480"/>
        <w:jc w:val="left"/>
      </w:pPr>
      <w:r>
        <w:rPr>
          <w:rFonts w:ascii="Times New Roman" w:hAnsi="Times New Roman" w:eastAsia="宋体"/>
          <w:b w:val="0"/>
          <w:sz w:val="24"/>
        </w:rPr>
        <w:t>从规划角度看，A 级景区申报可以作为文旅转化的一种制度工具，尤其适用于文化记忆较强、空间载体明确、但品牌识别不足的资源。但评级本身并不能替代内容建设。对于沉睡潜力区，应优先完善交通接驳、游线组织和解说系统；对于空心景点区，则需要补足地方文化叙事和体验内容。也就是说，评级可以提高资源的可见度，但游客体验的改善仍取决于具体产品是否能够把文化内容转化为可感知、可停留、可传播的游览过程。</w:t>
      </w:r>
    </w:p>
    <w:p w14:paraId="5BE0269E">
      <w:r>
        <w:br w:type="page"/>
      </w:r>
    </w:p>
    <w:p w14:paraId="56F7CC65">
      <w:pPr>
        <w:spacing w:before="360" w:after="160" w:line="400" w:lineRule="exact"/>
        <w:jc w:val="center"/>
        <w:outlineLvl w:val="0"/>
      </w:pPr>
      <w:bookmarkStart w:id="66" w:name="_Toc11921"/>
      <w:r>
        <w:rPr>
          <w:rFonts w:ascii="Times New Roman" w:hAnsi="Times New Roman" w:eastAsia="黑体"/>
          <w:b/>
          <w:sz w:val="32"/>
        </w:rPr>
        <w:t>第 6 章　空间格局与潜力释放条件分析</w:t>
      </w:r>
      <w:bookmarkEnd w:id="66"/>
    </w:p>
    <w:p w14:paraId="02DD2600">
      <w:pPr>
        <w:spacing w:before="240" w:after="120" w:line="400" w:lineRule="exact"/>
        <w:jc w:val="left"/>
        <w:outlineLvl w:val="1"/>
      </w:pPr>
      <w:bookmarkStart w:id="67" w:name="_Toc21238"/>
      <w:r>
        <w:rPr>
          <w:rFonts w:ascii="Times New Roman" w:hAnsi="Times New Roman" w:eastAsia="黑体"/>
          <w:b/>
          <w:sz w:val="28"/>
        </w:rPr>
        <w:t>6.1 空间分析方法</w:t>
      </w:r>
      <w:bookmarkEnd w:id="67"/>
    </w:p>
    <w:p w14:paraId="6F6EEB77">
      <w:pPr>
        <w:spacing w:before="240" w:after="120" w:line="400" w:lineRule="exact"/>
        <w:jc w:val="left"/>
        <w:outlineLvl w:val="2"/>
      </w:pPr>
      <w:bookmarkStart w:id="68" w:name="_Toc7369"/>
      <w:r>
        <w:rPr>
          <w:rFonts w:ascii="Times New Roman" w:hAnsi="Times New Roman" w:eastAsia="黑体"/>
          <w:b/>
          <w:sz w:val="26"/>
        </w:rPr>
        <w:t>6.1.1 核密度估计</w:t>
      </w:r>
      <w:bookmarkEnd w:id="68"/>
    </w:p>
    <w:p w14:paraId="02678A62">
      <w:pPr>
        <w:spacing w:before="0" w:after="0" w:line="400" w:lineRule="exact"/>
        <w:ind w:firstLine="480"/>
        <w:jc w:val="left"/>
      </w:pPr>
      <w:r>
        <w:rPr>
          <w:rFonts w:ascii="Times New Roman" w:hAnsi="Times New Roman" w:eastAsia="宋体"/>
          <w:b w:val="0"/>
          <w:sz w:val="24"/>
        </w:rPr>
        <w:t>在前文载体级指数计算的基础上，本章进一步从空间尺度观察文化资源与旅游供给的错位。首先，本文采用核密度估计（Kernel Density Estimation, KDE）分别计算 POI 与文化载体的空间热点。带宽统一设为 3.0 km，用于反映区县尺度下较为稳定的片区性集聚，而不是识别单个地块层面的微小差异。</w:t>
      </w:r>
    </w:p>
    <w:p w14:paraId="1118EC65">
      <w:pPr>
        <w:spacing w:before="240" w:after="120" w:line="400" w:lineRule="exact"/>
        <w:jc w:val="left"/>
        <w:outlineLvl w:val="2"/>
      </w:pPr>
      <w:bookmarkStart w:id="69" w:name="_Toc14836"/>
      <w:r>
        <w:rPr>
          <w:rFonts w:ascii="Times New Roman" w:hAnsi="Times New Roman" w:eastAsia="黑体"/>
          <w:b/>
          <w:sz w:val="26"/>
        </w:rPr>
        <w:t>6.1.2 DBSCAN 聚类</w:t>
      </w:r>
      <w:bookmarkEnd w:id="69"/>
    </w:p>
    <w:p w14:paraId="1B2BEC7C">
      <w:pPr>
        <w:spacing w:before="0" w:after="0" w:line="400" w:lineRule="exact"/>
        <w:ind w:firstLine="480"/>
        <w:jc w:val="left"/>
      </w:pPr>
      <w:r>
        <w:rPr>
          <w:rFonts w:ascii="Times New Roman" w:hAnsi="Times New Roman" w:eastAsia="宋体"/>
          <w:b w:val="0"/>
          <w:sz w:val="24"/>
        </w:rPr>
        <w:t>其次，本文以 POI 为样本点，使用 DBSCAN 聚类方法识别旅游供给的集聚边界。参数设置为 $\varepsilon = 0.5$ km，最小样本数为 30。该参数能够较清楚地区分桂城、大沥、狮山等城镇化片区中的 POI 高密度集聚，同时避免将零散点位误判为连续旅游片区。</w:t>
      </w:r>
    </w:p>
    <w:p w14:paraId="4FD648A8">
      <w:pPr>
        <w:spacing w:before="240" w:after="120" w:line="400" w:lineRule="exact"/>
        <w:jc w:val="left"/>
        <w:outlineLvl w:val="2"/>
      </w:pPr>
      <w:bookmarkStart w:id="70" w:name="_Toc21370"/>
      <w:r>
        <w:rPr>
          <w:rFonts w:ascii="Times New Roman" w:hAnsi="Times New Roman" w:eastAsia="黑体"/>
          <w:b/>
          <w:sz w:val="26"/>
        </w:rPr>
        <w:t>6.1.3 空间错位图叠加</w:t>
      </w:r>
      <w:bookmarkEnd w:id="70"/>
    </w:p>
    <w:p w14:paraId="221265FB">
      <w:pPr>
        <w:spacing w:before="0" w:after="0" w:line="400" w:lineRule="exact"/>
        <w:ind w:firstLine="480"/>
        <w:jc w:val="left"/>
      </w:pPr>
      <w:r>
        <w:rPr>
          <w:rFonts w:ascii="Times New Roman" w:hAnsi="Times New Roman" w:eastAsia="宋体"/>
          <w:b w:val="0"/>
          <w:sz w:val="24"/>
        </w:rPr>
        <w:t>最后，本文将文化厚度与旅游热度在 500 m 网格尺度上进行归一化比较，并据此划分为四类空间状态：文化强而旅游弱的“沉睡潜力”、文化弱而旅游强的“空心景点”、文化与旅游均较强的“核心耦合”，以及两侧均较弱的“双低空白”。这一处理的目的，不是简单画出热点，而是进一步说明文化资源和旅游产品在空间上是否真正发生对应。</w:t>
      </w:r>
    </w:p>
    <w:p w14:paraId="29E4756F">
      <w:pPr>
        <w:spacing w:before="240" w:after="120" w:line="400" w:lineRule="exact"/>
        <w:jc w:val="left"/>
        <w:outlineLvl w:val="1"/>
      </w:pPr>
      <w:bookmarkStart w:id="71" w:name="_Toc20744"/>
      <w:r>
        <w:rPr>
          <w:rFonts w:ascii="Times New Roman" w:hAnsi="Times New Roman" w:eastAsia="黑体"/>
          <w:b/>
          <w:sz w:val="28"/>
        </w:rPr>
        <w:t>6.2 空间格局结果</w:t>
      </w:r>
      <w:bookmarkEnd w:id="71"/>
    </w:p>
    <w:p w14:paraId="1FC90B69">
      <w:pPr>
        <w:spacing w:before="240" w:after="120" w:line="400" w:lineRule="exact"/>
        <w:jc w:val="left"/>
        <w:outlineLvl w:val="2"/>
      </w:pPr>
      <w:bookmarkStart w:id="72" w:name="_Toc25201"/>
      <w:r>
        <w:rPr>
          <w:rFonts w:ascii="Times New Roman" w:hAnsi="Times New Roman" w:eastAsia="黑体"/>
          <w:b/>
          <w:sz w:val="26"/>
        </w:rPr>
        <w:t>6.2.1 POI 与文化载体的热点错位</w:t>
      </w:r>
      <w:bookmarkEnd w:id="72"/>
    </w:p>
    <w:p w14:paraId="31723273">
      <w:pPr>
        <w:spacing w:before="0" w:after="0" w:line="400" w:lineRule="exact"/>
        <w:ind w:firstLine="480"/>
        <w:jc w:val="left"/>
      </w:pPr>
      <w:r>
        <w:rPr>
          <w:rFonts w:ascii="Times New Roman" w:hAnsi="Times New Roman" w:eastAsia="宋体"/>
          <w:b w:val="0"/>
          <w:sz w:val="24"/>
        </w:rPr>
        <w:t>从核密度结果看，POI 高值区主要出现在桂城—大沥—狮山构成的东北部都市圈，并与广佛交界带、佛山国家高新区等现代城市功能空间较为重合。相较之下，文化载体高值区主要集中在西樵—九江—丹灶一带，与南海区传统农业、水利社会、古村落和非遗活动的历史地理基础更为接近。也就是说，旅游供给和文化资源并非简单同向集聚，而是呈现出较稳定的方向性分离。</w:t>
      </w:r>
    </w:p>
    <w:p w14:paraId="5C9FA7DB">
      <w:pPr>
        <w:spacing w:before="60" w:after="40" w:line="400" w:lineRule="exact"/>
        <w:jc w:val="center"/>
      </w:pPr>
      <w:r>
        <w:drawing>
          <wp:inline distT="0" distB="0" distL="114300" distR="114300">
            <wp:extent cx="5471795" cy="3029585"/>
            <wp:effectExtent l="0" t="0" r="14605"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3030103"/>
                    </a:xfrm>
                    <a:prstGeom prst="rect">
                      <a:avLst/>
                    </a:prstGeom>
                  </pic:spPr>
                </pic:pic>
              </a:graphicData>
            </a:graphic>
          </wp:inline>
        </w:drawing>
      </w:r>
    </w:p>
    <w:p w14:paraId="188505C5">
      <w:pPr>
        <w:spacing w:before="40" w:after="120" w:line="400" w:lineRule="exact"/>
        <w:jc w:val="center"/>
      </w:pPr>
      <w:r>
        <w:rPr>
          <w:rFonts w:ascii="Times New Roman" w:hAnsi="Times New Roman" w:eastAsia="宋体"/>
          <w:b/>
          <w:sz w:val="21"/>
        </w:rPr>
        <w:t>图 6.1　500 m 网格错位识别：基础口径与知识图谱口径对比</w:t>
      </w:r>
    </w:p>
    <w:p w14:paraId="7FFA7923">
      <w:pPr>
        <w:spacing w:before="0" w:after="0" w:line="400" w:lineRule="exact"/>
        <w:ind w:firstLine="480"/>
        <w:jc w:val="left"/>
      </w:pPr>
      <w:r>
        <w:rPr>
          <w:rFonts w:ascii="Times New Roman" w:hAnsi="Times New Roman" w:eastAsia="宋体"/>
          <w:b w:val="0"/>
          <w:sz w:val="24"/>
        </w:rPr>
        <w:t>图 6.1 比较了 0 跳与 1 跳知识图谱口径下的网格错位结果。0 跳口径识别出 6 个核心耦合网格，1 跳口径识别出 8 个核心耦合网格。图中黄色星标用于标出核心耦合网格，其空间位置主要集中在西樵及少量东北部节点，说明文化厚度与旅游热度真正重叠的区域仍然有限。</w:t>
      </w:r>
    </w:p>
    <w:p w14:paraId="19B1C525">
      <w:pPr>
        <w:spacing w:before="60" w:after="40" w:line="400" w:lineRule="exact"/>
        <w:jc w:val="center"/>
      </w:pPr>
      <w:r>
        <w:drawing>
          <wp:inline distT="0" distB="0" distL="114300" distR="114300">
            <wp:extent cx="5471795" cy="3029585"/>
            <wp:effectExtent l="0" t="0" r="14605"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3030103"/>
                    </a:xfrm>
                    <a:prstGeom prst="rect">
                      <a:avLst/>
                    </a:prstGeom>
                  </pic:spPr>
                </pic:pic>
              </a:graphicData>
            </a:graphic>
          </wp:inline>
        </w:drawing>
      </w:r>
    </w:p>
    <w:p w14:paraId="73119566">
      <w:pPr>
        <w:spacing w:before="40" w:after="120" w:line="400" w:lineRule="exact"/>
        <w:jc w:val="center"/>
      </w:pPr>
      <w:r>
        <w:rPr>
          <w:rFonts w:ascii="Times New Roman" w:hAnsi="Times New Roman" w:eastAsia="宋体"/>
          <w:b/>
          <w:sz w:val="21"/>
        </w:rPr>
        <w:t>图 6.2　文化载体核密度图与 POI 核密度图对照</w:t>
      </w:r>
    </w:p>
    <w:p w14:paraId="74919F3F">
      <w:pPr>
        <w:spacing w:before="0" w:after="0" w:line="400" w:lineRule="exact"/>
        <w:ind w:firstLine="480"/>
        <w:jc w:val="left"/>
      </w:pPr>
      <w:r>
        <w:rPr>
          <w:rFonts w:ascii="Times New Roman" w:hAnsi="Times New Roman" w:eastAsia="宋体"/>
          <w:b w:val="0"/>
          <w:sz w:val="24"/>
        </w:rPr>
        <w:t>图 6.2 进一步说明，文化载体核密度在西南片区形成连续高值，而 POI 核密度在桂城、大沥、狮山等片区更为突出。这个结果与第 5 章中 POI 镇街分布的统计结果相互印证，也为后文提出差异化提升策略提供空间依据。</w:t>
      </w:r>
    </w:p>
    <w:p w14:paraId="1926ABFF">
      <w:pPr>
        <w:spacing w:before="240" w:after="120" w:line="400" w:lineRule="exact"/>
        <w:jc w:val="left"/>
        <w:outlineLvl w:val="2"/>
      </w:pPr>
      <w:bookmarkStart w:id="73" w:name="_Toc5808"/>
      <w:r>
        <w:rPr>
          <w:rFonts w:ascii="Times New Roman" w:hAnsi="Times New Roman" w:eastAsia="黑体"/>
          <w:b/>
          <w:sz w:val="26"/>
        </w:rPr>
        <w:t>6.2.2 镇街对比</w:t>
      </w:r>
      <w:bookmarkEnd w:id="73"/>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47"/>
        <w:gridCol w:w="1247"/>
        <w:gridCol w:w="1247"/>
        <w:gridCol w:w="1247"/>
        <w:gridCol w:w="1247"/>
        <w:gridCol w:w="1247"/>
        <w:gridCol w:w="1247"/>
      </w:tblGrid>
      <w:tr w14:paraId="1CEB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vAlign w:val="center"/>
          </w:tcPr>
          <w:p w14:paraId="5C7A4C71">
            <w:pPr>
              <w:spacing w:before="0" w:after="0" w:line="320" w:lineRule="exact"/>
              <w:jc w:val="center"/>
            </w:pPr>
            <w:r>
              <w:rPr>
                <w:rFonts w:ascii="Times New Roman" w:hAnsi="Times New Roman" w:eastAsia="宋体"/>
                <w:b/>
                <w:sz w:val="21"/>
              </w:rPr>
              <w:t>镇街</w:t>
            </w:r>
          </w:p>
        </w:tc>
        <w:tc>
          <w:tcPr>
            <w:tcW w:w="1247" w:type="dxa"/>
            <w:vAlign w:val="center"/>
          </w:tcPr>
          <w:p w14:paraId="54EF2514">
            <w:pPr>
              <w:spacing w:before="0" w:after="0" w:line="320" w:lineRule="exact"/>
              <w:jc w:val="center"/>
            </w:pPr>
            <w:r>
              <w:rPr>
                <w:rFonts w:ascii="Times New Roman" w:hAnsi="Times New Roman" w:eastAsia="宋体"/>
                <w:b/>
                <w:sz w:val="21"/>
              </w:rPr>
              <w:t>POI 总量</w:t>
            </w:r>
          </w:p>
        </w:tc>
        <w:tc>
          <w:tcPr>
            <w:tcW w:w="1247" w:type="dxa"/>
            <w:vAlign w:val="center"/>
          </w:tcPr>
          <w:p w14:paraId="21C05D7F">
            <w:pPr>
              <w:spacing w:before="0" w:after="0" w:line="320" w:lineRule="exact"/>
              <w:jc w:val="center"/>
            </w:pPr>
            <w:r>
              <w:rPr>
                <w:rFonts w:ascii="Times New Roman" w:hAnsi="Times New Roman" w:eastAsia="宋体"/>
                <w:b/>
                <w:sz w:val="21"/>
              </w:rPr>
              <w:t>核心文化载体数</w:t>
            </w:r>
          </w:p>
        </w:tc>
        <w:tc>
          <w:tcPr>
            <w:tcW w:w="1247" w:type="dxa"/>
            <w:vAlign w:val="center"/>
          </w:tcPr>
          <w:p w14:paraId="747AAEDC">
            <w:pPr>
              <w:spacing w:before="0" w:after="0" w:line="320" w:lineRule="exact"/>
              <w:jc w:val="center"/>
            </w:pPr>
            <w:r>
              <w:rPr>
                <w:rFonts w:ascii="Times New Roman" w:hAnsi="Times New Roman" w:eastAsia="宋体"/>
                <w:b/>
                <w:sz w:val="21"/>
              </w:rPr>
              <w:t>CMI 均值</w:t>
            </w:r>
          </w:p>
        </w:tc>
        <w:tc>
          <w:tcPr>
            <w:tcW w:w="1247" w:type="dxa"/>
            <w:vAlign w:val="center"/>
          </w:tcPr>
          <w:p w14:paraId="09FBB513">
            <w:pPr>
              <w:spacing w:before="0" w:after="0" w:line="320" w:lineRule="exact"/>
              <w:jc w:val="center"/>
            </w:pPr>
            <w:r>
              <w:rPr>
                <w:rFonts w:ascii="Times New Roman" w:hAnsi="Times New Roman" w:eastAsia="宋体"/>
                <w:b/>
                <w:sz w:val="21"/>
              </w:rPr>
              <w:t>OAI 均值</w:t>
            </w:r>
          </w:p>
        </w:tc>
        <w:tc>
          <w:tcPr>
            <w:tcW w:w="1247" w:type="dxa"/>
            <w:vAlign w:val="center"/>
          </w:tcPr>
          <w:p w14:paraId="56C60EBF">
            <w:pPr>
              <w:spacing w:before="0" w:after="0" w:line="320" w:lineRule="exact"/>
              <w:jc w:val="center"/>
            </w:pPr>
            <w:r>
              <w:rPr>
                <w:rFonts w:ascii="Times New Roman" w:hAnsi="Times New Roman" w:eastAsia="宋体"/>
                <w:b/>
                <w:sz w:val="21"/>
              </w:rPr>
              <w:t>THI 均值</w:t>
            </w:r>
          </w:p>
        </w:tc>
        <w:tc>
          <w:tcPr>
            <w:tcW w:w="1247" w:type="dxa"/>
            <w:vAlign w:val="center"/>
          </w:tcPr>
          <w:p w14:paraId="27213B8E">
            <w:pPr>
              <w:spacing w:before="0" w:after="0" w:line="320" w:lineRule="exact"/>
              <w:jc w:val="center"/>
            </w:pPr>
            <w:r>
              <w:rPr>
                <w:rFonts w:ascii="Times New Roman" w:hAnsi="Times New Roman" w:eastAsia="宋体"/>
                <w:b/>
                <w:sz w:val="21"/>
              </w:rPr>
              <w:t>MI 均值</w:t>
            </w:r>
          </w:p>
        </w:tc>
      </w:tr>
      <w:tr w14:paraId="5642A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vAlign w:val="center"/>
          </w:tcPr>
          <w:p w14:paraId="13415B5B">
            <w:pPr>
              <w:spacing w:before="0" w:after="0" w:line="320" w:lineRule="exact"/>
              <w:jc w:val="left"/>
            </w:pPr>
            <w:r>
              <w:rPr>
                <w:rFonts w:ascii="Times New Roman" w:hAnsi="Times New Roman" w:eastAsia="宋体"/>
                <w:b w:val="0"/>
                <w:sz w:val="21"/>
              </w:rPr>
              <w:t>桂城街道</w:t>
            </w:r>
          </w:p>
        </w:tc>
        <w:tc>
          <w:tcPr>
            <w:tcW w:w="1247" w:type="dxa"/>
            <w:vAlign w:val="center"/>
          </w:tcPr>
          <w:p w14:paraId="352D8A60">
            <w:pPr>
              <w:spacing w:before="0" w:after="0" w:line="320" w:lineRule="exact"/>
              <w:jc w:val="left"/>
            </w:pPr>
            <w:r>
              <w:rPr>
                <w:rFonts w:ascii="Times New Roman" w:hAnsi="Times New Roman" w:eastAsia="宋体"/>
                <w:b w:val="0"/>
                <w:sz w:val="21"/>
              </w:rPr>
              <w:t>4,174</w:t>
            </w:r>
          </w:p>
        </w:tc>
        <w:tc>
          <w:tcPr>
            <w:tcW w:w="1247" w:type="dxa"/>
            <w:vAlign w:val="center"/>
          </w:tcPr>
          <w:p w14:paraId="57D1A341">
            <w:pPr>
              <w:spacing w:before="0" w:after="0" w:line="320" w:lineRule="exact"/>
              <w:jc w:val="left"/>
            </w:pPr>
            <w:r>
              <w:rPr>
                <w:rFonts w:ascii="Times New Roman" w:hAnsi="Times New Roman" w:eastAsia="宋体"/>
                <w:b w:val="0"/>
                <w:sz w:val="21"/>
              </w:rPr>
              <w:t>3</w:t>
            </w:r>
          </w:p>
        </w:tc>
        <w:tc>
          <w:tcPr>
            <w:tcW w:w="1247" w:type="dxa"/>
            <w:vAlign w:val="center"/>
          </w:tcPr>
          <w:p w14:paraId="7C9A9ACD">
            <w:pPr>
              <w:spacing w:before="0" w:after="0" w:line="320" w:lineRule="exact"/>
              <w:jc w:val="left"/>
            </w:pPr>
            <w:r>
              <w:rPr>
                <w:rFonts w:ascii="Times New Roman" w:hAnsi="Times New Roman" w:eastAsia="宋体"/>
                <w:b w:val="0"/>
                <w:sz w:val="21"/>
              </w:rPr>
              <w:t>17.03</w:t>
            </w:r>
          </w:p>
        </w:tc>
        <w:tc>
          <w:tcPr>
            <w:tcW w:w="1247" w:type="dxa"/>
            <w:vAlign w:val="center"/>
          </w:tcPr>
          <w:p w14:paraId="2CFB9253">
            <w:pPr>
              <w:spacing w:before="0" w:after="0" w:line="320" w:lineRule="exact"/>
              <w:jc w:val="left"/>
            </w:pPr>
            <w:r>
              <w:rPr>
                <w:rFonts w:ascii="Times New Roman" w:hAnsi="Times New Roman" w:eastAsia="宋体"/>
                <w:b w:val="0"/>
                <w:sz w:val="21"/>
              </w:rPr>
              <w:t>50.00</w:t>
            </w:r>
          </w:p>
        </w:tc>
        <w:tc>
          <w:tcPr>
            <w:tcW w:w="1247" w:type="dxa"/>
            <w:vAlign w:val="center"/>
          </w:tcPr>
          <w:p w14:paraId="65C4A8D6">
            <w:pPr>
              <w:spacing w:before="0" w:after="0" w:line="320" w:lineRule="exact"/>
              <w:jc w:val="left"/>
            </w:pPr>
            <w:r>
              <w:rPr>
                <w:rFonts w:ascii="Times New Roman" w:hAnsi="Times New Roman" w:eastAsia="宋体"/>
                <w:b w:val="0"/>
                <w:sz w:val="21"/>
              </w:rPr>
              <w:t>54.63</w:t>
            </w:r>
          </w:p>
        </w:tc>
        <w:tc>
          <w:tcPr>
            <w:tcW w:w="1247" w:type="dxa"/>
            <w:vAlign w:val="center"/>
          </w:tcPr>
          <w:p w14:paraId="13C91E0D">
            <w:pPr>
              <w:spacing w:before="0" w:after="0" w:line="320" w:lineRule="exact"/>
              <w:jc w:val="left"/>
            </w:pPr>
            <w:r>
              <w:rPr>
                <w:rFonts w:ascii="Times New Roman" w:hAnsi="Times New Roman" w:eastAsia="宋体"/>
                <w:b w:val="0"/>
                <w:sz w:val="21"/>
              </w:rPr>
              <w:t>21.12</w:t>
            </w:r>
          </w:p>
        </w:tc>
      </w:tr>
      <w:tr w14:paraId="55B7A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vAlign w:val="center"/>
          </w:tcPr>
          <w:p w14:paraId="4E6EE148">
            <w:pPr>
              <w:spacing w:before="0" w:after="0" w:line="320" w:lineRule="exact"/>
              <w:jc w:val="left"/>
            </w:pPr>
            <w:r>
              <w:rPr>
                <w:rFonts w:ascii="Times New Roman" w:hAnsi="Times New Roman" w:eastAsia="宋体"/>
                <w:b w:val="0"/>
                <w:sz w:val="21"/>
              </w:rPr>
              <w:t>里水镇</w:t>
            </w:r>
          </w:p>
        </w:tc>
        <w:tc>
          <w:tcPr>
            <w:tcW w:w="1247" w:type="dxa"/>
            <w:vAlign w:val="center"/>
          </w:tcPr>
          <w:p w14:paraId="6C1CC32D">
            <w:pPr>
              <w:spacing w:before="0" w:after="0" w:line="320" w:lineRule="exact"/>
              <w:jc w:val="left"/>
            </w:pPr>
            <w:r>
              <w:rPr>
                <w:rFonts w:ascii="Times New Roman" w:hAnsi="Times New Roman" w:eastAsia="宋体"/>
                <w:b w:val="0"/>
                <w:sz w:val="21"/>
              </w:rPr>
              <w:t>2,625</w:t>
            </w:r>
          </w:p>
        </w:tc>
        <w:tc>
          <w:tcPr>
            <w:tcW w:w="1247" w:type="dxa"/>
            <w:vAlign w:val="center"/>
          </w:tcPr>
          <w:p w14:paraId="18547606">
            <w:pPr>
              <w:spacing w:before="0" w:after="0" w:line="320" w:lineRule="exact"/>
              <w:jc w:val="left"/>
            </w:pPr>
            <w:r>
              <w:rPr>
                <w:rFonts w:ascii="Times New Roman" w:hAnsi="Times New Roman" w:eastAsia="宋体"/>
                <w:b w:val="0"/>
                <w:sz w:val="21"/>
              </w:rPr>
              <w:t>1</w:t>
            </w:r>
          </w:p>
        </w:tc>
        <w:tc>
          <w:tcPr>
            <w:tcW w:w="1247" w:type="dxa"/>
            <w:vAlign w:val="center"/>
          </w:tcPr>
          <w:p w14:paraId="1D06E4A7">
            <w:pPr>
              <w:spacing w:before="0" w:after="0" w:line="320" w:lineRule="exact"/>
              <w:jc w:val="left"/>
            </w:pPr>
            <w:r>
              <w:rPr>
                <w:rFonts w:ascii="Times New Roman" w:hAnsi="Times New Roman" w:eastAsia="宋体"/>
                <w:b w:val="0"/>
                <w:sz w:val="21"/>
              </w:rPr>
              <w:t>53.21</w:t>
            </w:r>
          </w:p>
        </w:tc>
        <w:tc>
          <w:tcPr>
            <w:tcW w:w="1247" w:type="dxa"/>
            <w:vAlign w:val="center"/>
          </w:tcPr>
          <w:p w14:paraId="53D49C31">
            <w:pPr>
              <w:spacing w:before="0" w:after="0" w:line="320" w:lineRule="exact"/>
              <w:jc w:val="left"/>
            </w:pPr>
            <w:r>
              <w:rPr>
                <w:rFonts w:ascii="Times New Roman" w:hAnsi="Times New Roman" w:eastAsia="宋体"/>
                <w:b w:val="0"/>
                <w:sz w:val="21"/>
              </w:rPr>
              <w:t>25.00</w:t>
            </w:r>
          </w:p>
        </w:tc>
        <w:tc>
          <w:tcPr>
            <w:tcW w:w="1247" w:type="dxa"/>
            <w:vAlign w:val="center"/>
          </w:tcPr>
          <w:p w14:paraId="188485D5">
            <w:pPr>
              <w:spacing w:before="0" w:after="0" w:line="320" w:lineRule="exact"/>
              <w:jc w:val="left"/>
            </w:pPr>
            <w:r>
              <w:rPr>
                <w:rFonts w:ascii="Times New Roman" w:hAnsi="Times New Roman" w:eastAsia="宋体"/>
                <w:b w:val="0"/>
                <w:sz w:val="21"/>
              </w:rPr>
              <w:t>0.00</w:t>
            </w:r>
          </w:p>
        </w:tc>
        <w:tc>
          <w:tcPr>
            <w:tcW w:w="1247" w:type="dxa"/>
            <w:vAlign w:val="center"/>
          </w:tcPr>
          <w:p w14:paraId="60C6C1F4">
            <w:pPr>
              <w:spacing w:before="0" w:after="0" w:line="320" w:lineRule="exact"/>
              <w:jc w:val="left"/>
            </w:pPr>
            <w:r>
              <w:rPr>
                <w:rFonts w:ascii="Times New Roman" w:hAnsi="Times New Roman" w:eastAsia="宋体"/>
                <w:b w:val="0"/>
                <w:sz w:val="21"/>
              </w:rPr>
              <w:t>−39.11</w:t>
            </w:r>
          </w:p>
        </w:tc>
      </w:tr>
      <w:tr w14:paraId="20C0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vAlign w:val="center"/>
          </w:tcPr>
          <w:p w14:paraId="41B45DCC">
            <w:pPr>
              <w:spacing w:before="0" w:after="0" w:line="320" w:lineRule="exact"/>
              <w:jc w:val="left"/>
            </w:pPr>
            <w:r>
              <w:rPr>
                <w:rFonts w:ascii="Times New Roman" w:hAnsi="Times New Roman" w:eastAsia="宋体"/>
                <w:b w:val="0"/>
                <w:sz w:val="21"/>
              </w:rPr>
              <w:t>狮山镇</w:t>
            </w:r>
          </w:p>
        </w:tc>
        <w:tc>
          <w:tcPr>
            <w:tcW w:w="1247" w:type="dxa"/>
            <w:vAlign w:val="center"/>
          </w:tcPr>
          <w:p w14:paraId="54EEF4B3">
            <w:pPr>
              <w:spacing w:before="0" w:after="0" w:line="320" w:lineRule="exact"/>
              <w:jc w:val="left"/>
            </w:pPr>
            <w:r>
              <w:rPr>
                <w:rFonts w:ascii="Times New Roman" w:hAnsi="Times New Roman" w:eastAsia="宋体"/>
                <w:b w:val="0"/>
                <w:sz w:val="21"/>
              </w:rPr>
              <w:t>2,233</w:t>
            </w:r>
          </w:p>
        </w:tc>
        <w:tc>
          <w:tcPr>
            <w:tcW w:w="1247" w:type="dxa"/>
            <w:vAlign w:val="center"/>
          </w:tcPr>
          <w:p w14:paraId="2F7E06EE">
            <w:pPr>
              <w:spacing w:before="0" w:after="0" w:line="320" w:lineRule="exact"/>
              <w:jc w:val="left"/>
            </w:pPr>
            <w:r>
              <w:rPr>
                <w:rFonts w:ascii="Times New Roman" w:hAnsi="Times New Roman" w:eastAsia="宋体"/>
                <w:b w:val="0"/>
                <w:sz w:val="21"/>
              </w:rPr>
              <w:t>3</w:t>
            </w:r>
          </w:p>
        </w:tc>
        <w:tc>
          <w:tcPr>
            <w:tcW w:w="1247" w:type="dxa"/>
            <w:vAlign w:val="center"/>
          </w:tcPr>
          <w:p w14:paraId="4B538B9B">
            <w:pPr>
              <w:spacing w:before="0" w:after="0" w:line="320" w:lineRule="exact"/>
              <w:jc w:val="left"/>
            </w:pPr>
            <w:r>
              <w:rPr>
                <w:rFonts w:ascii="Times New Roman" w:hAnsi="Times New Roman" w:eastAsia="宋体"/>
                <w:b w:val="0"/>
                <w:sz w:val="21"/>
              </w:rPr>
              <w:t>22.62</w:t>
            </w:r>
          </w:p>
        </w:tc>
        <w:tc>
          <w:tcPr>
            <w:tcW w:w="1247" w:type="dxa"/>
            <w:vAlign w:val="center"/>
          </w:tcPr>
          <w:p w14:paraId="76B54900">
            <w:pPr>
              <w:spacing w:before="0" w:after="0" w:line="320" w:lineRule="exact"/>
              <w:jc w:val="left"/>
            </w:pPr>
            <w:r>
              <w:rPr>
                <w:rFonts w:ascii="Times New Roman" w:hAnsi="Times New Roman" w:eastAsia="宋体"/>
                <w:b w:val="0"/>
                <w:sz w:val="21"/>
              </w:rPr>
              <w:t>41.67</w:t>
            </w:r>
          </w:p>
        </w:tc>
        <w:tc>
          <w:tcPr>
            <w:tcW w:w="1247" w:type="dxa"/>
            <w:vAlign w:val="center"/>
          </w:tcPr>
          <w:p w14:paraId="1AA7C0CD">
            <w:pPr>
              <w:spacing w:before="0" w:after="0" w:line="320" w:lineRule="exact"/>
              <w:jc w:val="left"/>
            </w:pPr>
            <w:r>
              <w:rPr>
                <w:rFonts w:ascii="Times New Roman" w:hAnsi="Times New Roman" w:eastAsia="宋体"/>
                <w:b w:val="0"/>
                <w:sz w:val="21"/>
              </w:rPr>
              <w:t>15.41</w:t>
            </w:r>
          </w:p>
        </w:tc>
        <w:tc>
          <w:tcPr>
            <w:tcW w:w="1247" w:type="dxa"/>
            <w:vAlign w:val="center"/>
          </w:tcPr>
          <w:p w14:paraId="6EFB3746">
            <w:pPr>
              <w:spacing w:before="0" w:after="0" w:line="320" w:lineRule="exact"/>
              <w:jc w:val="left"/>
            </w:pPr>
            <w:r>
              <w:rPr>
                <w:rFonts w:ascii="Times New Roman" w:hAnsi="Times New Roman" w:eastAsia="宋体"/>
                <w:b w:val="0"/>
                <w:sz w:val="21"/>
              </w:rPr>
              <w:t>−16.74</w:t>
            </w:r>
          </w:p>
        </w:tc>
      </w:tr>
      <w:tr w14:paraId="43C1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vAlign w:val="center"/>
          </w:tcPr>
          <w:p w14:paraId="6CB50D4E">
            <w:pPr>
              <w:spacing w:before="0" w:after="0" w:line="320" w:lineRule="exact"/>
              <w:jc w:val="left"/>
            </w:pPr>
            <w:r>
              <w:rPr>
                <w:rFonts w:ascii="Times New Roman" w:hAnsi="Times New Roman" w:eastAsia="宋体"/>
                <w:b w:val="0"/>
                <w:sz w:val="21"/>
              </w:rPr>
              <w:t>大沥镇</w:t>
            </w:r>
          </w:p>
        </w:tc>
        <w:tc>
          <w:tcPr>
            <w:tcW w:w="1247" w:type="dxa"/>
            <w:vAlign w:val="center"/>
          </w:tcPr>
          <w:p w14:paraId="3F45CE80">
            <w:pPr>
              <w:spacing w:before="0" w:after="0" w:line="320" w:lineRule="exact"/>
              <w:jc w:val="left"/>
            </w:pPr>
            <w:r>
              <w:rPr>
                <w:rFonts w:ascii="Times New Roman" w:hAnsi="Times New Roman" w:eastAsia="宋体"/>
                <w:b w:val="0"/>
                <w:sz w:val="21"/>
              </w:rPr>
              <w:t>2,080</w:t>
            </w:r>
          </w:p>
        </w:tc>
        <w:tc>
          <w:tcPr>
            <w:tcW w:w="1247" w:type="dxa"/>
            <w:vAlign w:val="center"/>
          </w:tcPr>
          <w:p w14:paraId="00728947">
            <w:pPr>
              <w:spacing w:before="0" w:after="0" w:line="320" w:lineRule="exact"/>
              <w:jc w:val="left"/>
            </w:pPr>
            <w:r>
              <w:rPr>
                <w:rFonts w:ascii="Times New Roman" w:hAnsi="Times New Roman" w:eastAsia="宋体"/>
                <w:b w:val="0"/>
                <w:sz w:val="21"/>
              </w:rPr>
              <w:t>0</w:t>
            </w:r>
          </w:p>
        </w:tc>
        <w:tc>
          <w:tcPr>
            <w:tcW w:w="1247" w:type="dxa"/>
            <w:vAlign w:val="center"/>
          </w:tcPr>
          <w:p w14:paraId="2D281D10">
            <w:pPr>
              <w:spacing w:before="0" w:after="0" w:line="320" w:lineRule="exact"/>
              <w:jc w:val="left"/>
            </w:pPr>
            <w:r>
              <w:rPr>
                <w:rFonts w:ascii="Times New Roman" w:hAnsi="Times New Roman" w:eastAsia="宋体"/>
                <w:b w:val="0"/>
                <w:sz w:val="21"/>
              </w:rPr>
              <w:t>—</w:t>
            </w:r>
          </w:p>
        </w:tc>
        <w:tc>
          <w:tcPr>
            <w:tcW w:w="1247" w:type="dxa"/>
            <w:vAlign w:val="center"/>
          </w:tcPr>
          <w:p w14:paraId="4265DF07">
            <w:pPr>
              <w:spacing w:before="0" w:after="0" w:line="320" w:lineRule="exact"/>
              <w:jc w:val="left"/>
            </w:pPr>
            <w:r>
              <w:rPr>
                <w:rFonts w:ascii="Times New Roman" w:hAnsi="Times New Roman" w:eastAsia="宋体"/>
                <w:b w:val="0"/>
                <w:sz w:val="21"/>
              </w:rPr>
              <w:t>—</w:t>
            </w:r>
          </w:p>
        </w:tc>
        <w:tc>
          <w:tcPr>
            <w:tcW w:w="1247" w:type="dxa"/>
            <w:vAlign w:val="center"/>
          </w:tcPr>
          <w:p w14:paraId="28FE0DE1">
            <w:pPr>
              <w:spacing w:before="0" w:after="0" w:line="320" w:lineRule="exact"/>
              <w:jc w:val="left"/>
            </w:pPr>
            <w:r>
              <w:rPr>
                <w:rFonts w:ascii="Times New Roman" w:hAnsi="Times New Roman" w:eastAsia="宋体"/>
                <w:b w:val="0"/>
                <w:sz w:val="21"/>
              </w:rPr>
              <w:t>—</w:t>
            </w:r>
          </w:p>
        </w:tc>
        <w:tc>
          <w:tcPr>
            <w:tcW w:w="1247" w:type="dxa"/>
            <w:vAlign w:val="center"/>
          </w:tcPr>
          <w:p w14:paraId="44186301">
            <w:pPr>
              <w:spacing w:before="0" w:after="0" w:line="320" w:lineRule="exact"/>
              <w:jc w:val="left"/>
            </w:pPr>
            <w:r>
              <w:rPr>
                <w:rFonts w:ascii="Times New Roman" w:hAnsi="Times New Roman" w:eastAsia="宋体"/>
                <w:b w:val="0"/>
                <w:sz w:val="21"/>
              </w:rPr>
              <w:t>—</w:t>
            </w:r>
          </w:p>
        </w:tc>
      </w:tr>
      <w:tr w14:paraId="008C0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vAlign w:val="center"/>
          </w:tcPr>
          <w:p w14:paraId="5A45A1FF">
            <w:pPr>
              <w:spacing w:before="0" w:after="0" w:line="320" w:lineRule="exact"/>
              <w:jc w:val="left"/>
            </w:pPr>
            <w:r>
              <w:rPr>
                <w:rFonts w:ascii="Times New Roman" w:hAnsi="Times New Roman" w:eastAsia="宋体"/>
                <w:b w:val="0"/>
                <w:sz w:val="21"/>
              </w:rPr>
              <w:t>丹灶镇</w:t>
            </w:r>
          </w:p>
        </w:tc>
        <w:tc>
          <w:tcPr>
            <w:tcW w:w="1247" w:type="dxa"/>
            <w:vAlign w:val="center"/>
          </w:tcPr>
          <w:p w14:paraId="187CFA9D">
            <w:pPr>
              <w:spacing w:before="0" w:after="0" w:line="320" w:lineRule="exact"/>
              <w:jc w:val="left"/>
            </w:pPr>
            <w:r>
              <w:rPr>
                <w:rFonts w:ascii="Times New Roman" w:hAnsi="Times New Roman" w:eastAsia="宋体"/>
                <w:b w:val="0"/>
                <w:sz w:val="21"/>
              </w:rPr>
              <w:t>1,086</w:t>
            </w:r>
          </w:p>
        </w:tc>
        <w:tc>
          <w:tcPr>
            <w:tcW w:w="1247" w:type="dxa"/>
            <w:vAlign w:val="center"/>
          </w:tcPr>
          <w:p w14:paraId="2A908ED6">
            <w:pPr>
              <w:spacing w:before="0" w:after="0" w:line="320" w:lineRule="exact"/>
              <w:jc w:val="left"/>
            </w:pPr>
            <w:r>
              <w:rPr>
                <w:rFonts w:ascii="Times New Roman" w:hAnsi="Times New Roman" w:eastAsia="宋体"/>
                <w:b w:val="0"/>
                <w:sz w:val="21"/>
              </w:rPr>
              <w:t>11</w:t>
            </w:r>
          </w:p>
        </w:tc>
        <w:tc>
          <w:tcPr>
            <w:tcW w:w="1247" w:type="dxa"/>
            <w:vAlign w:val="center"/>
          </w:tcPr>
          <w:p w14:paraId="2691344C">
            <w:pPr>
              <w:spacing w:before="0" w:after="0" w:line="320" w:lineRule="exact"/>
              <w:jc w:val="left"/>
            </w:pPr>
            <w:r>
              <w:rPr>
                <w:rFonts w:ascii="Times New Roman" w:hAnsi="Times New Roman" w:eastAsia="宋体"/>
                <w:b w:val="0"/>
                <w:sz w:val="21"/>
              </w:rPr>
              <w:t>39.84</w:t>
            </w:r>
          </w:p>
        </w:tc>
        <w:tc>
          <w:tcPr>
            <w:tcW w:w="1247" w:type="dxa"/>
            <w:vAlign w:val="center"/>
          </w:tcPr>
          <w:p w14:paraId="55C4870F">
            <w:pPr>
              <w:spacing w:before="0" w:after="0" w:line="320" w:lineRule="exact"/>
              <w:jc w:val="left"/>
            </w:pPr>
            <w:r>
              <w:rPr>
                <w:rFonts w:ascii="Times New Roman" w:hAnsi="Times New Roman" w:eastAsia="宋体"/>
                <w:b w:val="0"/>
                <w:sz w:val="21"/>
              </w:rPr>
              <w:t>29.55</w:t>
            </w:r>
          </w:p>
        </w:tc>
        <w:tc>
          <w:tcPr>
            <w:tcW w:w="1247" w:type="dxa"/>
            <w:vAlign w:val="center"/>
          </w:tcPr>
          <w:p w14:paraId="15E49CF0">
            <w:pPr>
              <w:spacing w:before="0" w:after="0" w:line="320" w:lineRule="exact"/>
              <w:jc w:val="left"/>
            </w:pPr>
            <w:r>
              <w:rPr>
                <w:rFonts w:ascii="Times New Roman" w:hAnsi="Times New Roman" w:eastAsia="宋体"/>
                <w:b w:val="0"/>
                <w:sz w:val="21"/>
              </w:rPr>
              <w:t>37.96</w:t>
            </w:r>
          </w:p>
        </w:tc>
        <w:tc>
          <w:tcPr>
            <w:tcW w:w="1247" w:type="dxa"/>
            <w:vAlign w:val="center"/>
          </w:tcPr>
          <w:p w14:paraId="16423E49">
            <w:pPr>
              <w:spacing w:before="0" w:after="0" w:line="320" w:lineRule="exact"/>
              <w:jc w:val="left"/>
            </w:pPr>
            <w:r>
              <w:rPr>
                <w:rFonts w:ascii="Times New Roman" w:hAnsi="Times New Roman" w:eastAsia="宋体"/>
                <w:b w:val="0"/>
                <w:sz w:val="21"/>
              </w:rPr>
              <w:t>3.27</w:t>
            </w:r>
          </w:p>
        </w:tc>
      </w:tr>
      <w:tr w14:paraId="7839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vAlign w:val="center"/>
          </w:tcPr>
          <w:p w14:paraId="3E8FCA7F">
            <w:pPr>
              <w:spacing w:before="0" w:after="0" w:line="320" w:lineRule="exact"/>
              <w:jc w:val="left"/>
            </w:pPr>
            <w:r>
              <w:rPr>
                <w:rFonts w:ascii="Times New Roman" w:hAnsi="Times New Roman" w:eastAsia="宋体"/>
                <w:b w:val="0"/>
                <w:sz w:val="21"/>
              </w:rPr>
              <w:t>西樵镇</w:t>
            </w:r>
          </w:p>
        </w:tc>
        <w:tc>
          <w:tcPr>
            <w:tcW w:w="1247" w:type="dxa"/>
            <w:vAlign w:val="center"/>
          </w:tcPr>
          <w:p w14:paraId="1ACC4420">
            <w:pPr>
              <w:spacing w:before="0" w:after="0" w:line="320" w:lineRule="exact"/>
              <w:jc w:val="left"/>
            </w:pPr>
            <w:r>
              <w:rPr>
                <w:rFonts w:ascii="Times New Roman" w:hAnsi="Times New Roman" w:eastAsia="宋体"/>
                <w:b w:val="0"/>
                <w:sz w:val="21"/>
              </w:rPr>
              <w:t>1,055</w:t>
            </w:r>
          </w:p>
        </w:tc>
        <w:tc>
          <w:tcPr>
            <w:tcW w:w="1247" w:type="dxa"/>
            <w:vAlign w:val="center"/>
          </w:tcPr>
          <w:p w14:paraId="3DAC20A7">
            <w:pPr>
              <w:spacing w:before="0" w:after="0" w:line="320" w:lineRule="exact"/>
              <w:jc w:val="left"/>
            </w:pPr>
            <w:r>
              <w:rPr>
                <w:rFonts w:ascii="Times New Roman" w:hAnsi="Times New Roman" w:eastAsia="宋体"/>
                <w:b w:val="0"/>
                <w:sz w:val="21"/>
              </w:rPr>
              <w:t>26</w:t>
            </w:r>
          </w:p>
        </w:tc>
        <w:tc>
          <w:tcPr>
            <w:tcW w:w="1247" w:type="dxa"/>
            <w:vAlign w:val="center"/>
          </w:tcPr>
          <w:p w14:paraId="598E1A3D">
            <w:pPr>
              <w:spacing w:before="0" w:after="0" w:line="320" w:lineRule="exact"/>
              <w:jc w:val="left"/>
            </w:pPr>
            <w:r>
              <w:rPr>
                <w:rFonts w:ascii="Times New Roman" w:hAnsi="Times New Roman" w:eastAsia="宋体"/>
                <w:b w:val="0"/>
                <w:sz w:val="21"/>
              </w:rPr>
              <w:t>52.71</w:t>
            </w:r>
          </w:p>
        </w:tc>
        <w:tc>
          <w:tcPr>
            <w:tcW w:w="1247" w:type="dxa"/>
            <w:vAlign w:val="center"/>
          </w:tcPr>
          <w:p w14:paraId="664B39FE">
            <w:pPr>
              <w:spacing w:before="0" w:after="0" w:line="320" w:lineRule="exact"/>
              <w:jc w:val="left"/>
            </w:pPr>
            <w:r>
              <w:rPr>
                <w:rFonts w:ascii="Times New Roman" w:hAnsi="Times New Roman" w:eastAsia="宋体"/>
                <w:b w:val="0"/>
                <w:sz w:val="21"/>
              </w:rPr>
              <w:t>27.88</w:t>
            </w:r>
          </w:p>
        </w:tc>
        <w:tc>
          <w:tcPr>
            <w:tcW w:w="1247" w:type="dxa"/>
            <w:vAlign w:val="center"/>
          </w:tcPr>
          <w:p w14:paraId="4060C5F6">
            <w:pPr>
              <w:spacing w:before="0" w:after="0" w:line="320" w:lineRule="exact"/>
              <w:jc w:val="left"/>
            </w:pPr>
            <w:r>
              <w:rPr>
                <w:rFonts w:ascii="Times New Roman" w:hAnsi="Times New Roman" w:eastAsia="宋体"/>
                <w:b w:val="0"/>
                <w:sz w:val="21"/>
              </w:rPr>
              <w:t>34.95</w:t>
            </w:r>
          </w:p>
        </w:tc>
        <w:tc>
          <w:tcPr>
            <w:tcW w:w="1247" w:type="dxa"/>
            <w:vAlign w:val="center"/>
          </w:tcPr>
          <w:p w14:paraId="424182BF">
            <w:pPr>
              <w:spacing w:before="0" w:after="0" w:line="320" w:lineRule="exact"/>
              <w:jc w:val="left"/>
            </w:pPr>
            <w:r>
              <w:rPr>
                <w:rFonts w:ascii="Times New Roman" w:hAnsi="Times New Roman" w:eastAsia="宋体"/>
                <w:b w:val="0"/>
                <w:sz w:val="21"/>
              </w:rPr>
              <w:t>−5.35</w:t>
            </w:r>
          </w:p>
        </w:tc>
      </w:tr>
      <w:tr w14:paraId="7EFE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vAlign w:val="center"/>
          </w:tcPr>
          <w:p w14:paraId="1E5AD924">
            <w:pPr>
              <w:spacing w:before="0" w:after="0" w:line="320" w:lineRule="exact"/>
              <w:jc w:val="left"/>
            </w:pPr>
            <w:r>
              <w:rPr>
                <w:rFonts w:ascii="Times New Roman" w:hAnsi="Times New Roman" w:eastAsia="宋体"/>
                <w:b w:val="0"/>
                <w:sz w:val="21"/>
              </w:rPr>
              <w:t>九江镇</w:t>
            </w:r>
          </w:p>
        </w:tc>
        <w:tc>
          <w:tcPr>
            <w:tcW w:w="1247" w:type="dxa"/>
            <w:vAlign w:val="center"/>
          </w:tcPr>
          <w:p w14:paraId="0921EE9B">
            <w:pPr>
              <w:spacing w:before="0" w:after="0" w:line="320" w:lineRule="exact"/>
              <w:jc w:val="left"/>
            </w:pPr>
            <w:r>
              <w:rPr>
                <w:rFonts w:ascii="Times New Roman" w:hAnsi="Times New Roman" w:eastAsia="宋体"/>
                <w:b w:val="0"/>
                <w:sz w:val="21"/>
              </w:rPr>
              <w:t>259</w:t>
            </w:r>
          </w:p>
        </w:tc>
        <w:tc>
          <w:tcPr>
            <w:tcW w:w="1247" w:type="dxa"/>
            <w:vAlign w:val="center"/>
          </w:tcPr>
          <w:p w14:paraId="0B3EF588">
            <w:pPr>
              <w:spacing w:before="0" w:after="0" w:line="320" w:lineRule="exact"/>
              <w:jc w:val="left"/>
            </w:pPr>
            <w:r>
              <w:rPr>
                <w:rFonts w:ascii="Times New Roman" w:hAnsi="Times New Roman" w:eastAsia="宋体"/>
                <w:b w:val="0"/>
                <w:sz w:val="21"/>
              </w:rPr>
              <w:t>15</w:t>
            </w:r>
          </w:p>
        </w:tc>
        <w:tc>
          <w:tcPr>
            <w:tcW w:w="1247" w:type="dxa"/>
            <w:vAlign w:val="center"/>
          </w:tcPr>
          <w:p w14:paraId="2894B5DA">
            <w:pPr>
              <w:spacing w:before="0" w:after="0" w:line="320" w:lineRule="exact"/>
              <w:jc w:val="left"/>
            </w:pPr>
            <w:r>
              <w:rPr>
                <w:rFonts w:ascii="Times New Roman" w:hAnsi="Times New Roman" w:eastAsia="宋体"/>
                <w:b w:val="0"/>
                <w:sz w:val="21"/>
              </w:rPr>
              <w:t>36.71</w:t>
            </w:r>
          </w:p>
        </w:tc>
        <w:tc>
          <w:tcPr>
            <w:tcW w:w="1247" w:type="dxa"/>
            <w:vAlign w:val="center"/>
          </w:tcPr>
          <w:p w14:paraId="05E9A019">
            <w:pPr>
              <w:spacing w:before="0" w:after="0" w:line="320" w:lineRule="exact"/>
              <w:jc w:val="left"/>
            </w:pPr>
            <w:r>
              <w:rPr>
                <w:rFonts w:ascii="Times New Roman" w:hAnsi="Times New Roman" w:eastAsia="宋体"/>
                <w:b w:val="0"/>
                <w:sz w:val="21"/>
              </w:rPr>
              <w:t>35.00</w:t>
            </w:r>
          </w:p>
        </w:tc>
        <w:tc>
          <w:tcPr>
            <w:tcW w:w="1247" w:type="dxa"/>
            <w:vAlign w:val="center"/>
          </w:tcPr>
          <w:p w14:paraId="0E389299">
            <w:pPr>
              <w:spacing w:before="0" w:after="0" w:line="320" w:lineRule="exact"/>
              <w:jc w:val="left"/>
            </w:pPr>
            <w:r>
              <w:rPr>
                <w:rFonts w:ascii="Times New Roman" w:hAnsi="Times New Roman" w:eastAsia="宋体"/>
                <w:b w:val="0"/>
                <w:sz w:val="21"/>
              </w:rPr>
              <w:t>35.85</w:t>
            </w:r>
          </w:p>
        </w:tc>
        <w:tc>
          <w:tcPr>
            <w:tcW w:w="1247" w:type="dxa"/>
            <w:vAlign w:val="center"/>
          </w:tcPr>
          <w:p w14:paraId="71DA7154">
            <w:pPr>
              <w:spacing w:before="0" w:after="0" w:line="320" w:lineRule="exact"/>
              <w:jc w:val="left"/>
            </w:pPr>
            <w:r>
              <w:rPr>
                <w:rFonts w:ascii="Times New Roman" w:hAnsi="Times New Roman" w:eastAsia="宋体"/>
                <w:b w:val="0"/>
                <w:sz w:val="21"/>
              </w:rPr>
              <w:t>0.00</w:t>
            </w:r>
          </w:p>
        </w:tc>
      </w:tr>
    </w:tbl>
    <w:p w14:paraId="0C8D2BB7">
      <w:pPr>
        <w:spacing w:before="40" w:after="120" w:line="400" w:lineRule="exact"/>
        <w:jc w:val="center"/>
      </w:pPr>
      <w:r>
        <w:rPr>
          <w:rFonts w:ascii="Times New Roman" w:hAnsi="Times New Roman" w:eastAsia="宋体"/>
          <w:b/>
          <w:sz w:val="21"/>
        </w:rPr>
        <w:t>表 6.1　镇街尺度的 POI、核心文化载体与指数均值对比</w:t>
      </w:r>
    </w:p>
    <w:p w14:paraId="71ECC07C">
      <w:pPr>
        <w:spacing w:before="0" w:after="0" w:line="400" w:lineRule="exact"/>
        <w:ind w:firstLine="480"/>
        <w:jc w:val="left"/>
      </w:pPr>
      <w:r>
        <w:rPr>
          <w:rFonts w:ascii="Times New Roman" w:hAnsi="Times New Roman" w:eastAsia="宋体"/>
          <w:b w:val="0"/>
          <w:sz w:val="24"/>
        </w:rPr>
        <w:t>表 6.1 显示，桂城街道的 POI 总量最高，MI 均值为正，说明其旅游供给较强，但文化记忆和载体支撑相对不足。西樵镇的核心文化载体数最多，CMI 均值也较高，但 THI 均值低于桂城和大沥，表现出“文化较厚、旅游转化不足”的特征。九江镇的核心文化载体数不少，但 POI 数量仅 259 条，说明其旅游供给规模偏小。大沥镇在核心指数样本中缺少可用于计算 CMI、OAI 和 THI 的明确文化载体，因此本表不对其指数均值作判断，后文通过官方资源扩展层再作补充诊断。</w:t>
      </w:r>
    </w:p>
    <w:p w14:paraId="4F6DCCB4">
      <w:pPr>
        <w:spacing w:before="60" w:after="40" w:line="400" w:lineRule="exact"/>
        <w:jc w:val="center"/>
      </w:pPr>
      <w:r>
        <w:drawing>
          <wp:inline distT="0" distB="0" distL="114300" distR="114300">
            <wp:extent cx="5471795" cy="3086100"/>
            <wp:effectExtent l="0" t="0" r="146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72000" cy="3086550"/>
                    </a:xfrm>
                    <a:prstGeom prst="rect">
                      <a:avLst/>
                    </a:prstGeom>
                  </pic:spPr>
                </pic:pic>
              </a:graphicData>
            </a:graphic>
          </wp:inline>
        </w:drawing>
      </w:r>
    </w:p>
    <w:p w14:paraId="3F07DFC5">
      <w:pPr>
        <w:spacing w:before="40" w:after="120" w:line="400" w:lineRule="exact"/>
        <w:jc w:val="center"/>
      </w:pPr>
      <w:r>
        <w:rPr>
          <w:rFonts w:ascii="Times New Roman" w:hAnsi="Times New Roman" w:eastAsia="宋体"/>
          <w:b/>
          <w:sz w:val="21"/>
        </w:rPr>
        <w:t>图 6.3　镇街尺度文化厚度、旅游热度与错位类型对比</w:t>
      </w:r>
    </w:p>
    <w:p w14:paraId="215EEC5D">
      <w:pPr>
        <w:spacing w:before="240" w:after="120" w:line="400" w:lineRule="exact"/>
        <w:jc w:val="left"/>
        <w:outlineLvl w:val="2"/>
      </w:pPr>
      <w:bookmarkStart w:id="74" w:name="_Toc27763"/>
      <w:r>
        <w:rPr>
          <w:rFonts w:ascii="Times New Roman" w:hAnsi="Times New Roman" w:eastAsia="黑体"/>
          <w:b/>
          <w:sz w:val="26"/>
        </w:rPr>
        <w:t>6.2.3 知识图谱 0 跳 / 1 跳口径复核</w:t>
      </w:r>
      <w:bookmarkEnd w:id="74"/>
    </w:p>
    <w:p w14:paraId="7B964F91">
      <w:pPr>
        <w:spacing w:before="0" w:after="0" w:line="400" w:lineRule="exact"/>
        <w:ind w:firstLine="480"/>
        <w:jc w:val="left"/>
      </w:pPr>
      <w:r>
        <w:rPr>
          <w:rFonts w:ascii="Times New Roman" w:hAnsi="Times New Roman" w:eastAsia="宋体"/>
          <w:b w:val="0"/>
          <w:sz w:val="24"/>
        </w:rPr>
        <w:t>为避免空间判断仅停留在 POI 与载体坐标叠加层面，本文进一步在 500 m 网格尺度上引入知识图谱路径复核。0 跳口径表示文化载体直接命中的图谱实体集合；1 跳口径则在此基础上纳入与这些实体直接相邻的人物、事件、地点、文献和技艺等信息。旅游热度仍由 POI 密度、平均评分与评论量构成，来源独立于文化侧；错位值仍表示旅游热度相对于文化厚度的差异。</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55"/>
        <w:gridCol w:w="1455"/>
        <w:gridCol w:w="1455"/>
        <w:gridCol w:w="1455"/>
        <w:gridCol w:w="1455"/>
        <w:gridCol w:w="1455"/>
      </w:tblGrid>
      <w:tr w14:paraId="2A28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7D312E01">
            <w:pPr>
              <w:spacing w:before="0" w:after="0" w:line="320" w:lineRule="exact"/>
              <w:jc w:val="center"/>
            </w:pPr>
            <w:r>
              <w:rPr>
                <w:rFonts w:ascii="Times New Roman" w:hAnsi="Times New Roman" w:eastAsia="宋体"/>
                <w:b/>
                <w:sz w:val="21"/>
              </w:rPr>
              <w:t>口径</w:t>
            </w:r>
          </w:p>
        </w:tc>
        <w:tc>
          <w:tcPr>
            <w:tcW w:w="1455" w:type="dxa"/>
            <w:vAlign w:val="center"/>
          </w:tcPr>
          <w:p w14:paraId="523C82EB">
            <w:pPr>
              <w:spacing w:before="0" w:after="0" w:line="320" w:lineRule="exact"/>
              <w:jc w:val="center"/>
            </w:pPr>
            <w:r>
              <w:rPr>
                <w:rFonts w:ascii="Times New Roman" w:hAnsi="Times New Roman" w:eastAsia="宋体"/>
                <w:b/>
                <w:sz w:val="21"/>
              </w:rPr>
              <w:t>双低空白</w:t>
            </w:r>
          </w:p>
        </w:tc>
        <w:tc>
          <w:tcPr>
            <w:tcW w:w="1455" w:type="dxa"/>
            <w:vAlign w:val="center"/>
          </w:tcPr>
          <w:p w14:paraId="0B50FEAB">
            <w:pPr>
              <w:spacing w:before="0" w:after="0" w:line="320" w:lineRule="exact"/>
              <w:jc w:val="center"/>
            </w:pPr>
            <w:r>
              <w:rPr>
                <w:rFonts w:ascii="Times New Roman" w:hAnsi="Times New Roman" w:eastAsia="宋体"/>
                <w:b/>
                <w:sz w:val="21"/>
              </w:rPr>
              <w:t>一般地带</w:t>
            </w:r>
          </w:p>
        </w:tc>
        <w:tc>
          <w:tcPr>
            <w:tcW w:w="1455" w:type="dxa"/>
            <w:vAlign w:val="center"/>
          </w:tcPr>
          <w:p w14:paraId="2F5C82FF">
            <w:pPr>
              <w:spacing w:before="0" w:after="0" w:line="320" w:lineRule="exact"/>
              <w:jc w:val="center"/>
            </w:pPr>
            <w:r>
              <w:rPr>
                <w:rFonts w:ascii="Times New Roman" w:hAnsi="Times New Roman" w:eastAsia="宋体"/>
                <w:b/>
                <w:sz w:val="21"/>
              </w:rPr>
              <w:t>沉睡潜力</w:t>
            </w:r>
          </w:p>
        </w:tc>
        <w:tc>
          <w:tcPr>
            <w:tcW w:w="1455" w:type="dxa"/>
            <w:vAlign w:val="center"/>
          </w:tcPr>
          <w:p w14:paraId="0601D2F3">
            <w:pPr>
              <w:spacing w:before="0" w:after="0" w:line="320" w:lineRule="exact"/>
              <w:jc w:val="center"/>
            </w:pPr>
            <w:r>
              <w:rPr>
                <w:rFonts w:ascii="Times New Roman" w:hAnsi="Times New Roman" w:eastAsia="宋体"/>
                <w:b/>
                <w:sz w:val="21"/>
              </w:rPr>
              <w:t>空心景点</w:t>
            </w:r>
          </w:p>
        </w:tc>
        <w:tc>
          <w:tcPr>
            <w:tcW w:w="1455" w:type="dxa"/>
            <w:vAlign w:val="center"/>
          </w:tcPr>
          <w:p w14:paraId="5C5E07CF">
            <w:pPr>
              <w:spacing w:before="0" w:after="0" w:line="320" w:lineRule="exact"/>
              <w:jc w:val="center"/>
            </w:pPr>
            <w:r>
              <w:rPr>
                <w:rFonts w:ascii="Times New Roman" w:hAnsi="Times New Roman" w:eastAsia="宋体"/>
                <w:b/>
                <w:sz w:val="21"/>
              </w:rPr>
              <w:t>核心耦合</w:t>
            </w:r>
          </w:p>
        </w:tc>
      </w:tr>
      <w:tr w14:paraId="21E2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45B7133">
            <w:pPr>
              <w:spacing w:before="0" w:after="0" w:line="320" w:lineRule="exact"/>
              <w:jc w:val="left"/>
            </w:pPr>
            <w:r>
              <w:rPr>
                <w:rFonts w:ascii="Times New Roman" w:hAnsi="Times New Roman" w:eastAsia="宋体"/>
                <w:b w:val="0"/>
                <w:sz w:val="21"/>
              </w:rPr>
              <w:t>0 跳</w:t>
            </w:r>
          </w:p>
        </w:tc>
        <w:tc>
          <w:tcPr>
            <w:tcW w:w="1455" w:type="dxa"/>
            <w:vAlign w:val="center"/>
          </w:tcPr>
          <w:p w14:paraId="5CE273C8">
            <w:pPr>
              <w:spacing w:before="0" w:after="0" w:line="320" w:lineRule="exact"/>
              <w:jc w:val="left"/>
            </w:pPr>
            <w:r>
              <w:rPr>
                <w:rFonts w:ascii="Times New Roman" w:hAnsi="Times New Roman" w:eastAsia="宋体"/>
                <w:b w:val="0"/>
                <w:sz w:val="21"/>
              </w:rPr>
              <w:t>3,870</w:t>
            </w:r>
          </w:p>
        </w:tc>
        <w:tc>
          <w:tcPr>
            <w:tcW w:w="1455" w:type="dxa"/>
            <w:vAlign w:val="center"/>
          </w:tcPr>
          <w:p w14:paraId="1F013717">
            <w:pPr>
              <w:spacing w:before="0" w:after="0" w:line="320" w:lineRule="exact"/>
              <w:jc w:val="left"/>
            </w:pPr>
            <w:r>
              <w:rPr>
                <w:rFonts w:ascii="Times New Roman" w:hAnsi="Times New Roman" w:eastAsia="宋体"/>
                <w:b w:val="0"/>
                <w:sz w:val="21"/>
              </w:rPr>
              <w:t>651</w:t>
            </w:r>
          </w:p>
        </w:tc>
        <w:tc>
          <w:tcPr>
            <w:tcW w:w="1455" w:type="dxa"/>
            <w:vAlign w:val="center"/>
          </w:tcPr>
          <w:p w14:paraId="1F1DDAAC">
            <w:pPr>
              <w:spacing w:before="0" w:after="0" w:line="320" w:lineRule="exact"/>
              <w:jc w:val="left"/>
            </w:pPr>
            <w:r>
              <w:rPr>
                <w:rFonts w:ascii="Times New Roman" w:hAnsi="Times New Roman" w:eastAsia="宋体"/>
                <w:b w:val="0"/>
                <w:sz w:val="21"/>
              </w:rPr>
              <w:t>99</w:t>
            </w:r>
          </w:p>
        </w:tc>
        <w:tc>
          <w:tcPr>
            <w:tcW w:w="1455" w:type="dxa"/>
            <w:vAlign w:val="center"/>
          </w:tcPr>
          <w:p w14:paraId="26916157">
            <w:pPr>
              <w:spacing w:before="0" w:after="0" w:line="320" w:lineRule="exact"/>
              <w:jc w:val="left"/>
            </w:pPr>
            <w:r>
              <w:rPr>
                <w:rFonts w:ascii="Times New Roman" w:hAnsi="Times New Roman" w:eastAsia="宋体"/>
                <w:b w:val="0"/>
                <w:sz w:val="21"/>
              </w:rPr>
              <w:t>36</w:t>
            </w:r>
          </w:p>
        </w:tc>
        <w:tc>
          <w:tcPr>
            <w:tcW w:w="1455" w:type="dxa"/>
            <w:vAlign w:val="center"/>
          </w:tcPr>
          <w:p w14:paraId="748BE0D6">
            <w:pPr>
              <w:spacing w:before="0" w:after="0" w:line="320" w:lineRule="exact"/>
              <w:jc w:val="left"/>
            </w:pPr>
            <w:r>
              <w:rPr>
                <w:rFonts w:ascii="Times New Roman" w:hAnsi="Times New Roman" w:eastAsia="宋体"/>
                <w:b w:val="0"/>
                <w:sz w:val="21"/>
              </w:rPr>
              <w:t>6</w:t>
            </w:r>
          </w:p>
        </w:tc>
      </w:tr>
      <w:tr w14:paraId="4A61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FA26410">
            <w:pPr>
              <w:spacing w:before="0" w:after="0" w:line="320" w:lineRule="exact"/>
              <w:jc w:val="left"/>
            </w:pPr>
            <w:r>
              <w:rPr>
                <w:rFonts w:ascii="Times New Roman" w:hAnsi="Times New Roman" w:eastAsia="宋体"/>
                <w:b w:val="0"/>
                <w:sz w:val="21"/>
              </w:rPr>
              <w:t>1 跳</w:t>
            </w:r>
          </w:p>
        </w:tc>
        <w:tc>
          <w:tcPr>
            <w:tcW w:w="1455" w:type="dxa"/>
            <w:vAlign w:val="center"/>
          </w:tcPr>
          <w:p w14:paraId="68C27B45">
            <w:pPr>
              <w:spacing w:before="0" w:after="0" w:line="320" w:lineRule="exact"/>
              <w:jc w:val="left"/>
            </w:pPr>
            <w:r>
              <w:rPr>
                <w:rFonts w:ascii="Times New Roman" w:hAnsi="Times New Roman" w:eastAsia="宋体"/>
                <w:b w:val="0"/>
                <w:sz w:val="21"/>
              </w:rPr>
              <w:t>3,841</w:t>
            </w:r>
          </w:p>
        </w:tc>
        <w:tc>
          <w:tcPr>
            <w:tcW w:w="1455" w:type="dxa"/>
            <w:vAlign w:val="center"/>
          </w:tcPr>
          <w:p w14:paraId="48A8CEEA">
            <w:pPr>
              <w:spacing w:before="0" w:after="0" w:line="320" w:lineRule="exact"/>
              <w:jc w:val="left"/>
            </w:pPr>
            <w:r>
              <w:rPr>
                <w:rFonts w:ascii="Times New Roman" w:hAnsi="Times New Roman" w:eastAsia="宋体"/>
                <w:b w:val="0"/>
                <w:sz w:val="21"/>
              </w:rPr>
              <w:t>609</w:t>
            </w:r>
          </w:p>
        </w:tc>
        <w:tc>
          <w:tcPr>
            <w:tcW w:w="1455" w:type="dxa"/>
            <w:vAlign w:val="center"/>
          </w:tcPr>
          <w:p w14:paraId="67BDE75B">
            <w:pPr>
              <w:spacing w:before="0" w:after="0" w:line="320" w:lineRule="exact"/>
              <w:jc w:val="left"/>
            </w:pPr>
            <w:r>
              <w:rPr>
                <w:rFonts w:ascii="Times New Roman" w:hAnsi="Times New Roman" w:eastAsia="宋体"/>
                <w:b w:val="0"/>
                <w:sz w:val="21"/>
              </w:rPr>
              <w:t>170</w:t>
            </w:r>
          </w:p>
        </w:tc>
        <w:tc>
          <w:tcPr>
            <w:tcW w:w="1455" w:type="dxa"/>
            <w:vAlign w:val="center"/>
          </w:tcPr>
          <w:p w14:paraId="39DFDF15">
            <w:pPr>
              <w:spacing w:before="0" w:after="0" w:line="320" w:lineRule="exact"/>
              <w:jc w:val="left"/>
            </w:pPr>
            <w:r>
              <w:rPr>
                <w:rFonts w:ascii="Times New Roman" w:hAnsi="Times New Roman" w:eastAsia="宋体"/>
                <w:b w:val="0"/>
                <w:sz w:val="21"/>
              </w:rPr>
              <w:t>34</w:t>
            </w:r>
          </w:p>
        </w:tc>
        <w:tc>
          <w:tcPr>
            <w:tcW w:w="1455" w:type="dxa"/>
            <w:vAlign w:val="center"/>
          </w:tcPr>
          <w:p w14:paraId="1297C035">
            <w:pPr>
              <w:spacing w:before="0" w:after="0" w:line="320" w:lineRule="exact"/>
              <w:jc w:val="left"/>
            </w:pPr>
            <w:r>
              <w:rPr>
                <w:rFonts w:ascii="Times New Roman" w:hAnsi="Times New Roman" w:eastAsia="宋体"/>
                <w:b w:val="0"/>
                <w:sz w:val="21"/>
              </w:rPr>
              <w:t>8</w:t>
            </w:r>
          </w:p>
        </w:tc>
      </w:tr>
    </w:tbl>
    <w:p w14:paraId="3C40506A">
      <w:pPr>
        <w:spacing w:before="40" w:after="120" w:line="400" w:lineRule="exact"/>
        <w:jc w:val="center"/>
      </w:pPr>
      <w:r>
        <w:rPr>
          <w:rFonts w:ascii="Times New Roman" w:hAnsi="Times New Roman" w:eastAsia="宋体"/>
          <w:b/>
          <w:sz w:val="21"/>
        </w:rPr>
        <w:t>表 6.2　500 m 网格 0 跳 / 1 跳错位分类对比</w:t>
      </w:r>
    </w:p>
    <w:p w14:paraId="0A926624">
      <w:pPr>
        <w:spacing w:before="0" w:after="0" w:line="400" w:lineRule="exact"/>
        <w:ind w:firstLine="480"/>
        <w:jc w:val="left"/>
      </w:pPr>
      <w:r>
        <w:rPr>
          <w:rFonts w:ascii="Times New Roman" w:hAnsi="Times New Roman" w:eastAsia="宋体"/>
          <w:b w:val="0"/>
          <w:sz w:val="24"/>
        </w:rPr>
        <w:t>南海区有效网格共 4,662 个。表 6.2 显示，知识图谱从 0 跳扩展到 1 跳后，沉睡潜力网格由 99 个增加到 170 个，核心耦合网格由 6 个增加到 8 个，空心景点网格则略降为 34 个。这个变化说明，部分地点虽然没有直接命中文化载体名称，但可以通过图谱关系连接到相关人物、事件、技艺和文献，从而显化出原先被低估的文化厚度。</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73"/>
        <w:gridCol w:w="873"/>
        <w:gridCol w:w="873"/>
        <w:gridCol w:w="873"/>
        <w:gridCol w:w="873"/>
        <w:gridCol w:w="873"/>
        <w:gridCol w:w="873"/>
        <w:gridCol w:w="873"/>
        <w:gridCol w:w="873"/>
        <w:gridCol w:w="873"/>
      </w:tblGrid>
      <w:tr w14:paraId="1DBF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73" w:type="dxa"/>
            <w:vAlign w:val="center"/>
          </w:tcPr>
          <w:p w14:paraId="3CE23449">
            <w:pPr>
              <w:spacing w:before="0" w:after="0" w:line="320" w:lineRule="exact"/>
              <w:jc w:val="center"/>
            </w:pPr>
            <w:r>
              <w:rPr>
                <w:rFonts w:ascii="Times New Roman" w:hAnsi="Times New Roman" w:eastAsia="宋体"/>
                <w:b/>
                <w:sz w:val="21"/>
              </w:rPr>
              <w:t>镇街</w:t>
            </w:r>
          </w:p>
        </w:tc>
        <w:tc>
          <w:tcPr>
            <w:tcW w:w="873" w:type="dxa"/>
            <w:vAlign w:val="center"/>
          </w:tcPr>
          <w:p w14:paraId="4AEFB921">
            <w:pPr>
              <w:spacing w:before="0" w:after="0" w:line="320" w:lineRule="exact"/>
              <w:jc w:val="center"/>
            </w:pPr>
            <w:r>
              <w:rPr>
                <w:rFonts w:ascii="Times New Roman" w:hAnsi="Times New Roman" w:eastAsia="宋体"/>
                <w:b/>
                <w:sz w:val="21"/>
              </w:rPr>
              <w:t>网格数</w:t>
            </w:r>
          </w:p>
        </w:tc>
        <w:tc>
          <w:tcPr>
            <w:tcW w:w="873" w:type="dxa"/>
            <w:vAlign w:val="center"/>
          </w:tcPr>
          <w:p w14:paraId="0B3A492B">
            <w:pPr>
              <w:spacing w:before="0" w:after="0" w:line="320" w:lineRule="exact"/>
              <w:jc w:val="center"/>
            </w:pPr>
            <w:r>
              <w:rPr>
                <w:rFonts w:ascii="Times New Roman" w:hAnsi="Times New Roman" w:eastAsia="宋体"/>
                <w:b/>
                <w:sz w:val="21"/>
              </w:rPr>
              <w:t>文化载体数</w:t>
            </w:r>
          </w:p>
        </w:tc>
        <w:tc>
          <w:tcPr>
            <w:tcW w:w="873" w:type="dxa"/>
            <w:vAlign w:val="center"/>
          </w:tcPr>
          <w:p w14:paraId="38B094A9">
            <w:pPr>
              <w:spacing w:before="0" w:after="0" w:line="320" w:lineRule="exact"/>
              <w:jc w:val="center"/>
            </w:pPr>
            <w:r>
              <w:rPr>
                <w:rFonts w:ascii="Times New Roman" w:hAnsi="Times New Roman" w:eastAsia="宋体"/>
                <w:b/>
                <w:sz w:val="21"/>
              </w:rPr>
              <w:t>POI 数</w:t>
            </w:r>
          </w:p>
        </w:tc>
        <w:tc>
          <w:tcPr>
            <w:tcW w:w="873" w:type="dxa"/>
            <w:vAlign w:val="center"/>
          </w:tcPr>
          <w:p w14:paraId="1F5E6CB1">
            <w:pPr>
              <w:spacing w:before="0" w:after="0" w:line="320" w:lineRule="exact"/>
              <w:jc w:val="center"/>
            </w:pPr>
            <w:r>
              <w:rPr>
                <w:rFonts w:ascii="Times New Roman" w:hAnsi="Times New Roman" w:eastAsia="宋体"/>
                <w:b/>
                <w:sz w:val="21"/>
              </w:rPr>
              <w:t>C（1 跳）均值</w:t>
            </w:r>
          </w:p>
        </w:tc>
        <w:tc>
          <w:tcPr>
            <w:tcW w:w="873" w:type="dxa"/>
            <w:vAlign w:val="center"/>
          </w:tcPr>
          <w:p w14:paraId="30E6EE4C">
            <w:pPr>
              <w:spacing w:before="0" w:after="0" w:line="320" w:lineRule="exact"/>
              <w:jc w:val="center"/>
            </w:pPr>
            <w:r>
              <w:rPr>
                <w:rFonts w:ascii="Times New Roman" w:hAnsi="Times New Roman" w:eastAsia="宋体"/>
                <w:b/>
                <w:sz w:val="21"/>
              </w:rPr>
              <w:t>T 均值</w:t>
            </w:r>
          </w:p>
        </w:tc>
        <w:tc>
          <w:tcPr>
            <w:tcW w:w="873" w:type="dxa"/>
            <w:vAlign w:val="center"/>
          </w:tcPr>
          <w:p w14:paraId="099496F5">
            <w:pPr>
              <w:spacing w:before="0" w:after="0" w:line="320" w:lineRule="exact"/>
              <w:jc w:val="center"/>
            </w:pPr>
            <w:r>
              <w:rPr>
                <w:rFonts w:ascii="Times New Roman" w:hAnsi="Times New Roman" w:eastAsia="宋体"/>
                <w:b/>
                <w:sz w:val="21"/>
              </w:rPr>
              <w:t>M（1 跳）均值</w:t>
            </w:r>
          </w:p>
        </w:tc>
        <w:tc>
          <w:tcPr>
            <w:tcW w:w="873" w:type="dxa"/>
            <w:vAlign w:val="center"/>
          </w:tcPr>
          <w:p w14:paraId="633697DF">
            <w:pPr>
              <w:spacing w:before="0" w:after="0" w:line="320" w:lineRule="exact"/>
              <w:jc w:val="center"/>
            </w:pPr>
            <w:r>
              <w:rPr>
                <w:rFonts w:ascii="Times New Roman" w:hAnsi="Times New Roman" w:eastAsia="宋体"/>
                <w:b/>
                <w:sz w:val="21"/>
              </w:rPr>
              <w:t>1 跳沉睡</w:t>
            </w:r>
          </w:p>
        </w:tc>
        <w:tc>
          <w:tcPr>
            <w:tcW w:w="873" w:type="dxa"/>
            <w:vAlign w:val="center"/>
          </w:tcPr>
          <w:p w14:paraId="014EBEC3">
            <w:pPr>
              <w:spacing w:before="0" w:after="0" w:line="320" w:lineRule="exact"/>
              <w:jc w:val="center"/>
            </w:pPr>
            <w:r>
              <w:rPr>
                <w:rFonts w:ascii="Times New Roman" w:hAnsi="Times New Roman" w:eastAsia="宋体"/>
                <w:b/>
                <w:sz w:val="21"/>
              </w:rPr>
              <w:t>1 跳空心</w:t>
            </w:r>
          </w:p>
        </w:tc>
        <w:tc>
          <w:tcPr>
            <w:tcW w:w="873" w:type="dxa"/>
            <w:vAlign w:val="center"/>
          </w:tcPr>
          <w:p w14:paraId="426E6C6F">
            <w:pPr>
              <w:spacing w:before="0" w:after="0" w:line="320" w:lineRule="exact"/>
              <w:jc w:val="center"/>
            </w:pPr>
            <w:r>
              <w:rPr>
                <w:rFonts w:ascii="Times New Roman" w:hAnsi="Times New Roman" w:eastAsia="宋体"/>
                <w:b/>
                <w:sz w:val="21"/>
              </w:rPr>
              <w:t>1 跳核心</w:t>
            </w:r>
          </w:p>
        </w:tc>
      </w:tr>
      <w:tr w14:paraId="5E0E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73" w:type="dxa"/>
            <w:vAlign w:val="center"/>
          </w:tcPr>
          <w:p w14:paraId="0CAA4B38">
            <w:pPr>
              <w:spacing w:before="0" w:after="0" w:line="320" w:lineRule="exact"/>
              <w:jc w:val="left"/>
            </w:pPr>
            <w:r>
              <w:rPr>
                <w:rFonts w:ascii="Times New Roman" w:hAnsi="Times New Roman" w:eastAsia="宋体"/>
                <w:b w:val="0"/>
                <w:sz w:val="21"/>
              </w:rPr>
              <w:t>西樵镇</w:t>
            </w:r>
          </w:p>
        </w:tc>
        <w:tc>
          <w:tcPr>
            <w:tcW w:w="873" w:type="dxa"/>
            <w:vAlign w:val="center"/>
          </w:tcPr>
          <w:p w14:paraId="011DFE7B">
            <w:pPr>
              <w:spacing w:before="0" w:after="0" w:line="320" w:lineRule="exact"/>
              <w:jc w:val="left"/>
            </w:pPr>
            <w:r>
              <w:rPr>
                <w:rFonts w:ascii="Times New Roman" w:hAnsi="Times New Roman" w:eastAsia="宋体"/>
                <w:b w:val="0"/>
                <w:sz w:val="21"/>
              </w:rPr>
              <w:t>715</w:t>
            </w:r>
          </w:p>
        </w:tc>
        <w:tc>
          <w:tcPr>
            <w:tcW w:w="873" w:type="dxa"/>
            <w:vAlign w:val="center"/>
          </w:tcPr>
          <w:p w14:paraId="5A3D9CBD">
            <w:pPr>
              <w:spacing w:before="0" w:after="0" w:line="320" w:lineRule="exact"/>
              <w:jc w:val="left"/>
            </w:pPr>
            <w:r>
              <w:rPr>
                <w:rFonts w:ascii="Times New Roman" w:hAnsi="Times New Roman" w:eastAsia="宋体"/>
                <w:b w:val="0"/>
                <w:sz w:val="21"/>
              </w:rPr>
              <w:t>95</w:t>
            </w:r>
          </w:p>
        </w:tc>
        <w:tc>
          <w:tcPr>
            <w:tcW w:w="873" w:type="dxa"/>
            <w:vAlign w:val="center"/>
          </w:tcPr>
          <w:p w14:paraId="11B8A4A0">
            <w:pPr>
              <w:spacing w:before="0" w:after="0" w:line="320" w:lineRule="exact"/>
              <w:jc w:val="left"/>
            </w:pPr>
            <w:r>
              <w:rPr>
                <w:rFonts w:ascii="Times New Roman" w:hAnsi="Times New Roman" w:eastAsia="宋体"/>
                <w:b w:val="0"/>
                <w:sz w:val="21"/>
              </w:rPr>
              <w:t>1,310</w:t>
            </w:r>
          </w:p>
        </w:tc>
        <w:tc>
          <w:tcPr>
            <w:tcW w:w="873" w:type="dxa"/>
            <w:vAlign w:val="center"/>
          </w:tcPr>
          <w:p w14:paraId="247DDF41">
            <w:pPr>
              <w:spacing w:before="0" w:after="0" w:line="320" w:lineRule="exact"/>
              <w:jc w:val="left"/>
            </w:pPr>
            <w:r>
              <w:rPr>
                <w:rFonts w:ascii="Times New Roman" w:hAnsi="Times New Roman" w:eastAsia="宋体"/>
                <w:b w:val="0"/>
                <w:sz w:val="21"/>
              </w:rPr>
              <w:t>11.78</w:t>
            </w:r>
          </w:p>
        </w:tc>
        <w:tc>
          <w:tcPr>
            <w:tcW w:w="873" w:type="dxa"/>
            <w:vAlign w:val="center"/>
          </w:tcPr>
          <w:p w14:paraId="042050F8">
            <w:pPr>
              <w:spacing w:before="0" w:after="0" w:line="320" w:lineRule="exact"/>
              <w:jc w:val="left"/>
            </w:pPr>
            <w:r>
              <w:rPr>
                <w:rFonts w:ascii="Times New Roman" w:hAnsi="Times New Roman" w:eastAsia="宋体"/>
                <w:b w:val="0"/>
                <w:sz w:val="21"/>
              </w:rPr>
              <w:t>6.55</w:t>
            </w:r>
          </w:p>
        </w:tc>
        <w:tc>
          <w:tcPr>
            <w:tcW w:w="873" w:type="dxa"/>
            <w:vAlign w:val="center"/>
          </w:tcPr>
          <w:p w14:paraId="43F30E5A">
            <w:pPr>
              <w:spacing w:before="0" w:after="0" w:line="320" w:lineRule="exact"/>
              <w:jc w:val="left"/>
            </w:pPr>
            <w:r>
              <w:rPr>
                <w:rFonts w:ascii="Times New Roman" w:hAnsi="Times New Roman" w:eastAsia="宋体"/>
                <w:b w:val="0"/>
                <w:sz w:val="21"/>
              </w:rPr>
              <w:t>−5.23</w:t>
            </w:r>
          </w:p>
        </w:tc>
        <w:tc>
          <w:tcPr>
            <w:tcW w:w="873" w:type="dxa"/>
            <w:vAlign w:val="center"/>
          </w:tcPr>
          <w:p w14:paraId="33C299C6">
            <w:pPr>
              <w:spacing w:before="0" w:after="0" w:line="320" w:lineRule="exact"/>
              <w:jc w:val="left"/>
            </w:pPr>
            <w:r>
              <w:rPr>
                <w:rFonts w:ascii="Times New Roman" w:hAnsi="Times New Roman" w:eastAsia="宋体"/>
                <w:b w:val="0"/>
                <w:sz w:val="21"/>
              </w:rPr>
              <w:t>89</w:t>
            </w:r>
          </w:p>
        </w:tc>
        <w:tc>
          <w:tcPr>
            <w:tcW w:w="873" w:type="dxa"/>
            <w:vAlign w:val="center"/>
          </w:tcPr>
          <w:p w14:paraId="73F040D5">
            <w:pPr>
              <w:spacing w:before="0" w:after="0" w:line="320" w:lineRule="exact"/>
              <w:jc w:val="left"/>
            </w:pPr>
            <w:r>
              <w:rPr>
                <w:rFonts w:ascii="Times New Roman" w:hAnsi="Times New Roman" w:eastAsia="宋体"/>
                <w:b w:val="0"/>
                <w:sz w:val="21"/>
              </w:rPr>
              <w:t>4</w:t>
            </w:r>
          </w:p>
        </w:tc>
        <w:tc>
          <w:tcPr>
            <w:tcW w:w="873" w:type="dxa"/>
            <w:vAlign w:val="center"/>
          </w:tcPr>
          <w:p w14:paraId="6BCA8FAA">
            <w:pPr>
              <w:spacing w:before="0" w:after="0" w:line="320" w:lineRule="exact"/>
              <w:jc w:val="left"/>
            </w:pPr>
            <w:r>
              <w:rPr>
                <w:rFonts w:ascii="Times New Roman" w:hAnsi="Times New Roman" w:eastAsia="宋体"/>
                <w:b w:val="0"/>
                <w:sz w:val="21"/>
              </w:rPr>
              <w:t>6</w:t>
            </w:r>
          </w:p>
        </w:tc>
      </w:tr>
      <w:tr w14:paraId="4218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73" w:type="dxa"/>
            <w:vAlign w:val="center"/>
          </w:tcPr>
          <w:p w14:paraId="0942AAE9">
            <w:pPr>
              <w:spacing w:before="0" w:after="0" w:line="320" w:lineRule="exact"/>
              <w:jc w:val="left"/>
            </w:pPr>
            <w:r>
              <w:rPr>
                <w:rFonts w:ascii="Times New Roman" w:hAnsi="Times New Roman" w:eastAsia="宋体"/>
                <w:b w:val="0"/>
                <w:sz w:val="21"/>
              </w:rPr>
              <w:t>九江镇</w:t>
            </w:r>
          </w:p>
        </w:tc>
        <w:tc>
          <w:tcPr>
            <w:tcW w:w="873" w:type="dxa"/>
            <w:vAlign w:val="center"/>
          </w:tcPr>
          <w:p w14:paraId="237066AD">
            <w:pPr>
              <w:spacing w:before="0" w:after="0" w:line="320" w:lineRule="exact"/>
              <w:jc w:val="left"/>
            </w:pPr>
            <w:r>
              <w:rPr>
                <w:rFonts w:ascii="Times New Roman" w:hAnsi="Times New Roman" w:eastAsia="宋体"/>
                <w:b w:val="0"/>
                <w:sz w:val="21"/>
              </w:rPr>
              <w:t>386</w:t>
            </w:r>
          </w:p>
        </w:tc>
        <w:tc>
          <w:tcPr>
            <w:tcW w:w="873" w:type="dxa"/>
            <w:vAlign w:val="center"/>
          </w:tcPr>
          <w:p w14:paraId="2BAF0346">
            <w:pPr>
              <w:spacing w:before="0" w:after="0" w:line="320" w:lineRule="exact"/>
              <w:jc w:val="left"/>
            </w:pPr>
            <w:r>
              <w:rPr>
                <w:rFonts w:ascii="Times New Roman" w:hAnsi="Times New Roman" w:eastAsia="宋体"/>
                <w:b w:val="0"/>
                <w:sz w:val="21"/>
              </w:rPr>
              <w:t>34</w:t>
            </w:r>
          </w:p>
        </w:tc>
        <w:tc>
          <w:tcPr>
            <w:tcW w:w="873" w:type="dxa"/>
            <w:vAlign w:val="center"/>
          </w:tcPr>
          <w:p w14:paraId="52270393">
            <w:pPr>
              <w:spacing w:before="0" w:after="0" w:line="320" w:lineRule="exact"/>
              <w:jc w:val="left"/>
            </w:pPr>
            <w:r>
              <w:rPr>
                <w:rFonts w:ascii="Times New Roman" w:hAnsi="Times New Roman" w:eastAsia="宋体"/>
                <w:b w:val="0"/>
                <w:sz w:val="21"/>
              </w:rPr>
              <w:t>531</w:t>
            </w:r>
          </w:p>
        </w:tc>
        <w:tc>
          <w:tcPr>
            <w:tcW w:w="873" w:type="dxa"/>
            <w:vAlign w:val="center"/>
          </w:tcPr>
          <w:p w14:paraId="15F60CAA">
            <w:pPr>
              <w:spacing w:before="0" w:after="0" w:line="320" w:lineRule="exact"/>
              <w:jc w:val="left"/>
            </w:pPr>
            <w:r>
              <w:rPr>
                <w:rFonts w:ascii="Times New Roman" w:hAnsi="Times New Roman" w:eastAsia="宋体"/>
                <w:b w:val="0"/>
                <w:sz w:val="21"/>
              </w:rPr>
              <w:t>6.17</w:t>
            </w:r>
          </w:p>
        </w:tc>
        <w:tc>
          <w:tcPr>
            <w:tcW w:w="873" w:type="dxa"/>
            <w:vAlign w:val="center"/>
          </w:tcPr>
          <w:p w14:paraId="6E05522A">
            <w:pPr>
              <w:spacing w:before="0" w:after="0" w:line="320" w:lineRule="exact"/>
              <w:jc w:val="left"/>
            </w:pPr>
            <w:r>
              <w:rPr>
                <w:rFonts w:ascii="Times New Roman" w:hAnsi="Times New Roman" w:eastAsia="宋体"/>
                <w:b w:val="0"/>
                <w:sz w:val="21"/>
              </w:rPr>
              <w:t>5.70</w:t>
            </w:r>
          </w:p>
        </w:tc>
        <w:tc>
          <w:tcPr>
            <w:tcW w:w="873" w:type="dxa"/>
            <w:vAlign w:val="center"/>
          </w:tcPr>
          <w:p w14:paraId="100CB18A">
            <w:pPr>
              <w:spacing w:before="0" w:after="0" w:line="320" w:lineRule="exact"/>
              <w:jc w:val="left"/>
            </w:pPr>
            <w:r>
              <w:rPr>
                <w:rFonts w:ascii="Times New Roman" w:hAnsi="Times New Roman" w:eastAsia="宋体"/>
                <w:b w:val="0"/>
                <w:sz w:val="21"/>
              </w:rPr>
              <w:t>−0.47</w:t>
            </w:r>
          </w:p>
        </w:tc>
        <w:tc>
          <w:tcPr>
            <w:tcW w:w="873" w:type="dxa"/>
            <w:vAlign w:val="center"/>
          </w:tcPr>
          <w:p w14:paraId="15EBDB71">
            <w:pPr>
              <w:spacing w:before="0" w:after="0" w:line="320" w:lineRule="exact"/>
              <w:jc w:val="left"/>
            </w:pPr>
            <w:r>
              <w:rPr>
                <w:rFonts w:ascii="Times New Roman" w:hAnsi="Times New Roman" w:eastAsia="宋体"/>
                <w:b w:val="0"/>
                <w:sz w:val="21"/>
              </w:rPr>
              <w:t>23</w:t>
            </w:r>
          </w:p>
        </w:tc>
        <w:tc>
          <w:tcPr>
            <w:tcW w:w="873" w:type="dxa"/>
            <w:vAlign w:val="center"/>
          </w:tcPr>
          <w:p w14:paraId="1EA48146">
            <w:pPr>
              <w:spacing w:before="0" w:after="0" w:line="320" w:lineRule="exact"/>
              <w:jc w:val="left"/>
            </w:pPr>
            <w:r>
              <w:rPr>
                <w:rFonts w:ascii="Times New Roman" w:hAnsi="Times New Roman" w:eastAsia="宋体"/>
                <w:b w:val="0"/>
                <w:sz w:val="21"/>
              </w:rPr>
              <w:t>0</w:t>
            </w:r>
          </w:p>
        </w:tc>
        <w:tc>
          <w:tcPr>
            <w:tcW w:w="873" w:type="dxa"/>
            <w:vAlign w:val="center"/>
          </w:tcPr>
          <w:p w14:paraId="58AD9A6E">
            <w:pPr>
              <w:spacing w:before="0" w:after="0" w:line="320" w:lineRule="exact"/>
              <w:jc w:val="left"/>
            </w:pPr>
            <w:r>
              <w:rPr>
                <w:rFonts w:ascii="Times New Roman" w:hAnsi="Times New Roman" w:eastAsia="宋体"/>
                <w:b w:val="0"/>
                <w:sz w:val="21"/>
              </w:rPr>
              <w:t>1</w:t>
            </w:r>
          </w:p>
        </w:tc>
      </w:tr>
      <w:tr w14:paraId="3BDD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73" w:type="dxa"/>
            <w:vAlign w:val="center"/>
          </w:tcPr>
          <w:p w14:paraId="0E8E9C5B">
            <w:pPr>
              <w:spacing w:before="0" w:after="0" w:line="320" w:lineRule="exact"/>
              <w:jc w:val="left"/>
            </w:pPr>
            <w:r>
              <w:rPr>
                <w:rFonts w:ascii="Times New Roman" w:hAnsi="Times New Roman" w:eastAsia="宋体"/>
                <w:b w:val="0"/>
                <w:sz w:val="21"/>
              </w:rPr>
              <w:t>丹灶镇</w:t>
            </w:r>
          </w:p>
        </w:tc>
        <w:tc>
          <w:tcPr>
            <w:tcW w:w="873" w:type="dxa"/>
            <w:vAlign w:val="center"/>
          </w:tcPr>
          <w:p w14:paraId="4CADF435">
            <w:pPr>
              <w:spacing w:before="0" w:after="0" w:line="320" w:lineRule="exact"/>
              <w:jc w:val="left"/>
            </w:pPr>
            <w:r>
              <w:rPr>
                <w:rFonts w:ascii="Times New Roman" w:hAnsi="Times New Roman" w:eastAsia="宋体"/>
                <w:b w:val="0"/>
                <w:sz w:val="21"/>
              </w:rPr>
              <w:t>580</w:t>
            </w:r>
          </w:p>
        </w:tc>
        <w:tc>
          <w:tcPr>
            <w:tcW w:w="873" w:type="dxa"/>
            <w:vAlign w:val="center"/>
          </w:tcPr>
          <w:p w14:paraId="4ABE8088">
            <w:pPr>
              <w:spacing w:before="0" w:after="0" w:line="320" w:lineRule="exact"/>
              <w:jc w:val="left"/>
            </w:pPr>
            <w:r>
              <w:rPr>
                <w:rFonts w:ascii="Times New Roman" w:hAnsi="Times New Roman" w:eastAsia="宋体"/>
                <w:b w:val="0"/>
                <w:sz w:val="21"/>
              </w:rPr>
              <w:t>32</w:t>
            </w:r>
          </w:p>
        </w:tc>
        <w:tc>
          <w:tcPr>
            <w:tcW w:w="873" w:type="dxa"/>
            <w:vAlign w:val="center"/>
          </w:tcPr>
          <w:p w14:paraId="579731E3">
            <w:pPr>
              <w:spacing w:before="0" w:after="0" w:line="320" w:lineRule="exact"/>
              <w:jc w:val="left"/>
            </w:pPr>
            <w:r>
              <w:rPr>
                <w:rFonts w:ascii="Times New Roman" w:hAnsi="Times New Roman" w:eastAsia="宋体"/>
                <w:b w:val="0"/>
                <w:sz w:val="21"/>
              </w:rPr>
              <w:t>715</w:t>
            </w:r>
          </w:p>
        </w:tc>
        <w:tc>
          <w:tcPr>
            <w:tcW w:w="873" w:type="dxa"/>
            <w:vAlign w:val="center"/>
          </w:tcPr>
          <w:p w14:paraId="5F298A8F">
            <w:pPr>
              <w:spacing w:before="0" w:after="0" w:line="320" w:lineRule="exact"/>
              <w:jc w:val="left"/>
            </w:pPr>
            <w:r>
              <w:rPr>
                <w:rFonts w:ascii="Times New Roman" w:hAnsi="Times New Roman" w:eastAsia="宋体"/>
                <w:b w:val="0"/>
                <w:sz w:val="21"/>
              </w:rPr>
              <w:t>4.36</w:t>
            </w:r>
          </w:p>
        </w:tc>
        <w:tc>
          <w:tcPr>
            <w:tcW w:w="873" w:type="dxa"/>
            <w:vAlign w:val="center"/>
          </w:tcPr>
          <w:p w14:paraId="32217B30">
            <w:pPr>
              <w:spacing w:before="0" w:after="0" w:line="320" w:lineRule="exact"/>
              <w:jc w:val="left"/>
            </w:pPr>
            <w:r>
              <w:rPr>
                <w:rFonts w:ascii="Times New Roman" w:hAnsi="Times New Roman" w:eastAsia="宋体"/>
                <w:b w:val="0"/>
                <w:sz w:val="21"/>
              </w:rPr>
              <w:t>5.07</w:t>
            </w:r>
          </w:p>
        </w:tc>
        <w:tc>
          <w:tcPr>
            <w:tcW w:w="873" w:type="dxa"/>
            <w:vAlign w:val="center"/>
          </w:tcPr>
          <w:p w14:paraId="53C9C8EC">
            <w:pPr>
              <w:spacing w:before="0" w:after="0" w:line="320" w:lineRule="exact"/>
              <w:jc w:val="left"/>
            </w:pPr>
            <w:r>
              <w:rPr>
                <w:rFonts w:ascii="Times New Roman" w:hAnsi="Times New Roman" w:eastAsia="宋体"/>
                <w:b w:val="0"/>
                <w:sz w:val="21"/>
              </w:rPr>
              <w:t>0.71</w:t>
            </w:r>
          </w:p>
        </w:tc>
        <w:tc>
          <w:tcPr>
            <w:tcW w:w="873" w:type="dxa"/>
            <w:vAlign w:val="center"/>
          </w:tcPr>
          <w:p w14:paraId="2B05BF3D">
            <w:pPr>
              <w:spacing w:before="0" w:after="0" w:line="320" w:lineRule="exact"/>
              <w:jc w:val="left"/>
            </w:pPr>
            <w:r>
              <w:rPr>
                <w:rFonts w:ascii="Times New Roman" w:hAnsi="Times New Roman" w:eastAsia="宋体"/>
                <w:b w:val="0"/>
                <w:sz w:val="21"/>
              </w:rPr>
              <w:t>35</w:t>
            </w:r>
          </w:p>
        </w:tc>
        <w:tc>
          <w:tcPr>
            <w:tcW w:w="873" w:type="dxa"/>
            <w:vAlign w:val="center"/>
          </w:tcPr>
          <w:p w14:paraId="1BE1F227">
            <w:pPr>
              <w:spacing w:before="0" w:after="0" w:line="320" w:lineRule="exact"/>
              <w:jc w:val="left"/>
            </w:pPr>
            <w:r>
              <w:rPr>
                <w:rFonts w:ascii="Times New Roman" w:hAnsi="Times New Roman" w:eastAsia="宋体"/>
                <w:b w:val="0"/>
                <w:sz w:val="21"/>
              </w:rPr>
              <w:t>0</w:t>
            </w:r>
          </w:p>
        </w:tc>
        <w:tc>
          <w:tcPr>
            <w:tcW w:w="873" w:type="dxa"/>
            <w:vAlign w:val="center"/>
          </w:tcPr>
          <w:p w14:paraId="478518A3">
            <w:pPr>
              <w:spacing w:before="0" w:after="0" w:line="320" w:lineRule="exact"/>
              <w:jc w:val="left"/>
            </w:pPr>
            <w:r>
              <w:rPr>
                <w:rFonts w:ascii="Times New Roman" w:hAnsi="Times New Roman" w:eastAsia="宋体"/>
                <w:b w:val="0"/>
                <w:sz w:val="21"/>
              </w:rPr>
              <w:t>0</w:t>
            </w:r>
          </w:p>
        </w:tc>
      </w:tr>
      <w:tr w14:paraId="638D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73" w:type="dxa"/>
            <w:vAlign w:val="center"/>
          </w:tcPr>
          <w:p w14:paraId="04677A73">
            <w:pPr>
              <w:spacing w:before="0" w:after="0" w:line="320" w:lineRule="exact"/>
              <w:jc w:val="left"/>
            </w:pPr>
            <w:r>
              <w:rPr>
                <w:rFonts w:ascii="Times New Roman" w:hAnsi="Times New Roman" w:eastAsia="宋体"/>
                <w:b w:val="0"/>
                <w:sz w:val="21"/>
              </w:rPr>
              <w:t>桂城街道</w:t>
            </w:r>
          </w:p>
        </w:tc>
        <w:tc>
          <w:tcPr>
            <w:tcW w:w="873" w:type="dxa"/>
            <w:vAlign w:val="center"/>
          </w:tcPr>
          <w:p w14:paraId="5C614B4B">
            <w:pPr>
              <w:spacing w:before="0" w:after="0" w:line="320" w:lineRule="exact"/>
              <w:jc w:val="left"/>
            </w:pPr>
            <w:r>
              <w:rPr>
                <w:rFonts w:ascii="Times New Roman" w:hAnsi="Times New Roman" w:eastAsia="宋体"/>
                <w:b w:val="0"/>
                <w:sz w:val="21"/>
              </w:rPr>
              <w:t>333</w:t>
            </w:r>
          </w:p>
        </w:tc>
        <w:tc>
          <w:tcPr>
            <w:tcW w:w="873" w:type="dxa"/>
            <w:vAlign w:val="center"/>
          </w:tcPr>
          <w:p w14:paraId="6A3FFD29">
            <w:pPr>
              <w:spacing w:before="0" w:after="0" w:line="320" w:lineRule="exact"/>
              <w:jc w:val="left"/>
            </w:pPr>
            <w:r>
              <w:rPr>
                <w:rFonts w:ascii="Times New Roman" w:hAnsi="Times New Roman" w:eastAsia="宋体"/>
                <w:b w:val="0"/>
                <w:sz w:val="21"/>
              </w:rPr>
              <w:t>29</w:t>
            </w:r>
          </w:p>
        </w:tc>
        <w:tc>
          <w:tcPr>
            <w:tcW w:w="873" w:type="dxa"/>
            <w:vAlign w:val="center"/>
          </w:tcPr>
          <w:p w14:paraId="1AFE3451">
            <w:pPr>
              <w:spacing w:before="0" w:after="0" w:line="320" w:lineRule="exact"/>
              <w:jc w:val="left"/>
            </w:pPr>
            <w:r>
              <w:rPr>
                <w:rFonts w:ascii="Times New Roman" w:hAnsi="Times New Roman" w:eastAsia="宋体"/>
                <w:b w:val="0"/>
                <w:sz w:val="21"/>
              </w:rPr>
              <w:t>3,859</w:t>
            </w:r>
          </w:p>
        </w:tc>
        <w:tc>
          <w:tcPr>
            <w:tcW w:w="873" w:type="dxa"/>
            <w:vAlign w:val="center"/>
          </w:tcPr>
          <w:p w14:paraId="527250DF">
            <w:pPr>
              <w:spacing w:before="0" w:after="0" w:line="320" w:lineRule="exact"/>
              <w:jc w:val="left"/>
            </w:pPr>
            <w:r>
              <w:rPr>
                <w:rFonts w:ascii="Times New Roman" w:hAnsi="Times New Roman" w:eastAsia="宋体"/>
                <w:b w:val="0"/>
                <w:sz w:val="21"/>
              </w:rPr>
              <w:t>2.15</w:t>
            </w:r>
          </w:p>
        </w:tc>
        <w:tc>
          <w:tcPr>
            <w:tcW w:w="873" w:type="dxa"/>
            <w:vAlign w:val="center"/>
          </w:tcPr>
          <w:p w14:paraId="7758C325">
            <w:pPr>
              <w:spacing w:before="0" w:after="0" w:line="320" w:lineRule="exact"/>
              <w:jc w:val="left"/>
            </w:pPr>
            <w:r>
              <w:rPr>
                <w:rFonts w:ascii="Times New Roman" w:hAnsi="Times New Roman" w:eastAsia="宋体"/>
                <w:b w:val="0"/>
                <w:sz w:val="21"/>
              </w:rPr>
              <w:t>22.28</w:t>
            </w:r>
          </w:p>
        </w:tc>
        <w:tc>
          <w:tcPr>
            <w:tcW w:w="873" w:type="dxa"/>
            <w:vAlign w:val="center"/>
          </w:tcPr>
          <w:p w14:paraId="39EEB3CE">
            <w:pPr>
              <w:spacing w:before="0" w:after="0" w:line="320" w:lineRule="exact"/>
              <w:jc w:val="left"/>
            </w:pPr>
            <w:r>
              <w:rPr>
                <w:rFonts w:ascii="Times New Roman" w:hAnsi="Times New Roman" w:eastAsia="宋体"/>
                <w:b w:val="0"/>
                <w:sz w:val="21"/>
              </w:rPr>
              <w:t>20.13</w:t>
            </w:r>
          </w:p>
        </w:tc>
        <w:tc>
          <w:tcPr>
            <w:tcW w:w="873" w:type="dxa"/>
            <w:vAlign w:val="center"/>
          </w:tcPr>
          <w:p w14:paraId="02085D8F">
            <w:pPr>
              <w:spacing w:before="0" w:after="0" w:line="320" w:lineRule="exact"/>
              <w:jc w:val="left"/>
            </w:pPr>
            <w:r>
              <w:rPr>
                <w:rFonts w:ascii="Times New Roman" w:hAnsi="Times New Roman" w:eastAsia="宋体"/>
                <w:b w:val="0"/>
                <w:sz w:val="21"/>
              </w:rPr>
              <w:t>7</w:t>
            </w:r>
          </w:p>
        </w:tc>
        <w:tc>
          <w:tcPr>
            <w:tcW w:w="873" w:type="dxa"/>
            <w:vAlign w:val="center"/>
          </w:tcPr>
          <w:p w14:paraId="4F0CB2D4">
            <w:pPr>
              <w:spacing w:before="0" w:after="0" w:line="320" w:lineRule="exact"/>
              <w:jc w:val="left"/>
            </w:pPr>
            <w:r>
              <w:rPr>
                <w:rFonts w:ascii="Times New Roman" w:hAnsi="Times New Roman" w:eastAsia="宋体"/>
                <w:b w:val="0"/>
                <w:sz w:val="21"/>
              </w:rPr>
              <w:t>16</w:t>
            </w:r>
          </w:p>
        </w:tc>
        <w:tc>
          <w:tcPr>
            <w:tcW w:w="873" w:type="dxa"/>
            <w:vAlign w:val="center"/>
          </w:tcPr>
          <w:p w14:paraId="5D351844">
            <w:pPr>
              <w:spacing w:before="0" w:after="0" w:line="320" w:lineRule="exact"/>
              <w:jc w:val="left"/>
            </w:pPr>
            <w:r>
              <w:rPr>
                <w:rFonts w:ascii="Times New Roman" w:hAnsi="Times New Roman" w:eastAsia="宋体"/>
                <w:b w:val="0"/>
                <w:sz w:val="21"/>
              </w:rPr>
              <w:t>0</w:t>
            </w:r>
          </w:p>
        </w:tc>
      </w:tr>
      <w:tr w14:paraId="5343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73" w:type="dxa"/>
            <w:vAlign w:val="center"/>
          </w:tcPr>
          <w:p w14:paraId="2C947CDA">
            <w:pPr>
              <w:spacing w:before="0" w:after="0" w:line="320" w:lineRule="exact"/>
              <w:jc w:val="left"/>
            </w:pPr>
            <w:r>
              <w:rPr>
                <w:rFonts w:ascii="Times New Roman" w:hAnsi="Times New Roman" w:eastAsia="宋体"/>
                <w:b w:val="0"/>
                <w:sz w:val="21"/>
              </w:rPr>
              <w:t>大沥镇</w:t>
            </w:r>
          </w:p>
        </w:tc>
        <w:tc>
          <w:tcPr>
            <w:tcW w:w="873" w:type="dxa"/>
            <w:vAlign w:val="center"/>
          </w:tcPr>
          <w:p w14:paraId="0B107FB6">
            <w:pPr>
              <w:spacing w:before="0" w:after="0" w:line="320" w:lineRule="exact"/>
              <w:jc w:val="left"/>
            </w:pPr>
            <w:r>
              <w:rPr>
                <w:rFonts w:ascii="Times New Roman" w:hAnsi="Times New Roman" w:eastAsia="宋体"/>
                <w:b w:val="0"/>
                <w:sz w:val="21"/>
              </w:rPr>
              <w:t>397</w:t>
            </w:r>
          </w:p>
        </w:tc>
        <w:tc>
          <w:tcPr>
            <w:tcW w:w="873" w:type="dxa"/>
            <w:vAlign w:val="center"/>
          </w:tcPr>
          <w:p w14:paraId="73269563">
            <w:pPr>
              <w:spacing w:before="0" w:after="0" w:line="320" w:lineRule="exact"/>
              <w:jc w:val="left"/>
            </w:pPr>
            <w:r>
              <w:rPr>
                <w:rFonts w:ascii="Times New Roman" w:hAnsi="Times New Roman" w:eastAsia="宋体"/>
                <w:b w:val="0"/>
                <w:sz w:val="21"/>
              </w:rPr>
              <w:t>14</w:t>
            </w:r>
          </w:p>
        </w:tc>
        <w:tc>
          <w:tcPr>
            <w:tcW w:w="873" w:type="dxa"/>
            <w:vAlign w:val="center"/>
          </w:tcPr>
          <w:p w14:paraId="01058077">
            <w:pPr>
              <w:spacing w:before="0" w:after="0" w:line="320" w:lineRule="exact"/>
              <w:jc w:val="left"/>
            </w:pPr>
            <w:r>
              <w:rPr>
                <w:rFonts w:ascii="Times New Roman" w:hAnsi="Times New Roman" w:eastAsia="宋体"/>
                <w:b w:val="0"/>
                <w:sz w:val="21"/>
              </w:rPr>
              <w:t>2,593</w:t>
            </w:r>
          </w:p>
        </w:tc>
        <w:tc>
          <w:tcPr>
            <w:tcW w:w="873" w:type="dxa"/>
            <w:vAlign w:val="center"/>
          </w:tcPr>
          <w:p w14:paraId="31C84DD5">
            <w:pPr>
              <w:spacing w:before="0" w:after="0" w:line="320" w:lineRule="exact"/>
              <w:jc w:val="left"/>
            </w:pPr>
            <w:r>
              <w:rPr>
                <w:rFonts w:ascii="Times New Roman" w:hAnsi="Times New Roman" w:eastAsia="宋体"/>
                <w:b w:val="0"/>
                <w:sz w:val="21"/>
              </w:rPr>
              <w:t>1.73</w:t>
            </w:r>
          </w:p>
        </w:tc>
        <w:tc>
          <w:tcPr>
            <w:tcW w:w="873" w:type="dxa"/>
            <w:vAlign w:val="center"/>
          </w:tcPr>
          <w:p w14:paraId="0637F0A6">
            <w:pPr>
              <w:spacing w:before="0" w:after="0" w:line="320" w:lineRule="exact"/>
              <w:jc w:val="left"/>
            </w:pPr>
            <w:r>
              <w:rPr>
                <w:rFonts w:ascii="Times New Roman" w:hAnsi="Times New Roman" w:eastAsia="宋体"/>
                <w:b w:val="0"/>
                <w:sz w:val="21"/>
              </w:rPr>
              <w:t>17.18</w:t>
            </w:r>
          </w:p>
        </w:tc>
        <w:tc>
          <w:tcPr>
            <w:tcW w:w="873" w:type="dxa"/>
            <w:vAlign w:val="center"/>
          </w:tcPr>
          <w:p w14:paraId="7D034518">
            <w:pPr>
              <w:spacing w:before="0" w:after="0" w:line="320" w:lineRule="exact"/>
              <w:jc w:val="left"/>
            </w:pPr>
            <w:r>
              <w:rPr>
                <w:rFonts w:ascii="Times New Roman" w:hAnsi="Times New Roman" w:eastAsia="宋体"/>
                <w:b w:val="0"/>
                <w:sz w:val="21"/>
              </w:rPr>
              <w:t>15.45</w:t>
            </w:r>
          </w:p>
        </w:tc>
        <w:tc>
          <w:tcPr>
            <w:tcW w:w="873" w:type="dxa"/>
            <w:vAlign w:val="center"/>
          </w:tcPr>
          <w:p w14:paraId="1562D5F8">
            <w:pPr>
              <w:spacing w:before="0" w:after="0" w:line="320" w:lineRule="exact"/>
              <w:jc w:val="left"/>
            </w:pPr>
            <w:r>
              <w:rPr>
                <w:rFonts w:ascii="Times New Roman" w:hAnsi="Times New Roman" w:eastAsia="宋体"/>
                <w:b w:val="0"/>
                <w:sz w:val="21"/>
              </w:rPr>
              <w:t>7</w:t>
            </w:r>
          </w:p>
        </w:tc>
        <w:tc>
          <w:tcPr>
            <w:tcW w:w="873" w:type="dxa"/>
            <w:vAlign w:val="center"/>
          </w:tcPr>
          <w:p w14:paraId="04DF147F">
            <w:pPr>
              <w:spacing w:before="0" w:after="0" w:line="320" w:lineRule="exact"/>
              <w:jc w:val="left"/>
            </w:pPr>
            <w:r>
              <w:rPr>
                <w:rFonts w:ascii="Times New Roman" w:hAnsi="Times New Roman" w:eastAsia="宋体"/>
                <w:b w:val="0"/>
                <w:sz w:val="21"/>
              </w:rPr>
              <w:t>6</w:t>
            </w:r>
          </w:p>
        </w:tc>
        <w:tc>
          <w:tcPr>
            <w:tcW w:w="873" w:type="dxa"/>
            <w:vAlign w:val="center"/>
          </w:tcPr>
          <w:p w14:paraId="112F71D6">
            <w:pPr>
              <w:spacing w:before="0" w:after="0" w:line="320" w:lineRule="exact"/>
              <w:jc w:val="left"/>
            </w:pPr>
            <w:r>
              <w:rPr>
                <w:rFonts w:ascii="Times New Roman" w:hAnsi="Times New Roman" w:eastAsia="宋体"/>
                <w:b w:val="0"/>
                <w:sz w:val="21"/>
              </w:rPr>
              <w:t>1</w:t>
            </w:r>
          </w:p>
        </w:tc>
      </w:tr>
      <w:tr w14:paraId="45B0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73" w:type="dxa"/>
            <w:vAlign w:val="center"/>
          </w:tcPr>
          <w:p w14:paraId="58BA51C5">
            <w:pPr>
              <w:spacing w:before="0" w:after="0" w:line="320" w:lineRule="exact"/>
              <w:jc w:val="left"/>
            </w:pPr>
            <w:r>
              <w:rPr>
                <w:rFonts w:ascii="Times New Roman" w:hAnsi="Times New Roman" w:eastAsia="宋体"/>
                <w:b w:val="0"/>
                <w:sz w:val="21"/>
              </w:rPr>
              <w:t>狮山镇</w:t>
            </w:r>
          </w:p>
        </w:tc>
        <w:tc>
          <w:tcPr>
            <w:tcW w:w="873" w:type="dxa"/>
            <w:vAlign w:val="center"/>
          </w:tcPr>
          <w:p w14:paraId="2EE05184">
            <w:pPr>
              <w:spacing w:before="0" w:after="0" w:line="320" w:lineRule="exact"/>
              <w:jc w:val="left"/>
            </w:pPr>
            <w:r>
              <w:rPr>
                <w:rFonts w:ascii="Times New Roman" w:hAnsi="Times New Roman" w:eastAsia="宋体"/>
                <w:b w:val="0"/>
                <w:sz w:val="21"/>
              </w:rPr>
              <w:t>1,403</w:t>
            </w:r>
          </w:p>
        </w:tc>
        <w:tc>
          <w:tcPr>
            <w:tcW w:w="873" w:type="dxa"/>
            <w:vAlign w:val="center"/>
          </w:tcPr>
          <w:p w14:paraId="643A7318">
            <w:pPr>
              <w:spacing w:before="0" w:after="0" w:line="320" w:lineRule="exact"/>
              <w:jc w:val="left"/>
            </w:pPr>
            <w:r>
              <w:rPr>
                <w:rFonts w:ascii="Times New Roman" w:hAnsi="Times New Roman" w:eastAsia="宋体"/>
                <w:b w:val="0"/>
                <w:sz w:val="21"/>
              </w:rPr>
              <w:t>3</w:t>
            </w:r>
          </w:p>
        </w:tc>
        <w:tc>
          <w:tcPr>
            <w:tcW w:w="873" w:type="dxa"/>
            <w:vAlign w:val="center"/>
          </w:tcPr>
          <w:p w14:paraId="449EB41B">
            <w:pPr>
              <w:spacing w:before="0" w:after="0" w:line="320" w:lineRule="exact"/>
              <w:jc w:val="left"/>
            </w:pPr>
            <w:r>
              <w:rPr>
                <w:rFonts w:ascii="Times New Roman" w:hAnsi="Times New Roman" w:eastAsia="宋体"/>
                <w:b w:val="0"/>
                <w:sz w:val="21"/>
              </w:rPr>
              <w:t>2,567</w:t>
            </w:r>
          </w:p>
        </w:tc>
        <w:tc>
          <w:tcPr>
            <w:tcW w:w="873" w:type="dxa"/>
            <w:vAlign w:val="center"/>
          </w:tcPr>
          <w:p w14:paraId="05F8FF35">
            <w:pPr>
              <w:spacing w:before="0" w:after="0" w:line="320" w:lineRule="exact"/>
              <w:jc w:val="left"/>
            </w:pPr>
            <w:r>
              <w:rPr>
                <w:rFonts w:ascii="Times New Roman" w:hAnsi="Times New Roman" w:eastAsia="宋体"/>
                <w:b w:val="0"/>
                <w:sz w:val="21"/>
              </w:rPr>
              <w:t>0.32</w:t>
            </w:r>
          </w:p>
        </w:tc>
        <w:tc>
          <w:tcPr>
            <w:tcW w:w="873" w:type="dxa"/>
            <w:vAlign w:val="center"/>
          </w:tcPr>
          <w:p w14:paraId="4BBAA743">
            <w:pPr>
              <w:spacing w:before="0" w:after="0" w:line="320" w:lineRule="exact"/>
              <w:jc w:val="left"/>
            </w:pPr>
            <w:r>
              <w:rPr>
                <w:rFonts w:ascii="Times New Roman" w:hAnsi="Times New Roman" w:eastAsia="宋体"/>
                <w:b w:val="0"/>
                <w:sz w:val="21"/>
              </w:rPr>
              <w:t>5.72</w:t>
            </w:r>
          </w:p>
        </w:tc>
        <w:tc>
          <w:tcPr>
            <w:tcW w:w="873" w:type="dxa"/>
            <w:vAlign w:val="center"/>
          </w:tcPr>
          <w:p w14:paraId="5FC4C052">
            <w:pPr>
              <w:spacing w:before="0" w:after="0" w:line="320" w:lineRule="exact"/>
              <w:jc w:val="left"/>
            </w:pPr>
            <w:r>
              <w:rPr>
                <w:rFonts w:ascii="Times New Roman" w:hAnsi="Times New Roman" w:eastAsia="宋体"/>
                <w:b w:val="0"/>
                <w:sz w:val="21"/>
              </w:rPr>
              <w:t>5.40</w:t>
            </w:r>
          </w:p>
        </w:tc>
        <w:tc>
          <w:tcPr>
            <w:tcW w:w="873" w:type="dxa"/>
            <w:vAlign w:val="center"/>
          </w:tcPr>
          <w:p w14:paraId="2E4C998A">
            <w:pPr>
              <w:spacing w:before="0" w:after="0" w:line="320" w:lineRule="exact"/>
              <w:jc w:val="left"/>
            </w:pPr>
            <w:r>
              <w:rPr>
                <w:rFonts w:ascii="Times New Roman" w:hAnsi="Times New Roman" w:eastAsia="宋体"/>
                <w:b w:val="0"/>
                <w:sz w:val="21"/>
              </w:rPr>
              <w:t>6</w:t>
            </w:r>
          </w:p>
        </w:tc>
        <w:tc>
          <w:tcPr>
            <w:tcW w:w="873" w:type="dxa"/>
            <w:vAlign w:val="center"/>
          </w:tcPr>
          <w:p w14:paraId="22370C9A">
            <w:pPr>
              <w:spacing w:before="0" w:after="0" w:line="320" w:lineRule="exact"/>
              <w:jc w:val="left"/>
            </w:pPr>
            <w:r>
              <w:rPr>
                <w:rFonts w:ascii="Times New Roman" w:hAnsi="Times New Roman" w:eastAsia="宋体"/>
                <w:b w:val="0"/>
                <w:sz w:val="21"/>
              </w:rPr>
              <w:t>4</w:t>
            </w:r>
          </w:p>
        </w:tc>
        <w:tc>
          <w:tcPr>
            <w:tcW w:w="873" w:type="dxa"/>
            <w:vAlign w:val="center"/>
          </w:tcPr>
          <w:p w14:paraId="20E7185E">
            <w:pPr>
              <w:spacing w:before="0" w:after="0" w:line="320" w:lineRule="exact"/>
              <w:jc w:val="left"/>
            </w:pPr>
            <w:r>
              <w:rPr>
                <w:rFonts w:ascii="Times New Roman" w:hAnsi="Times New Roman" w:eastAsia="宋体"/>
                <w:b w:val="0"/>
                <w:sz w:val="21"/>
              </w:rPr>
              <w:t>0</w:t>
            </w:r>
          </w:p>
        </w:tc>
      </w:tr>
      <w:tr w14:paraId="269D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73" w:type="dxa"/>
            <w:vAlign w:val="center"/>
          </w:tcPr>
          <w:p w14:paraId="6FD023DB">
            <w:pPr>
              <w:spacing w:before="0" w:after="0" w:line="320" w:lineRule="exact"/>
              <w:jc w:val="left"/>
            </w:pPr>
            <w:r>
              <w:rPr>
                <w:rFonts w:ascii="Times New Roman" w:hAnsi="Times New Roman" w:eastAsia="宋体"/>
                <w:b w:val="0"/>
                <w:sz w:val="21"/>
              </w:rPr>
              <w:t>里水镇</w:t>
            </w:r>
          </w:p>
        </w:tc>
        <w:tc>
          <w:tcPr>
            <w:tcW w:w="873" w:type="dxa"/>
            <w:vAlign w:val="center"/>
          </w:tcPr>
          <w:p w14:paraId="12CB1C4A">
            <w:pPr>
              <w:spacing w:before="0" w:after="0" w:line="320" w:lineRule="exact"/>
              <w:jc w:val="left"/>
            </w:pPr>
            <w:r>
              <w:rPr>
                <w:rFonts w:ascii="Times New Roman" w:hAnsi="Times New Roman" w:eastAsia="宋体"/>
                <w:b w:val="0"/>
                <w:sz w:val="21"/>
              </w:rPr>
              <w:t>619</w:t>
            </w:r>
          </w:p>
        </w:tc>
        <w:tc>
          <w:tcPr>
            <w:tcW w:w="873" w:type="dxa"/>
            <w:vAlign w:val="center"/>
          </w:tcPr>
          <w:p w14:paraId="3DD5CFB5">
            <w:pPr>
              <w:spacing w:before="0" w:after="0" w:line="320" w:lineRule="exact"/>
              <w:jc w:val="left"/>
            </w:pPr>
            <w:r>
              <w:rPr>
                <w:rFonts w:ascii="Times New Roman" w:hAnsi="Times New Roman" w:eastAsia="宋体"/>
                <w:b w:val="0"/>
                <w:sz w:val="21"/>
              </w:rPr>
              <w:t>4</w:t>
            </w:r>
          </w:p>
        </w:tc>
        <w:tc>
          <w:tcPr>
            <w:tcW w:w="873" w:type="dxa"/>
            <w:vAlign w:val="center"/>
          </w:tcPr>
          <w:p w14:paraId="6C78DA74">
            <w:pPr>
              <w:spacing w:before="0" w:after="0" w:line="320" w:lineRule="exact"/>
              <w:jc w:val="left"/>
            </w:pPr>
            <w:r>
              <w:rPr>
                <w:rFonts w:ascii="Times New Roman" w:hAnsi="Times New Roman" w:eastAsia="宋体"/>
                <w:b w:val="0"/>
                <w:sz w:val="21"/>
              </w:rPr>
              <w:t>1,449</w:t>
            </w:r>
          </w:p>
        </w:tc>
        <w:tc>
          <w:tcPr>
            <w:tcW w:w="873" w:type="dxa"/>
            <w:vAlign w:val="center"/>
          </w:tcPr>
          <w:p w14:paraId="6FD2E8F5">
            <w:pPr>
              <w:spacing w:before="0" w:after="0" w:line="320" w:lineRule="exact"/>
              <w:jc w:val="left"/>
            </w:pPr>
            <w:r>
              <w:rPr>
                <w:rFonts w:ascii="Times New Roman" w:hAnsi="Times New Roman" w:eastAsia="宋体"/>
                <w:b w:val="0"/>
                <w:sz w:val="21"/>
              </w:rPr>
              <w:t>0.37</w:t>
            </w:r>
          </w:p>
        </w:tc>
        <w:tc>
          <w:tcPr>
            <w:tcW w:w="873" w:type="dxa"/>
            <w:vAlign w:val="center"/>
          </w:tcPr>
          <w:p w14:paraId="5FAE3ED9">
            <w:pPr>
              <w:spacing w:before="0" w:after="0" w:line="320" w:lineRule="exact"/>
              <w:jc w:val="left"/>
            </w:pPr>
            <w:r>
              <w:rPr>
                <w:rFonts w:ascii="Times New Roman" w:hAnsi="Times New Roman" w:eastAsia="宋体"/>
                <w:b w:val="0"/>
                <w:sz w:val="21"/>
              </w:rPr>
              <w:t>7.59</w:t>
            </w:r>
          </w:p>
        </w:tc>
        <w:tc>
          <w:tcPr>
            <w:tcW w:w="873" w:type="dxa"/>
            <w:vAlign w:val="center"/>
          </w:tcPr>
          <w:p w14:paraId="7DCCC516">
            <w:pPr>
              <w:spacing w:before="0" w:after="0" w:line="320" w:lineRule="exact"/>
              <w:jc w:val="left"/>
            </w:pPr>
            <w:r>
              <w:rPr>
                <w:rFonts w:ascii="Times New Roman" w:hAnsi="Times New Roman" w:eastAsia="宋体"/>
                <w:b w:val="0"/>
                <w:sz w:val="21"/>
              </w:rPr>
              <w:t>7.22</w:t>
            </w:r>
          </w:p>
        </w:tc>
        <w:tc>
          <w:tcPr>
            <w:tcW w:w="873" w:type="dxa"/>
            <w:vAlign w:val="center"/>
          </w:tcPr>
          <w:p w14:paraId="705200E0">
            <w:pPr>
              <w:spacing w:before="0" w:after="0" w:line="320" w:lineRule="exact"/>
              <w:jc w:val="left"/>
            </w:pPr>
            <w:r>
              <w:rPr>
                <w:rFonts w:ascii="Times New Roman" w:hAnsi="Times New Roman" w:eastAsia="宋体"/>
                <w:b w:val="0"/>
                <w:sz w:val="21"/>
              </w:rPr>
              <w:t>3</w:t>
            </w:r>
          </w:p>
        </w:tc>
        <w:tc>
          <w:tcPr>
            <w:tcW w:w="873" w:type="dxa"/>
            <w:vAlign w:val="center"/>
          </w:tcPr>
          <w:p w14:paraId="094B7775">
            <w:pPr>
              <w:spacing w:before="0" w:after="0" w:line="320" w:lineRule="exact"/>
              <w:jc w:val="left"/>
            </w:pPr>
            <w:r>
              <w:rPr>
                <w:rFonts w:ascii="Times New Roman" w:hAnsi="Times New Roman" w:eastAsia="宋体"/>
                <w:b w:val="0"/>
                <w:sz w:val="21"/>
              </w:rPr>
              <w:t>3</w:t>
            </w:r>
          </w:p>
        </w:tc>
        <w:tc>
          <w:tcPr>
            <w:tcW w:w="873" w:type="dxa"/>
            <w:vAlign w:val="center"/>
          </w:tcPr>
          <w:p w14:paraId="460D99B2">
            <w:pPr>
              <w:spacing w:before="0" w:after="0" w:line="320" w:lineRule="exact"/>
              <w:jc w:val="left"/>
            </w:pPr>
            <w:r>
              <w:rPr>
                <w:rFonts w:ascii="Times New Roman" w:hAnsi="Times New Roman" w:eastAsia="宋体"/>
                <w:b w:val="0"/>
                <w:sz w:val="21"/>
              </w:rPr>
              <w:t>0</w:t>
            </w:r>
          </w:p>
        </w:tc>
      </w:tr>
    </w:tbl>
    <w:p w14:paraId="578E8E50">
      <w:pPr>
        <w:spacing w:before="40" w:after="120" w:line="400" w:lineRule="exact"/>
        <w:jc w:val="center"/>
      </w:pPr>
      <w:r>
        <w:rPr>
          <w:rFonts w:ascii="Times New Roman" w:hAnsi="Times New Roman" w:eastAsia="宋体"/>
          <w:b/>
          <w:sz w:val="21"/>
        </w:rPr>
        <w:t>表 6.3　镇街尺度 1 跳知识图谱口径摘要</w:t>
      </w:r>
    </w:p>
    <w:p w14:paraId="6E6FB43E">
      <w:pPr>
        <w:spacing w:before="0" w:after="0" w:line="400" w:lineRule="exact"/>
        <w:ind w:firstLine="480"/>
        <w:jc w:val="left"/>
      </w:pPr>
      <w:r>
        <w:rPr>
          <w:rFonts w:ascii="Times New Roman" w:hAnsi="Times New Roman" w:eastAsia="宋体"/>
          <w:b w:val="0"/>
          <w:sz w:val="24"/>
        </w:rPr>
        <w:t>表 6.3 进一步说明，西樵—九江—丹灶仍是 1 跳沉睡潜力的主体，三镇合计 147 个沉睡潜力网格，占全区 1 跳沉睡潜力网格的 86.5%。其中，西樵镇同时拥有 6 个核心耦合网格，说明其既是文化潜力集中区，也是少数已经形成文化与旅游高值重叠的片区。桂城街道虽然旅游热度最高，但 1 跳口径下仍有 16 个空心景点网格，说明其问题不是“没有旅游”，而是现代旅游供给与本土文化叙事之间仍缺少稳定连接。</w:t>
      </w:r>
    </w:p>
    <w:p w14:paraId="69C281CB">
      <w:pPr>
        <w:spacing w:before="240" w:after="120" w:line="400" w:lineRule="exact"/>
        <w:jc w:val="left"/>
        <w:outlineLvl w:val="1"/>
      </w:pPr>
      <w:bookmarkStart w:id="75" w:name="_Toc20437"/>
      <w:r>
        <w:rPr>
          <w:rFonts w:ascii="Times New Roman" w:hAnsi="Times New Roman" w:eastAsia="黑体"/>
          <w:b/>
          <w:sz w:val="28"/>
        </w:rPr>
        <w:t>6.3 潜力释放条件的相关性分析</w:t>
      </w:r>
      <w:bookmarkEnd w:id="75"/>
    </w:p>
    <w:p w14:paraId="1215688F">
      <w:pPr>
        <w:spacing w:before="240" w:after="120" w:line="400" w:lineRule="exact"/>
        <w:jc w:val="left"/>
        <w:outlineLvl w:val="2"/>
      </w:pPr>
      <w:bookmarkStart w:id="76" w:name="_Toc797"/>
      <w:r>
        <w:rPr>
          <w:rFonts w:ascii="Times New Roman" w:hAnsi="Times New Roman" w:eastAsia="黑体"/>
          <w:b/>
          <w:sz w:val="26"/>
        </w:rPr>
        <w:t>6.3.1 载体级相关矩阵（n = 165）</w:t>
      </w:r>
      <w:bookmarkEnd w:id="76"/>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91"/>
        <w:gridCol w:w="1091"/>
        <w:gridCol w:w="1091"/>
        <w:gridCol w:w="1091"/>
        <w:gridCol w:w="1091"/>
        <w:gridCol w:w="1091"/>
        <w:gridCol w:w="1091"/>
        <w:gridCol w:w="1091"/>
      </w:tblGrid>
      <w:tr w14:paraId="4A32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07D84151">
            <w:pPr>
              <w:spacing w:before="0" w:after="0" w:line="320" w:lineRule="exact"/>
              <w:jc w:val="center"/>
            </w:pPr>
            <w:r>
              <w:rPr>
                <w:rFonts w:ascii="Times New Roman" w:hAnsi="Times New Roman" w:eastAsia="宋体"/>
                <w:b/>
                <w:sz w:val="21"/>
              </w:rPr>
              <w:t>指标</w:t>
            </w:r>
          </w:p>
        </w:tc>
        <w:tc>
          <w:tcPr>
            <w:tcW w:w="1091" w:type="dxa"/>
            <w:vAlign w:val="center"/>
          </w:tcPr>
          <w:p w14:paraId="754020C7">
            <w:pPr>
              <w:spacing w:before="0" w:after="0" w:line="320" w:lineRule="exact"/>
              <w:jc w:val="center"/>
            </w:pPr>
            <w:r>
              <w:rPr>
                <w:rFonts w:ascii="Times New Roman" w:hAnsi="Times New Roman" w:eastAsia="宋体"/>
                <w:b/>
                <w:sz w:val="21"/>
              </w:rPr>
              <w:t>CMI</w:t>
            </w:r>
          </w:p>
        </w:tc>
        <w:tc>
          <w:tcPr>
            <w:tcW w:w="1091" w:type="dxa"/>
            <w:vAlign w:val="center"/>
          </w:tcPr>
          <w:p w14:paraId="41F05F45">
            <w:pPr>
              <w:spacing w:before="0" w:after="0" w:line="320" w:lineRule="exact"/>
              <w:jc w:val="center"/>
            </w:pPr>
            <w:r>
              <w:rPr>
                <w:rFonts w:ascii="Times New Roman" w:hAnsi="Times New Roman" w:eastAsia="宋体"/>
                <w:b/>
                <w:sz w:val="21"/>
              </w:rPr>
              <w:t>OAI</w:t>
            </w:r>
          </w:p>
        </w:tc>
        <w:tc>
          <w:tcPr>
            <w:tcW w:w="1091" w:type="dxa"/>
            <w:vAlign w:val="center"/>
          </w:tcPr>
          <w:p w14:paraId="512DFF51">
            <w:pPr>
              <w:spacing w:before="0" w:after="0" w:line="320" w:lineRule="exact"/>
              <w:jc w:val="center"/>
            </w:pPr>
            <w:r>
              <w:rPr>
                <w:rFonts w:ascii="Times New Roman" w:hAnsi="Times New Roman" w:eastAsia="宋体"/>
                <w:b/>
                <w:sz w:val="21"/>
              </w:rPr>
              <w:t>THI</w:t>
            </w:r>
          </w:p>
        </w:tc>
        <w:tc>
          <w:tcPr>
            <w:tcW w:w="1091" w:type="dxa"/>
            <w:vAlign w:val="center"/>
          </w:tcPr>
          <w:p w14:paraId="51C8B023">
            <w:pPr>
              <w:spacing w:before="0" w:after="0" w:line="320" w:lineRule="exact"/>
              <w:jc w:val="center"/>
            </w:pPr>
            <w:r>
              <w:rPr>
                <w:rFonts w:ascii="Times New Roman" w:hAnsi="Times New Roman" w:eastAsia="宋体"/>
                <w:b/>
                <w:sz w:val="21"/>
              </w:rPr>
              <w:t>MI</w:t>
            </w:r>
          </w:p>
        </w:tc>
        <w:tc>
          <w:tcPr>
            <w:tcW w:w="1091" w:type="dxa"/>
            <w:vAlign w:val="center"/>
          </w:tcPr>
          <w:p w14:paraId="5AB4F4F9">
            <w:pPr>
              <w:spacing w:before="0" w:after="0" w:line="320" w:lineRule="exact"/>
              <w:jc w:val="center"/>
            </w:pPr>
            <w:r>
              <w:rPr>
                <w:rFonts w:ascii="Times New Roman" w:hAnsi="Times New Roman" w:eastAsia="宋体"/>
                <w:b/>
                <w:sz w:val="21"/>
              </w:rPr>
              <w:t>POI（500 m）</w:t>
            </w:r>
          </w:p>
        </w:tc>
        <w:tc>
          <w:tcPr>
            <w:tcW w:w="1091" w:type="dxa"/>
            <w:vAlign w:val="center"/>
          </w:tcPr>
          <w:p w14:paraId="6DACD34F">
            <w:pPr>
              <w:spacing w:before="0" w:after="0" w:line="320" w:lineRule="exact"/>
              <w:jc w:val="center"/>
            </w:pPr>
            <w:r>
              <w:rPr>
                <w:rFonts w:ascii="Times New Roman" w:hAnsi="Times New Roman" w:eastAsia="宋体"/>
                <w:b/>
                <w:sz w:val="21"/>
              </w:rPr>
              <w:t>评分（500 m）</w:t>
            </w:r>
          </w:p>
        </w:tc>
        <w:tc>
          <w:tcPr>
            <w:tcW w:w="1091" w:type="dxa"/>
            <w:vAlign w:val="center"/>
          </w:tcPr>
          <w:p w14:paraId="50070D6A">
            <w:pPr>
              <w:spacing w:before="0" w:after="0" w:line="320" w:lineRule="exact"/>
              <w:jc w:val="center"/>
            </w:pPr>
            <w:r>
              <w:rPr>
                <w:rFonts w:ascii="Times New Roman" w:hAnsi="Times New Roman" w:eastAsia="宋体"/>
                <w:b/>
                <w:sz w:val="21"/>
              </w:rPr>
              <w:t>评论（500 m）</w:t>
            </w:r>
          </w:p>
        </w:tc>
      </w:tr>
      <w:tr w14:paraId="7F06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4CB8E4A7">
            <w:pPr>
              <w:spacing w:before="0" w:after="0" w:line="320" w:lineRule="exact"/>
              <w:jc w:val="left"/>
            </w:pPr>
            <w:r>
              <w:rPr>
                <w:rFonts w:ascii="Times New Roman" w:hAnsi="Times New Roman" w:eastAsia="宋体"/>
                <w:b w:val="0"/>
                <w:sz w:val="21"/>
              </w:rPr>
              <w:t>CMI</w:t>
            </w:r>
          </w:p>
        </w:tc>
        <w:tc>
          <w:tcPr>
            <w:tcW w:w="1091" w:type="dxa"/>
            <w:vAlign w:val="center"/>
          </w:tcPr>
          <w:p w14:paraId="241FFD6B">
            <w:pPr>
              <w:spacing w:before="0" w:after="0" w:line="320" w:lineRule="exact"/>
              <w:jc w:val="left"/>
            </w:pPr>
            <w:r>
              <w:rPr>
                <w:rFonts w:ascii="Times New Roman" w:hAnsi="Times New Roman" w:eastAsia="宋体"/>
                <w:b w:val="0"/>
                <w:sz w:val="21"/>
              </w:rPr>
              <w:t>1.000</w:t>
            </w:r>
          </w:p>
        </w:tc>
        <w:tc>
          <w:tcPr>
            <w:tcW w:w="1091" w:type="dxa"/>
            <w:vAlign w:val="center"/>
          </w:tcPr>
          <w:p w14:paraId="766334F2">
            <w:pPr>
              <w:spacing w:before="0" w:after="0" w:line="320" w:lineRule="exact"/>
              <w:jc w:val="left"/>
            </w:pPr>
            <w:r>
              <w:rPr>
                <w:rFonts w:ascii="Times New Roman" w:hAnsi="Times New Roman" w:eastAsia="宋体"/>
                <w:b w:val="0"/>
                <w:sz w:val="21"/>
              </w:rPr>
              <w:t>0.173</w:t>
            </w:r>
          </w:p>
        </w:tc>
        <w:tc>
          <w:tcPr>
            <w:tcW w:w="1091" w:type="dxa"/>
            <w:vAlign w:val="center"/>
          </w:tcPr>
          <w:p w14:paraId="29E85B04">
            <w:pPr>
              <w:spacing w:before="0" w:after="0" w:line="320" w:lineRule="exact"/>
              <w:jc w:val="left"/>
            </w:pPr>
            <w:r>
              <w:rPr>
                <w:rFonts w:ascii="Times New Roman" w:hAnsi="Times New Roman" w:eastAsia="宋体"/>
                <w:b w:val="0"/>
                <w:sz w:val="21"/>
              </w:rPr>
              <w:t>0.086</w:t>
            </w:r>
          </w:p>
        </w:tc>
        <w:tc>
          <w:tcPr>
            <w:tcW w:w="1091" w:type="dxa"/>
            <w:vAlign w:val="center"/>
          </w:tcPr>
          <w:p w14:paraId="1215810F">
            <w:pPr>
              <w:spacing w:before="0" w:after="0" w:line="320" w:lineRule="exact"/>
              <w:jc w:val="left"/>
            </w:pPr>
            <w:r>
              <w:rPr>
                <w:rFonts w:ascii="Times New Roman" w:hAnsi="Times New Roman" w:eastAsia="宋体"/>
                <w:b w:val="0"/>
                <w:sz w:val="21"/>
              </w:rPr>
              <w:t>−0.495</w:t>
            </w:r>
          </w:p>
        </w:tc>
        <w:tc>
          <w:tcPr>
            <w:tcW w:w="1091" w:type="dxa"/>
            <w:vAlign w:val="center"/>
          </w:tcPr>
          <w:p w14:paraId="08D46ABA">
            <w:pPr>
              <w:spacing w:before="0" w:after="0" w:line="320" w:lineRule="exact"/>
              <w:jc w:val="left"/>
            </w:pPr>
            <w:r>
              <w:rPr>
                <w:rFonts w:ascii="Times New Roman" w:hAnsi="Times New Roman" w:eastAsia="宋体"/>
                <w:b w:val="0"/>
                <w:sz w:val="21"/>
              </w:rPr>
              <w:t>−0.031</w:t>
            </w:r>
          </w:p>
        </w:tc>
        <w:tc>
          <w:tcPr>
            <w:tcW w:w="1091" w:type="dxa"/>
            <w:vAlign w:val="center"/>
          </w:tcPr>
          <w:p w14:paraId="717E1BA8">
            <w:pPr>
              <w:spacing w:before="0" w:after="0" w:line="320" w:lineRule="exact"/>
              <w:jc w:val="left"/>
            </w:pPr>
            <w:r>
              <w:rPr>
                <w:rFonts w:ascii="Times New Roman" w:hAnsi="Times New Roman" w:eastAsia="宋体"/>
                <w:b w:val="0"/>
                <w:sz w:val="21"/>
              </w:rPr>
              <w:t>0.048</w:t>
            </w:r>
          </w:p>
        </w:tc>
        <w:tc>
          <w:tcPr>
            <w:tcW w:w="1091" w:type="dxa"/>
            <w:vAlign w:val="center"/>
          </w:tcPr>
          <w:p w14:paraId="1020E277">
            <w:pPr>
              <w:spacing w:before="0" w:after="0" w:line="320" w:lineRule="exact"/>
              <w:jc w:val="left"/>
            </w:pPr>
            <w:r>
              <w:rPr>
                <w:rFonts w:ascii="Times New Roman" w:hAnsi="Times New Roman" w:eastAsia="宋体"/>
                <w:b w:val="0"/>
                <w:sz w:val="21"/>
              </w:rPr>
              <w:t>0.114</w:t>
            </w:r>
          </w:p>
        </w:tc>
      </w:tr>
      <w:tr w14:paraId="0F78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91" w:type="dxa"/>
            <w:vAlign w:val="center"/>
          </w:tcPr>
          <w:p w14:paraId="2D988970">
            <w:pPr>
              <w:spacing w:before="0" w:after="0" w:line="320" w:lineRule="exact"/>
              <w:jc w:val="left"/>
            </w:pPr>
            <w:r>
              <w:rPr>
                <w:rFonts w:ascii="Times New Roman" w:hAnsi="Times New Roman" w:eastAsia="宋体"/>
                <w:b w:val="0"/>
                <w:sz w:val="21"/>
              </w:rPr>
              <w:t>OAI</w:t>
            </w:r>
          </w:p>
        </w:tc>
        <w:tc>
          <w:tcPr>
            <w:tcW w:w="1091" w:type="dxa"/>
            <w:vAlign w:val="center"/>
          </w:tcPr>
          <w:p w14:paraId="525AF87C">
            <w:pPr>
              <w:spacing w:before="0" w:after="0" w:line="320" w:lineRule="exact"/>
              <w:jc w:val="left"/>
            </w:pPr>
            <w:r>
              <w:rPr>
                <w:rFonts w:ascii="Times New Roman" w:hAnsi="Times New Roman" w:eastAsia="宋体"/>
                <w:b w:val="0"/>
                <w:sz w:val="21"/>
              </w:rPr>
              <w:t>0.173</w:t>
            </w:r>
          </w:p>
        </w:tc>
        <w:tc>
          <w:tcPr>
            <w:tcW w:w="1091" w:type="dxa"/>
            <w:vAlign w:val="center"/>
          </w:tcPr>
          <w:p w14:paraId="63ACED93">
            <w:pPr>
              <w:spacing w:before="0" w:after="0" w:line="320" w:lineRule="exact"/>
              <w:jc w:val="left"/>
            </w:pPr>
            <w:r>
              <w:rPr>
                <w:rFonts w:ascii="Times New Roman" w:hAnsi="Times New Roman" w:eastAsia="宋体"/>
                <w:b w:val="0"/>
                <w:sz w:val="21"/>
              </w:rPr>
              <w:t>1.000</w:t>
            </w:r>
          </w:p>
        </w:tc>
        <w:tc>
          <w:tcPr>
            <w:tcW w:w="1091" w:type="dxa"/>
            <w:vAlign w:val="center"/>
          </w:tcPr>
          <w:p w14:paraId="7E7C7323">
            <w:pPr>
              <w:spacing w:before="0" w:after="0" w:line="320" w:lineRule="exact"/>
              <w:jc w:val="left"/>
            </w:pPr>
            <w:r>
              <w:rPr>
                <w:rFonts w:ascii="Times New Roman" w:hAnsi="Times New Roman" w:eastAsia="宋体"/>
                <w:b w:val="0"/>
                <w:sz w:val="21"/>
              </w:rPr>
              <w:t>0.165</w:t>
            </w:r>
          </w:p>
        </w:tc>
        <w:tc>
          <w:tcPr>
            <w:tcW w:w="1091" w:type="dxa"/>
            <w:vAlign w:val="center"/>
          </w:tcPr>
          <w:p w14:paraId="78068FCB">
            <w:pPr>
              <w:spacing w:before="0" w:after="0" w:line="320" w:lineRule="exact"/>
              <w:jc w:val="left"/>
            </w:pPr>
            <w:r>
              <w:rPr>
                <w:rFonts w:ascii="Times New Roman" w:hAnsi="Times New Roman" w:eastAsia="宋体"/>
                <w:b w:val="0"/>
                <w:sz w:val="21"/>
              </w:rPr>
              <w:t>−0.440</w:t>
            </w:r>
          </w:p>
        </w:tc>
        <w:tc>
          <w:tcPr>
            <w:tcW w:w="1091" w:type="dxa"/>
            <w:vAlign w:val="center"/>
          </w:tcPr>
          <w:p w14:paraId="4DE71D02">
            <w:pPr>
              <w:spacing w:before="0" w:after="0" w:line="320" w:lineRule="exact"/>
              <w:jc w:val="left"/>
            </w:pPr>
            <w:r>
              <w:rPr>
                <w:rFonts w:ascii="Times New Roman" w:hAnsi="Times New Roman" w:eastAsia="宋体"/>
                <w:b w:val="0"/>
                <w:sz w:val="21"/>
              </w:rPr>
              <w:t>0.069</w:t>
            </w:r>
          </w:p>
        </w:tc>
        <w:tc>
          <w:tcPr>
            <w:tcW w:w="1091" w:type="dxa"/>
            <w:vAlign w:val="center"/>
          </w:tcPr>
          <w:p w14:paraId="1E89EC31">
            <w:pPr>
              <w:spacing w:before="0" w:after="0" w:line="320" w:lineRule="exact"/>
              <w:jc w:val="left"/>
            </w:pPr>
            <w:r>
              <w:rPr>
                <w:rFonts w:ascii="Times New Roman" w:hAnsi="Times New Roman" w:eastAsia="宋体"/>
                <w:b w:val="0"/>
                <w:sz w:val="21"/>
              </w:rPr>
              <w:t>0.145</w:t>
            </w:r>
          </w:p>
        </w:tc>
        <w:tc>
          <w:tcPr>
            <w:tcW w:w="1091" w:type="dxa"/>
            <w:vAlign w:val="center"/>
          </w:tcPr>
          <w:p w14:paraId="79A7185E">
            <w:pPr>
              <w:spacing w:before="0" w:after="0" w:line="320" w:lineRule="exact"/>
              <w:jc w:val="left"/>
            </w:pPr>
            <w:r>
              <w:rPr>
                <w:rFonts w:ascii="Times New Roman" w:hAnsi="Times New Roman" w:eastAsia="宋体"/>
                <w:b w:val="0"/>
                <w:sz w:val="21"/>
              </w:rPr>
              <w:t>0.041</w:t>
            </w:r>
          </w:p>
        </w:tc>
      </w:tr>
      <w:tr w14:paraId="0592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361FB357">
            <w:pPr>
              <w:spacing w:before="0" w:after="0" w:line="320" w:lineRule="exact"/>
              <w:jc w:val="left"/>
            </w:pPr>
            <w:r>
              <w:rPr>
                <w:rFonts w:ascii="Times New Roman" w:hAnsi="Times New Roman" w:eastAsia="宋体"/>
                <w:b w:val="0"/>
                <w:sz w:val="21"/>
              </w:rPr>
              <w:t>THI</w:t>
            </w:r>
          </w:p>
        </w:tc>
        <w:tc>
          <w:tcPr>
            <w:tcW w:w="1091" w:type="dxa"/>
            <w:vAlign w:val="center"/>
          </w:tcPr>
          <w:p w14:paraId="3BEF64C6">
            <w:pPr>
              <w:spacing w:before="0" w:after="0" w:line="320" w:lineRule="exact"/>
              <w:jc w:val="left"/>
            </w:pPr>
            <w:r>
              <w:rPr>
                <w:rFonts w:ascii="Times New Roman" w:hAnsi="Times New Roman" w:eastAsia="宋体"/>
                <w:b w:val="0"/>
                <w:sz w:val="21"/>
              </w:rPr>
              <w:t>0.086</w:t>
            </w:r>
          </w:p>
        </w:tc>
        <w:tc>
          <w:tcPr>
            <w:tcW w:w="1091" w:type="dxa"/>
            <w:vAlign w:val="center"/>
          </w:tcPr>
          <w:p w14:paraId="25E57E63">
            <w:pPr>
              <w:spacing w:before="0" w:after="0" w:line="320" w:lineRule="exact"/>
              <w:jc w:val="left"/>
            </w:pPr>
            <w:r>
              <w:rPr>
                <w:rFonts w:ascii="Times New Roman" w:hAnsi="Times New Roman" w:eastAsia="宋体"/>
                <w:b w:val="0"/>
                <w:sz w:val="21"/>
              </w:rPr>
              <w:t>0.165</w:t>
            </w:r>
          </w:p>
        </w:tc>
        <w:tc>
          <w:tcPr>
            <w:tcW w:w="1091" w:type="dxa"/>
            <w:vAlign w:val="center"/>
          </w:tcPr>
          <w:p w14:paraId="0F4E30B7">
            <w:pPr>
              <w:spacing w:before="0" w:after="0" w:line="320" w:lineRule="exact"/>
              <w:jc w:val="left"/>
            </w:pPr>
            <w:r>
              <w:rPr>
                <w:rFonts w:ascii="Times New Roman" w:hAnsi="Times New Roman" w:eastAsia="宋体"/>
                <w:b w:val="0"/>
                <w:sz w:val="21"/>
              </w:rPr>
              <w:t>1.000</w:t>
            </w:r>
          </w:p>
        </w:tc>
        <w:tc>
          <w:tcPr>
            <w:tcW w:w="1091" w:type="dxa"/>
            <w:vAlign w:val="center"/>
          </w:tcPr>
          <w:p w14:paraId="5FCB1C7C">
            <w:pPr>
              <w:spacing w:before="0" w:after="0" w:line="320" w:lineRule="exact"/>
              <w:jc w:val="left"/>
            </w:pPr>
            <w:r>
              <w:rPr>
                <w:rFonts w:ascii="Times New Roman" w:hAnsi="Times New Roman" w:eastAsia="宋体"/>
                <w:b w:val="0"/>
                <w:sz w:val="21"/>
              </w:rPr>
              <w:t>0.682</w:t>
            </w:r>
          </w:p>
        </w:tc>
        <w:tc>
          <w:tcPr>
            <w:tcW w:w="1091" w:type="dxa"/>
            <w:vAlign w:val="center"/>
          </w:tcPr>
          <w:p w14:paraId="24A3FC42">
            <w:pPr>
              <w:spacing w:before="0" w:after="0" w:line="320" w:lineRule="exact"/>
              <w:jc w:val="left"/>
            </w:pPr>
            <w:r>
              <w:rPr>
                <w:rFonts w:ascii="Times New Roman" w:hAnsi="Times New Roman" w:eastAsia="宋体"/>
                <w:b w:val="0"/>
                <w:sz w:val="21"/>
              </w:rPr>
              <w:t>0.693</w:t>
            </w:r>
          </w:p>
        </w:tc>
        <w:tc>
          <w:tcPr>
            <w:tcW w:w="1091" w:type="dxa"/>
            <w:vAlign w:val="center"/>
          </w:tcPr>
          <w:p w14:paraId="6B8BCE6D">
            <w:pPr>
              <w:spacing w:before="0" w:after="0" w:line="320" w:lineRule="exact"/>
              <w:jc w:val="left"/>
            </w:pPr>
            <w:r>
              <w:rPr>
                <w:rFonts w:ascii="Times New Roman" w:hAnsi="Times New Roman" w:eastAsia="宋体"/>
                <w:b w:val="0"/>
                <w:sz w:val="21"/>
              </w:rPr>
              <w:t>0.859</w:t>
            </w:r>
          </w:p>
        </w:tc>
        <w:tc>
          <w:tcPr>
            <w:tcW w:w="1091" w:type="dxa"/>
            <w:vAlign w:val="center"/>
          </w:tcPr>
          <w:p w14:paraId="6601F848">
            <w:pPr>
              <w:spacing w:before="0" w:after="0" w:line="320" w:lineRule="exact"/>
              <w:jc w:val="left"/>
            </w:pPr>
            <w:r>
              <w:rPr>
                <w:rFonts w:ascii="Times New Roman" w:hAnsi="Times New Roman" w:eastAsia="宋体"/>
                <w:b w:val="0"/>
                <w:sz w:val="21"/>
              </w:rPr>
              <w:t>0.506</w:t>
            </w:r>
          </w:p>
        </w:tc>
      </w:tr>
      <w:tr w14:paraId="5824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3B45EBE6">
            <w:pPr>
              <w:spacing w:before="0" w:after="0" w:line="320" w:lineRule="exact"/>
              <w:jc w:val="left"/>
            </w:pPr>
            <w:r>
              <w:rPr>
                <w:rFonts w:ascii="Times New Roman" w:hAnsi="Times New Roman" w:eastAsia="宋体"/>
                <w:b w:val="0"/>
                <w:sz w:val="21"/>
              </w:rPr>
              <w:t>MI</w:t>
            </w:r>
          </w:p>
        </w:tc>
        <w:tc>
          <w:tcPr>
            <w:tcW w:w="1091" w:type="dxa"/>
            <w:vAlign w:val="center"/>
          </w:tcPr>
          <w:p w14:paraId="3F93FC0F">
            <w:pPr>
              <w:spacing w:before="0" w:after="0" w:line="320" w:lineRule="exact"/>
              <w:jc w:val="left"/>
            </w:pPr>
            <w:r>
              <w:rPr>
                <w:rFonts w:ascii="Times New Roman" w:hAnsi="Times New Roman" w:eastAsia="宋体"/>
                <w:b w:val="0"/>
                <w:sz w:val="21"/>
              </w:rPr>
              <w:t>−0.495</w:t>
            </w:r>
          </w:p>
        </w:tc>
        <w:tc>
          <w:tcPr>
            <w:tcW w:w="1091" w:type="dxa"/>
            <w:vAlign w:val="center"/>
          </w:tcPr>
          <w:p w14:paraId="06336732">
            <w:pPr>
              <w:spacing w:before="0" w:after="0" w:line="320" w:lineRule="exact"/>
              <w:jc w:val="left"/>
            </w:pPr>
            <w:r>
              <w:rPr>
                <w:rFonts w:ascii="Times New Roman" w:hAnsi="Times New Roman" w:eastAsia="宋体"/>
                <w:b w:val="0"/>
                <w:sz w:val="21"/>
              </w:rPr>
              <w:t>−0.440</w:t>
            </w:r>
          </w:p>
        </w:tc>
        <w:tc>
          <w:tcPr>
            <w:tcW w:w="1091" w:type="dxa"/>
            <w:vAlign w:val="center"/>
          </w:tcPr>
          <w:p w14:paraId="5638B9E8">
            <w:pPr>
              <w:spacing w:before="0" w:after="0" w:line="320" w:lineRule="exact"/>
              <w:jc w:val="left"/>
            </w:pPr>
            <w:r>
              <w:rPr>
                <w:rFonts w:ascii="Times New Roman" w:hAnsi="Times New Roman" w:eastAsia="宋体"/>
                <w:b w:val="0"/>
                <w:sz w:val="21"/>
              </w:rPr>
              <w:t>0.682</w:t>
            </w:r>
          </w:p>
        </w:tc>
        <w:tc>
          <w:tcPr>
            <w:tcW w:w="1091" w:type="dxa"/>
            <w:vAlign w:val="center"/>
          </w:tcPr>
          <w:p w14:paraId="0930A970">
            <w:pPr>
              <w:spacing w:before="0" w:after="0" w:line="320" w:lineRule="exact"/>
              <w:jc w:val="left"/>
            </w:pPr>
            <w:r>
              <w:rPr>
                <w:rFonts w:ascii="Times New Roman" w:hAnsi="Times New Roman" w:eastAsia="宋体"/>
                <w:b w:val="0"/>
                <w:sz w:val="21"/>
              </w:rPr>
              <w:t>1.000</w:t>
            </w:r>
          </w:p>
        </w:tc>
        <w:tc>
          <w:tcPr>
            <w:tcW w:w="1091" w:type="dxa"/>
            <w:vAlign w:val="center"/>
          </w:tcPr>
          <w:p w14:paraId="79234F3E">
            <w:pPr>
              <w:spacing w:before="0" w:after="0" w:line="320" w:lineRule="exact"/>
              <w:jc w:val="left"/>
            </w:pPr>
            <w:r>
              <w:rPr>
                <w:rFonts w:ascii="Times New Roman" w:hAnsi="Times New Roman" w:eastAsia="宋体"/>
                <w:b w:val="0"/>
                <w:sz w:val="21"/>
              </w:rPr>
              <w:t>0.538</w:t>
            </w:r>
          </w:p>
        </w:tc>
        <w:tc>
          <w:tcPr>
            <w:tcW w:w="1091" w:type="dxa"/>
            <w:vAlign w:val="center"/>
          </w:tcPr>
          <w:p w14:paraId="10081BD9">
            <w:pPr>
              <w:spacing w:before="0" w:after="0" w:line="320" w:lineRule="exact"/>
              <w:jc w:val="left"/>
            </w:pPr>
            <w:r>
              <w:rPr>
                <w:rFonts w:ascii="Times New Roman" w:hAnsi="Times New Roman" w:eastAsia="宋体"/>
                <w:b w:val="0"/>
                <w:sz w:val="21"/>
              </w:rPr>
              <w:t>0.597</w:t>
            </w:r>
          </w:p>
        </w:tc>
        <w:tc>
          <w:tcPr>
            <w:tcW w:w="1091" w:type="dxa"/>
            <w:vAlign w:val="center"/>
          </w:tcPr>
          <w:p w14:paraId="5B56DD24">
            <w:pPr>
              <w:spacing w:before="0" w:after="0" w:line="320" w:lineRule="exact"/>
              <w:jc w:val="left"/>
            </w:pPr>
            <w:r>
              <w:rPr>
                <w:rFonts w:ascii="Times New Roman" w:hAnsi="Times New Roman" w:eastAsia="宋体"/>
                <w:b w:val="0"/>
                <w:sz w:val="21"/>
              </w:rPr>
              <w:t>0.332</w:t>
            </w:r>
          </w:p>
        </w:tc>
      </w:tr>
      <w:tr w14:paraId="50B39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4DAE0A86">
            <w:pPr>
              <w:spacing w:before="0" w:after="0" w:line="320" w:lineRule="exact"/>
              <w:jc w:val="left"/>
            </w:pPr>
            <w:r>
              <w:rPr>
                <w:rFonts w:ascii="Times New Roman" w:hAnsi="Times New Roman" w:eastAsia="宋体"/>
                <w:b w:val="0"/>
                <w:sz w:val="21"/>
              </w:rPr>
              <w:t>POI（500 m）</w:t>
            </w:r>
          </w:p>
        </w:tc>
        <w:tc>
          <w:tcPr>
            <w:tcW w:w="1091" w:type="dxa"/>
            <w:vAlign w:val="center"/>
          </w:tcPr>
          <w:p w14:paraId="12E6130C">
            <w:pPr>
              <w:spacing w:before="0" w:after="0" w:line="320" w:lineRule="exact"/>
              <w:jc w:val="left"/>
            </w:pPr>
            <w:r>
              <w:rPr>
                <w:rFonts w:ascii="Times New Roman" w:hAnsi="Times New Roman" w:eastAsia="宋体"/>
                <w:b w:val="0"/>
                <w:sz w:val="21"/>
              </w:rPr>
              <w:t>−0.031</w:t>
            </w:r>
          </w:p>
        </w:tc>
        <w:tc>
          <w:tcPr>
            <w:tcW w:w="1091" w:type="dxa"/>
            <w:vAlign w:val="center"/>
          </w:tcPr>
          <w:p w14:paraId="2F9C6F09">
            <w:pPr>
              <w:spacing w:before="0" w:after="0" w:line="320" w:lineRule="exact"/>
              <w:jc w:val="left"/>
            </w:pPr>
            <w:r>
              <w:rPr>
                <w:rFonts w:ascii="Times New Roman" w:hAnsi="Times New Roman" w:eastAsia="宋体"/>
                <w:b w:val="0"/>
                <w:sz w:val="21"/>
              </w:rPr>
              <w:t>0.069</w:t>
            </w:r>
          </w:p>
        </w:tc>
        <w:tc>
          <w:tcPr>
            <w:tcW w:w="1091" w:type="dxa"/>
            <w:vAlign w:val="center"/>
          </w:tcPr>
          <w:p w14:paraId="5C7C3D2C">
            <w:pPr>
              <w:spacing w:before="0" w:after="0" w:line="320" w:lineRule="exact"/>
              <w:jc w:val="left"/>
            </w:pPr>
            <w:r>
              <w:rPr>
                <w:rFonts w:ascii="Times New Roman" w:hAnsi="Times New Roman" w:eastAsia="宋体"/>
                <w:b w:val="0"/>
                <w:sz w:val="21"/>
              </w:rPr>
              <w:t>0.693</w:t>
            </w:r>
          </w:p>
        </w:tc>
        <w:tc>
          <w:tcPr>
            <w:tcW w:w="1091" w:type="dxa"/>
            <w:vAlign w:val="center"/>
          </w:tcPr>
          <w:p w14:paraId="2426C6E0">
            <w:pPr>
              <w:spacing w:before="0" w:after="0" w:line="320" w:lineRule="exact"/>
              <w:jc w:val="left"/>
            </w:pPr>
            <w:r>
              <w:rPr>
                <w:rFonts w:ascii="Times New Roman" w:hAnsi="Times New Roman" w:eastAsia="宋体"/>
                <w:b w:val="0"/>
                <w:sz w:val="21"/>
              </w:rPr>
              <w:t>0.538</w:t>
            </w:r>
          </w:p>
        </w:tc>
        <w:tc>
          <w:tcPr>
            <w:tcW w:w="1091" w:type="dxa"/>
            <w:vAlign w:val="center"/>
          </w:tcPr>
          <w:p w14:paraId="0C859FED">
            <w:pPr>
              <w:spacing w:before="0" w:after="0" w:line="320" w:lineRule="exact"/>
              <w:jc w:val="left"/>
            </w:pPr>
            <w:r>
              <w:rPr>
                <w:rFonts w:ascii="Times New Roman" w:hAnsi="Times New Roman" w:eastAsia="宋体"/>
                <w:b w:val="0"/>
                <w:sz w:val="21"/>
              </w:rPr>
              <w:t>1.000</w:t>
            </w:r>
          </w:p>
        </w:tc>
        <w:tc>
          <w:tcPr>
            <w:tcW w:w="1091" w:type="dxa"/>
            <w:vAlign w:val="center"/>
          </w:tcPr>
          <w:p w14:paraId="08F19D67">
            <w:pPr>
              <w:spacing w:before="0" w:after="0" w:line="320" w:lineRule="exact"/>
              <w:jc w:val="left"/>
            </w:pPr>
            <w:r>
              <w:rPr>
                <w:rFonts w:ascii="Times New Roman" w:hAnsi="Times New Roman" w:eastAsia="宋体"/>
                <w:b w:val="0"/>
                <w:sz w:val="21"/>
              </w:rPr>
              <w:t>0.423</w:t>
            </w:r>
          </w:p>
        </w:tc>
        <w:tc>
          <w:tcPr>
            <w:tcW w:w="1091" w:type="dxa"/>
            <w:vAlign w:val="center"/>
          </w:tcPr>
          <w:p w14:paraId="05437067">
            <w:pPr>
              <w:spacing w:before="0" w:after="0" w:line="320" w:lineRule="exact"/>
              <w:jc w:val="left"/>
            </w:pPr>
            <w:r>
              <w:rPr>
                <w:rFonts w:ascii="Times New Roman" w:hAnsi="Times New Roman" w:eastAsia="宋体"/>
                <w:b w:val="0"/>
                <w:sz w:val="21"/>
              </w:rPr>
              <w:t>0.360</w:t>
            </w:r>
          </w:p>
        </w:tc>
      </w:tr>
      <w:tr w14:paraId="0931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3959B5A6">
            <w:pPr>
              <w:spacing w:before="0" w:after="0" w:line="320" w:lineRule="exact"/>
              <w:jc w:val="left"/>
            </w:pPr>
            <w:r>
              <w:rPr>
                <w:rFonts w:ascii="Times New Roman" w:hAnsi="Times New Roman" w:eastAsia="宋体"/>
                <w:b w:val="0"/>
                <w:sz w:val="21"/>
              </w:rPr>
              <w:t>评分（500 m）</w:t>
            </w:r>
          </w:p>
        </w:tc>
        <w:tc>
          <w:tcPr>
            <w:tcW w:w="1091" w:type="dxa"/>
            <w:vAlign w:val="center"/>
          </w:tcPr>
          <w:p w14:paraId="5180F5CB">
            <w:pPr>
              <w:spacing w:before="0" w:after="0" w:line="320" w:lineRule="exact"/>
              <w:jc w:val="left"/>
            </w:pPr>
            <w:r>
              <w:rPr>
                <w:rFonts w:ascii="Times New Roman" w:hAnsi="Times New Roman" w:eastAsia="宋体"/>
                <w:b w:val="0"/>
                <w:sz w:val="21"/>
              </w:rPr>
              <w:t>0.048</w:t>
            </w:r>
          </w:p>
        </w:tc>
        <w:tc>
          <w:tcPr>
            <w:tcW w:w="1091" w:type="dxa"/>
            <w:vAlign w:val="center"/>
          </w:tcPr>
          <w:p w14:paraId="3FDCA405">
            <w:pPr>
              <w:spacing w:before="0" w:after="0" w:line="320" w:lineRule="exact"/>
              <w:jc w:val="left"/>
            </w:pPr>
            <w:r>
              <w:rPr>
                <w:rFonts w:ascii="Times New Roman" w:hAnsi="Times New Roman" w:eastAsia="宋体"/>
                <w:b w:val="0"/>
                <w:sz w:val="21"/>
              </w:rPr>
              <w:t>0.145</w:t>
            </w:r>
          </w:p>
        </w:tc>
        <w:tc>
          <w:tcPr>
            <w:tcW w:w="1091" w:type="dxa"/>
            <w:vAlign w:val="center"/>
          </w:tcPr>
          <w:p w14:paraId="3EFF0A51">
            <w:pPr>
              <w:spacing w:before="0" w:after="0" w:line="320" w:lineRule="exact"/>
              <w:jc w:val="left"/>
            </w:pPr>
            <w:r>
              <w:rPr>
                <w:rFonts w:ascii="Times New Roman" w:hAnsi="Times New Roman" w:eastAsia="宋体"/>
                <w:b w:val="0"/>
                <w:sz w:val="21"/>
              </w:rPr>
              <w:t>0.859</w:t>
            </w:r>
          </w:p>
        </w:tc>
        <w:tc>
          <w:tcPr>
            <w:tcW w:w="1091" w:type="dxa"/>
            <w:vAlign w:val="center"/>
          </w:tcPr>
          <w:p w14:paraId="54F2EA0B">
            <w:pPr>
              <w:spacing w:before="0" w:after="0" w:line="320" w:lineRule="exact"/>
              <w:jc w:val="left"/>
            </w:pPr>
            <w:r>
              <w:rPr>
                <w:rFonts w:ascii="Times New Roman" w:hAnsi="Times New Roman" w:eastAsia="宋体"/>
                <w:b w:val="0"/>
                <w:sz w:val="21"/>
              </w:rPr>
              <w:t>0.597</w:t>
            </w:r>
          </w:p>
        </w:tc>
        <w:tc>
          <w:tcPr>
            <w:tcW w:w="1091" w:type="dxa"/>
            <w:vAlign w:val="center"/>
          </w:tcPr>
          <w:p w14:paraId="2B1F4714">
            <w:pPr>
              <w:spacing w:before="0" w:after="0" w:line="320" w:lineRule="exact"/>
              <w:jc w:val="left"/>
            </w:pPr>
            <w:r>
              <w:rPr>
                <w:rFonts w:ascii="Times New Roman" w:hAnsi="Times New Roman" w:eastAsia="宋体"/>
                <w:b w:val="0"/>
                <w:sz w:val="21"/>
              </w:rPr>
              <w:t>0.423</w:t>
            </w:r>
          </w:p>
        </w:tc>
        <w:tc>
          <w:tcPr>
            <w:tcW w:w="1091" w:type="dxa"/>
            <w:vAlign w:val="center"/>
          </w:tcPr>
          <w:p w14:paraId="5896D57B">
            <w:pPr>
              <w:spacing w:before="0" w:after="0" w:line="320" w:lineRule="exact"/>
              <w:jc w:val="left"/>
            </w:pPr>
            <w:r>
              <w:rPr>
                <w:rFonts w:ascii="Times New Roman" w:hAnsi="Times New Roman" w:eastAsia="宋体"/>
                <w:b w:val="0"/>
                <w:sz w:val="21"/>
              </w:rPr>
              <w:t>1.000</w:t>
            </w:r>
          </w:p>
        </w:tc>
        <w:tc>
          <w:tcPr>
            <w:tcW w:w="1091" w:type="dxa"/>
            <w:vAlign w:val="center"/>
          </w:tcPr>
          <w:p w14:paraId="0701DF8B">
            <w:pPr>
              <w:spacing w:before="0" w:after="0" w:line="320" w:lineRule="exact"/>
              <w:jc w:val="left"/>
            </w:pPr>
            <w:r>
              <w:rPr>
                <w:rFonts w:ascii="Times New Roman" w:hAnsi="Times New Roman" w:eastAsia="宋体"/>
                <w:b w:val="0"/>
                <w:sz w:val="21"/>
              </w:rPr>
              <w:t>0.266</w:t>
            </w:r>
          </w:p>
        </w:tc>
      </w:tr>
      <w:tr w14:paraId="6BFA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7FB94D33">
            <w:pPr>
              <w:spacing w:before="0" w:after="0" w:line="320" w:lineRule="exact"/>
              <w:jc w:val="left"/>
            </w:pPr>
            <w:r>
              <w:rPr>
                <w:rFonts w:ascii="Times New Roman" w:hAnsi="Times New Roman" w:eastAsia="宋体"/>
                <w:b w:val="0"/>
                <w:sz w:val="21"/>
              </w:rPr>
              <w:t>评论（500 m）</w:t>
            </w:r>
          </w:p>
        </w:tc>
        <w:tc>
          <w:tcPr>
            <w:tcW w:w="1091" w:type="dxa"/>
            <w:vAlign w:val="center"/>
          </w:tcPr>
          <w:p w14:paraId="5C2B7B6E">
            <w:pPr>
              <w:spacing w:before="0" w:after="0" w:line="320" w:lineRule="exact"/>
              <w:jc w:val="left"/>
            </w:pPr>
            <w:r>
              <w:rPr>
                <w:rFonts w:ascii="Times New Roman" w:hAnsi="Times New Roman" w:eastAsia="宋体"/>
                <w:b w:val="0"/>
                <w:sz w:val="21"/>
              </w:rPr>
              <w:t>0.114</w:t>
            </w:r>
          </w:p>
        </w:tc>
        <w:tc>
          <w:tcPr>
            <w:tcW w:w="1091" w:type="dxa"/>
            <w:vAlign w:val="center"/>
          </w:tcPr>
          <w:p w14:paraId="432C27BE">
            <w:pPr>
              <w:spacing w:before="0" w:after="0" w:line="320" w:lineRule="exact"/>
              <w:jc w:val="left"/>
            </w:pPr>
            <w:r>
              <w:rPr>
                <w:rFonts w:ascii="Times New Roman" w:hAnsi="Times New Roman" w:eastAsia="宋体"/>
                <w:b w:val="0"/>
                <w:sz w:val="21"/>
              </w:rPr>
              <w:t>0.041</w:t>
            </w:r>
          </w:p>
        </w:tc>
        <w:tc>
          <w:tcPr>
            <w:tcW w:w="1091" w:type="dxa"/>
            <w:vAlign w:val="center"/>
          </w:tcPr>
          <w:p w14:paraId="0F4BBBB5">
            <w:pPr>
              <w:spacing w:before="0" w:after="0" w:line="320" w:lineRule="exact"/>
              <w:jc w:val="left"/>
            </w:pPr>
            <w:r>
              <w:rPr>
                <w:rFonts w:ascii="Times New Roman" w:hAnsi="Times New Roman" w:eastAsia="宋体"/>
                <w:b w:val="0"/>
                <w:sz w:val="21"/>
              </w:rPr>
              <w:t>0.506</w:t>
            </w:r>
          </w:p>
        </w:tc>
        <w:tc>
          <w:tcPr>
            <w:tcW w:w="1091" w:type="dxa"/>
            <w:vAlign w:val="center"/>
          </w:tcPr>
          <w:p w14:paraId="0CA23C3A">
            <w:pPr>
              <w:spacing w:before="0" w:after="0" w:line="320" w:lineRule="exact"/>
              <w:jc w:val="left"/>
            </w:pPr>
            <w:r>
              <w:rPr>
                <w:rFonts w:ascii="Times New Roman" w:hAnsi="Times New Roman" w:eastAsia="宋体"/>
                <w:b w:val="0"/>
                <w:sz w:val="21"/>
              </w:rPr>
              <w:t>0.332</w:t>
            </w:r>
          </w:p>
        </w:tc>
        <w:tc>
          <w:tcPr>
            <w:tcW w:w="1091" w:type="dxa"/>
            <w:vAlign w:val="center"/>
          </w:tcPr>
          <w:p w14:paraId="6C9CBFE9">
            <w:pPr>
              <w:spacing w:before="0" w:after="0" w:line="320" w:lineRule="exact"/>
              <w:jc w:val="left"/>
            </w:pPr>
            <w:r>
              <w:rPr>
                <w:rFonts w:ascii="Times New Roman" w:hAnsi="Times New Roman" w:eastAsia="宋体"/>
                <w:b w:val="0"/>
                <w:sz w:val="21"/>
              </w:rPr>
              <w:t>0.360</w:t>
            </w:r>
          </w:p>
        </w:tc>
        <w:tc>
          <w:tcPr>
            <w:tcW w:w="1091" w:type="dxa"/>
            <w:vAlign w:val="center"/>
          </w:tcPr>
          <w:p w14:paraId="631629F7">
            <w:pPr>
              <w:spacing w:before="0" w:after="0" w:line="320" w:lineRule="exact"/>
              <w:jc w:val="left"/>
            </w:pPr>
            <w:r>
              <w:rPr>
                <w:rFonts w:ascii="Times New Roman" w:hAnsi="Times New Roman" w:eastAsia="宋体"/>
                <w:b w:val="0"/>
                <w:sz w:val="21"/>
              </w:rPr>
              <w:t>0.266</w:t>
            </w:r>
          </w:p>
        </w:tc>
        <w:tc>
          <w:tcPr>
            <w:tcW w:w="1091" w:type="dxa"/>
            <w:vAlign w:val="center"/>
          </w:tcPr>
          <w:p w14:paraId="7B8C05BC">
            <w:pPr>
              <w:spacing w:before="0" w:after="0" w:line="320" w:lineRule="exact"/>
              <w:jc w:val="left"/>
            </w:pPr>
            <w:r>
              <w:rPr>
                <w:rFonts w:ascii="Times New Roman" w:hAnsi="Times New Roman" w:eastAsia="宋体"/>
                <w:b w:val="0"/>
                <w:sz w:val="21"/>
              </w:rPr>
              <w:t>1.000</w:t>
            </w:r>
          </w:p>
        </w:tc>
      </w:tr>
    </w:tbl>
    <w:p w14:paraId="04895354">
      <w:pPr>
        <w:spacing w:before="40" w:after="120" w:line="400" w:lineRule="exact"/>
        <w:jc w:val="center"/>
      </w:pPr>
      <w:r>
        <w:rPr>
          <w:rFonts w:ascii="Times New Roman" w:hAnsi="Times New Roman" w:eastAsia="宋体"/>
          <w:b/>
          <w:sz w:val="21"/>
        </w:rPr>
        <w:t>表 6.4　载体级指标相关矩阵（Pearson, n = 165）</w:t>
      </w:r>
    </w:p>
    <w:p w14:paraId="63C10321">
      <w:pPr>
        <w:spacing w:before="60" w:after="40" w:line="400" w:lineRule="exact"/>
        <w:jc w:val="center"/>
      </w:pPr>
      <w:r>
        <w:drawing>
          <wp:inline distT="0" distB="0" distL="114300" distR="114300">
            <wp:extent cx="5471795" cy="4305300"/>
            <wp:effectExtent l="0" t="0" r="146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72000" cy="4305500"/>
                    </a:xfrm>
                    <a:prstGeom prst="rect">
                      <a:avLst/>
                    </a:prstGeom>
                  </pic:spPr>
                </pic:pic>
              </a:graphicData>
            </a:graphic>
          </wp:inline>
        </w:drawing>
      </w:r>
    </w:p>
    <w:p w14:paraId="20630FE4">
      <w:pPr>
        <w:spacing w:before="40" w:after="120" w:line="400" w:lineRule="exact"/>
        <w:jc w:val="center"/>
      </w:pPr>
      <w:r>
        <w:rPr>
          <w:rFonts w:ascii="Times New Roman" w:hAnsi="Times New Roman" w:eastAsia="宋体"/>
          <w:b/>
          <w:sz w:val="21"/>
        </w:rPr>
        <w:t>图 6.4　载体级相关矩阵热图（7 变量 × 7 变量）</w:t>
      </w:r>
    </w:p>
    <w:p w14:paraId="2BCA6A13">
      <w:pPr>
        <w:spacing w:before="0" w:after="0" w:line="400" w:lineRule="exact"/>
        <w:ind w:firstLine="480"/>
        <w:jc w:val="left"/>
      </w:pPr>
      <w:r>
        <w:rPr>
          <w:rFonts w:ascii="Times New Roman" w:hAnsi="Times New Roman" w:eastAsia="宋体"/>
          <w:b w:val="0"/>
          <w:sz w:val="24"/>
        </w:rPr>
        <w:t>载体级相关矩阵给出三点观察。第一，CMI 与 MI 呈中等负相关（r = −0.495），OAI 与 MI 也呈中等负相关（r = −0.440）。这说明在本研究样本中，文化记忆越深、官方认证越高的载体，越容易表现为旅游热度相对不足。第二，500 m 范围内 POI 数量与 CMI、OAI 的相关系数分别为 −0.031 和 0.069，几乎不相关，说明 POI 的空间密度并没有自然跟随文化家底分布。第三，THI 与评分、POI 数量和评论量的相关性较高，这与 THI 本身由这几类变量构成有关。因此，该结果可以说明指标构成基本符合预期，但不能被理解为外部独立验证。</w:t>
      </w:r>
    </w:p>
    <w:p w14:paraId="08169296">
      <w:pPr>
        <w:spacing w:before="240" w:after="120" w:line="400" w:lineRule="exact"/>
        <w:jc w:val="left"/>
        <w:outlineLvl w:val="2"/>
      </w:pPr>
      <w:bookmarkStart w:id="77" w:name="_Toc28337"/>
      <w:r>
        <w:rPr>
          <w:rFonts w:ascii="Times New Roman" w:hAnsi="Times New Roman" w:eastAsia="黑体"/>
          <w:b/>
          <w:sz w:val="26"/>
        </w:rPr>
        <w:t>6.3.2 镇街级相关矩阵（n = 7）</w:t>
      </w:r>
      <w:bookmarkEnd w:id="77"/>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91"/>
        <w:gridCol w:w="1091"/>
        <w:gridCol w:w="1091"/>
        <w:gridCol w:w="1091"/>
        <w:gridCol w:w="1091"/>
        <w:gridCol w:w="1091"/>
        <w:gridCol w:w="1091"/>
        <w:gridCol w:w="1091"/>
      </w:tblGrid>
      <w:tr w14:paraId="6645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7D5D2E97">
            <w:pPr>
              <w:spacing w:before="0" w:after="0" w:line="320" w:lineRule="exact"/>
              <w:jc w:val="center"/>
            </w:pPr>
            <w:r>
              <w:rPr>
                <w:rFonts w:ascii="Times New Roman" w:hAnsi="Times New Roman" w:eastAsia="宋体"/>
                <w:b/>
                <w:sz w:val="21"/>
              </w:rPr>
              <w:t>指标</w:t>
            </w:r>
          </w:p>
        </w:tc>
        <w:tc>
          <w:tcPr>
            <w:tcW w:w="1091" w:type="dxa"/>
            <w:vAlign w:val="center"/>
          </w:tcPr>
          <w:p w14:paraId="6B1A5386">
            <w:pPr>
              <w:spacing w:before="0" w:after="0" w:line="320" w:lineRule="exact"/>
              <w:jc w:val="center"/>
            </w:pPr>
            <w:r>
              <w:rPr>
                <w:rFonts w:ascii="Times New Roman" w:hAnsi="Times New Roman" w:eastAsia="宋体"/>
                <w:b/>
                <w:sz w:val="21"/>
              </w:rPr>
              <w:t>POI 总量</w:t>
            </w:r>
          </w:p>
        </w:tc>
        <w:tc>
          <w:tcPr>
            <w:tcW w:w="1091" w:type="dxa"/>
            <w:vAlign w:val="center"/>
          </w:tcPr>
          <w:p w14:paraId="370ECD04">
            <w:pPr>
              <w:spacing w:before="0" w:after="0" w:line="320" w:lineRule="exact"/>
              <w:jc w:val="center"/>
            </w:pPr>
            <w:r>
              <w:rPr>
                <w:rFonts w:ascii="Times New Roman" w:hAnsi="Times New Roman" w:eastAsia="宋体"/>
                <w:b/>
                <w:sz w:val="21"/>
              </w:rPr>
              <w:t>物质载体数</w:t>
            </w:r>
          </w:p>
        </w:tc>
        <w:tc>
          <w:tcPr>
            <w:tcW w:w="1091" w:type="dxa"/>
            <w:vAlign w:val="center"/>
          </w:tcPr>
          <w:p w14:paraId="3014EF61">
            <w:pPr>
              <w:spacing w:before="0" w:after="0" w:line="320" w:lineRule="exact"/>
              <w:jc w:val="center"/>
            </w:pPr>
            <w:r>
              <w:rPr>
                <w:rFonts w:ascii="Times New Roman" w:hAnsi="Times New Roman" w:eastAsia="宋体"/>
                <w:b/>
                <w:sz w:val="21"/>
              </w:rPr>
              <w:t>非遗覆盖项次</w:t>
            </w:r>
          </w:p>
        </w:tc>
        <w:tc>
          <w:tcPr>
            <w:tcW w:w="1091" w:type="dxa"/>
            <w:vAlign w:val="center"/>
          </w:tcPr>
          <w:p w14:paraId="730E4B31">
            <w:pPr>
              <w:spacing w:before="0" w:after="0" w:line="320" w:lineRule="exact"/>
              <w:jc w:val="center"/>
            </w:pPr>
            <w:r>
              <w:rPr>
                <w:rFonts w:ascii="Times New Roman" w:hAnsi="Times New Roman" w:eastAsia="宋体"/>
                <w:b/>
                <w:sz w:val="21"/>
              </w:rPr>
              <w:t>CMI 均值</w:t>
            </w:r>
          </w:p>
        </w:tc>
        <w:tc>
          <w:tcPr>
            <w:tcW w:w="1091" w:type="dxa"/>
            <w:vAlign w:val="center"/>
          </w:tcPr>
          <w:p w14:paraId="15E92A31">
            <w:pPr>
              <w:spacing w:before="0" w:after="0" w:line="320" w:lineRule="exact"/>
              <w:jc w:val="center"/>
            </w:pPr>
            <w:r>
              <w:rPr>
                <w:rFonts w:ascii="Times New Roman" w:hAnsi="Times New Roman" w:eastAsia="宋体"/>
                <w:b/>
                <w:sz w:val="21"/>
              </w:rPr>
              <w:t>OAI 均值</w:t>
            </w:r>
          </w:p>
        </w:tc>
        <w:tc>
          <w:tcPr>
            <w:tcW w:w="1091" w:type="dxa"/>
            <w:vAlign w:val="center"/>
          </w:tcPr>
          <w:p w14:paraId="6295CEC3">
            <w:pPr>
              <w:spacing w:before="0" w:after="0" w:line="320" w:lineRule="exact"/>
              <w:jc w:val="center"/>
            </w:pPr>
            <w:r>
              <w:rPr>
                <w:rFonts w:ascii="Times New Roman" w:hAnsi="Times New Roman" w:eastAsia="宋体"/>
                <w:b/>
                <w:sz w:val="21"/>
              </w:rPr>
              <w:t>THI 均值</w:t>
            </w:r>
          </w:p>
        </w:tc>
        <w:tc>
          <w:tcPr>
            <w:tcW w:w="1091" w:type="dxa"/>
            <w:vAlign w:val="center"/>
          </w:tcPr>
          <w:p w14:paraId="5AC2DE96">
            <w:pPr>
              <w:spacing w:before="0" w:after="0" w:line="320" w:lineRule="exact"/>
              <w:jc w:val="center"/>
            </w:pPr>
            <w:r>
              <w:rPr>
                <w:rFonts w:ascii="Times New Roman" w:hAnsi="Times New Roman" w:eastAsia="宋体"/>
                <w:b/>
                <w:sz w:val="21"/>
              </w:rPr>
              <w:t>MI 均值</w:t>
            </w:r>
          </w:p>
        </w:tc>
      </w:tr>
      <w:tr w14:paraId="6960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3D8E75C8">
            <w:pPr>
              <w:spacing w:before="0" w:after="0" w:line="320" w:lineRule="exact"/>
              <w:jc w:val="left"/>
            </w:pPr>
            <w:r>
              <w:rPr>
                <w:rFonts w:ascii="Times New Roman" w:hAnsi="Times New Roman" w:eastAsia="宋体"/>
                <w:b w:val="0"/>
                <w:sz w:val="21"/>
              </w:rPr>
              <w:t>POI 总量</w:t>
            </w:r>
          </w:p>
        </w:tc>
        <w:tc>
          <w:tcPr>
            <w:tcW w:w="1091" w:type="dxa"/>
            <w:vAlign w:val="center"/>
          </w:tcPr>
          <w:p w14:paraId="61B6365C">
            <w:pPr>
              <w:spacing w:before="0" w:after="0" w:line="320" w:lineRule="exact"/>
              <w:jc w:val="left"/>
            </w:pPr>
            <w:r>
              <w:rPr>
                <w:rFonts w:ascii="Times New Roman" w:hAnsi="Times New Roman" w:eastAsia="宋体"/>
                <w:b w:val="0"/>
                <w:sz w:val="21"/>
              </w:rPr>
              <w:t>1.000</w:t>
            </w:r>
          </w:p>
        </w:tc>
        <w:tc>
          <w:tcPr>
            <w:tcW w:w="1091" w:type="dxa"/>
            <w:vAlign w:val="center"/>
          </w:tcPr>
          <w:p w14:paraId="74CDDAB5">
            <w:pPr>
              <w:spacing w:before="0" w:after="0" w:line="320" w:lineRule="exact"/>
              <w:jc w:val="left"/>
            </w:pPr>
            <w:r>
              <w:rPr>
                <w:rFonts w:ascii="Times New Roman" w:hAnsi="Times New Roman" w:eastAsia="宋体"/>
                <w:b w:val="0"/>
                <w:sz w:val="21"/>
              </w:rPr>
              <w:t>−0.475</w:t>
            </w:r>
          </w:p>
        </w:tc>
        <w:tc>
          <w:tcPr>
            <w:tcW w:w="1091" w:type="dxa"/>
            <w:vAlign w:val="center"/>
          </w:tcPr>
          <w:p w14:paraId="143E8E9E">
            <w:pPr>
              <w:spacing w:before="0" w:after="0" w:line="320" w:lineRule="exact"/>
              <w:jc w:val="left"/>
            </w:pPr>
            <w:r>
              <w:rPr>
                <w:rFonts w:ascii="Times New Roman" w:hAnsi="Times New Roman" w:eastAsia="宋体"/>
                <w:b w:val="0"/>
                <w:sz w:val="21"/>
              </w:rPr>
              <w:t>0.372</w:t>
            </w:r>
          </w:p>
        </w:tc>
        <w:tc>
          <w:tcPr>
            <w:tcW w:w="1091" w:type="dxa"/>
            <w:vAlign w:val="center"/>
          </w:tcPr>
          <w:p w14:paraId="7773F073">
            <w:pPr>
              <w:spacing w:before="0" w:after="0" w:line="320" w:lineRule="exact"/>
              <w:jc w:val="left"/>
            </w:pPr>
            <w:r>
              <w:rPr>
                <w:rFonts w:ascii="Times New Roman" w:hAnsi="Times New Roman" w:eastAsia="宋体"/>
                <w:b w:val="0"/>
                <w:sz w:val="21"/>
              </w:rPr>
              <w:t>0.040</w:t>
            </w:r>
          </w:p>
        </w:tc>
        <w:tc>
          <w:tcPr>
            <w:tcW w:w="1091" w:type="dxa"/>
            <w:vAlign w:val="center"/>
          </w:tcPr>
          <w:p w14:paraId="12A0CE98">
            <w:pPr>
              <w:spacing w:before="0" w:after="0" w:line="320" w:lineRule="exact"/>
              <w:jc w:val="left"/>
            </w:pPr>
            <w:r>
              <w:rPr>
                <w:rFonts w:ascii="Times New Roman" w:hAnsi="Times New Roman" w:eastAsia="宋体"/>
                <w:b w:val="0"/>
                <w:sz w:val="21"/>
              </w:rPr>
              <w:t>0.693</w:t>
            </w:r>
          </w:p>
        </w:tc>
        <w:tc>
          <w:tcPr>
            <w:tcW w:w="1091" w:type="dxa"/>
            <w:vAlign w:val="center"/>
          </w:tcPr>
          <w:p w14:paraId="3D2668F2">
            <w:pPr>
              <w:spacing w:before="0" w:after="0" w:line="320" w:lineRule="exact"/>
              <w:jc w:val="left"/>
            </w:pPr>
            <w:r>
              <w:rPr>
                <w:rFonts w:ascii="Times New Roman" w:hAnsi="Times New Roman" w:eastAsia="宋体"/>
                <w:b w:val="0"/>
                <w:sz w:val="21"/>
              </w:rPr>
              <w:t>0.314</w:t>
            </w:r>
          </w:p>
        </w:tc>
        <w:tc>
          <w:tcPr>
            <w:tcW w:w="1091" w:type="dxa"/>
            <w:vAlign w:val="center"/>
          </w:tcPr>
          <w:p w14:paraId="6C98095F">
            <w:pPr>
              <w:spacing w:before="0" w:after="0" w:line="320" w:lineRule="exact"/>
              <w:jc w:val="left"/>
            </w:pPr>
            <w:r>
              <w:rPr>
                <w:rFonts w:ascii="Times New Roman" w:hAnsi="Times New Roman" w:eastAsia="宋体"/>
                <w:b w:val="0"/>
                <w:sz w:val="21"/>
              </w:rPr>
              <w:t>0.037</w:t>
            </w:r>
          </w:p>
        </w:tc>
      </w:tr>
      <w:tr w14:paraId="07A3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50A8D0E3">
            <w:pPr>
              <w:spacing w:before="0" w:after="0" w:line="320" w:lineRule="exact"/>
              <w:jc w:val="left"/>
            </w:pPr>
            <w:r>
              <w:rPr>
                <w:rFonts w:ascii="Times New Roman" w:hAnsi="Times New Roman" w:eastAsia="宋体"/>
                <w:b w:val="0"/>
                <w:sz w:val="21"/>
              </w:rPr>
              <w:t>物质载体数</w:t>
            </w:r>
          </w:p>
        </w:tc>
        <w:tc>
          <w:tcPr>
            <w:tcW w:w="1091" w:type="dxa"/>
            <w:vAlign w:val="center"/>
          </w:tcPr>
          <w:p w14:paraId="4D927085">
            <w:pPr>
              <w:spacing w:before="0" w:after="0" w:line="320" w:lineRule="exact"/>
              <w:jc w:val="left"/>
            </w:pPr>
            <w:r>
              <w:rPr>
                <w:rFonts w:ascii="Times New Roman" w:hAnsi="Times New Roman" w:eastAsia="宋体"/>
                <w:b w:val="0"/>
                <w:sz w:val="21"/>
              </w:rPr>
              <w:t>−0.475</w:t>
            </w:r>
          </w:p>
        </w:tc>
        <w:tc>
          <w:tcPr>
            <w:tcW w:w="1091" w:type="dxa"/>
            <w:vAlign w:val="center"/>
          </w:tcPr>
          <w:p w14:paraId="54BAC25E">
            <w:pPr>
              <w:spacing w:before="0" w:after="0" w:line="320" w:lineRule="exact"/>
              <w:jc w:val="left"/>
            </w:pPr>
            <w:r>
              <w:rPr>
                <w:rFonts w:ascii="Times New Roman" w:hAnsi="Times New Roman" w:eastAsia="宋体"/>
                <w:b w:val="0"/>
                <w:sz w:val="21"/>
              </w:rPr>
              <w:t>1.000</w:t>
            </w:r>
          </w:p>
        </w:tc>
        <w:tc>
          <w:tcPr>
            <w:tcW w:w="1091" w:type="dxa"/>
            <w:vAlign w:val="center"/>
          </w:tcPr>
          <w:p w14:paraId="29E3D529">
            <w:pPr>
              <w:spacing w:before="0" w:after="0" w:line="320" w:lineRule="exact"/>
              <w:jc w:val="left"/>
            </w:pPr>
            <w:r>
              <w:rPr>
                <w:rFonts w:ascii="Times New Roman" w:hAnsi="Times New Roman" w:eastAsia="宋体"/>
                <w:b w:val="0"/>
                <w:sz w:val="21"/>
              </w:rPr>
              <w:t>0.065</w:t>
            </w:r>
          </w:p>
        </w:tc>
        <w:tc>
          <w:tcPr>
            <w:tcW w:w="1091" w:type="dxa"/>
            <w:vAlign w:val="center"/>
          </w:tcPr>
          <w:p w14:paraId="172A8B7F">
            <w:pPr>
              <w:spacing w:before="0" w:after="0" w:line="320" w:lineRule="exact"/>
              <w:jc w:val="left"/>
            </w:pPr>
            <w:r>
              <w:rPr>
                <w:rFonts w:ascii="Times New Roman" w:hAnsi="Times New Roman" w:eastAsia="宋体"/>
                <w:b w:val="0"/>
                <w:sz w:val="21"/>
              </w:rPr>
              <w:t>0.584</w:t>
            </w:r>
          </w:p>
        </w:tc>
        <w:tc>
          <w:tcPr>
            <w:tcW w:w="1091" w:type="dxa"/>
            <w:vAlign w:val="center"/>
          </w:tcPr>
          <w:p w14:paraId="3C9B1DA2">
            <w:pPr>
              <w:spacing w:before="0" w:after="0" w:line="320" w:lineRule="exact"/>
              <w:jc w:val="left"/>
            </w:pPr>
            <w:r>
              <w:rPr>
                <w:rFonts w:ascii="Times New Roman" w:hAnsi="Times New Roman" w:eastAsia="宋体"/>
                <w:b w:val="0"/>
                <w:sz w:val="21"/>
              </w:rPr>
              <w:t>0.029</w:t>
            </w:r>
          </w:p>
        </w:tc>
        <w:tc>
          <w:tcPr>
            <w:tcW w:w="1091" w:type="dxa"/>
            <w:vAlign w:val="center"/>
          </w:tcPr>
          <w:p w14:paraId="37E5FD18">
            <w:pPr>
              <w:spacing w:before="0" w:after="0" w:line="320" w:lineRule="exact"/>
              <w:jc w:val="left"/>
            </w:pPr>
            <w:r>
              <w:rPr>
                <w:rFonts w:ascii="Times New Roman" w:hAnsi="Times New Roman" w:eastAsia="宋体"/>
                <w:b w:val="0"/>
                <w:sz w:val="21"/>
              </w:rPr>
              <w:t>0.426</w:t>
            </w:r>
          </w:p>
        </w:tc>
        <w:tc>
          <w:tcPr>
            <w:tcW w:w="1091" w:type="dxa"/>
            <w:vAlign w:val="center"/>
          </w:tcPr>
          <w:p w14:paraId="1145F2FC">
            <w:pPr>
              <w:spacing w:before="0" w:after="0" w:line="320" w:lineRule="exact"/>
              <w:jc w:val="left"/>
            </w:pPr>
            <w:r>
              <w:rPr>
                <w:rFonts w:ascii="Times New Roman" w:hAnsi="Times New Roman" w:eastAsia="宋体"/>
                <w:b w:val="0"/>
                <w:sz w:val="21"/>
              </w:rPr>
              <w:t>0.157</w:t>
            </w:r>
          </w:p>
        </w:tc>
      </w:tr>
      <w:tr w14:paraId="438A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053D17DF">
            <w:pPr>
              <w:spacing w:before="0" w:after="0" w:line="320" w:lineRule="exact"/>
              <w:jc w:val="left"/>
            </w:pPr>
            <w:r>
              <w:rPr>
                <w:rFonts w:ascii="Times New Roman" w:hAnsi="Times New Roman" w:eastAsia="宋体"/>
                <w:b w:val="0"/>
                <w:sz w:val="21"/>
              </w:rPr>
              <w:t>非遗覆盖项次</w:t>
            </w:r>
          </w:p>
        </w:tc>
        <w:tc>
          <w:tcPr>
            <w:tcW w:w="1091" w:type="dxa"/>
            <w:vAlign w:val="center"/>
          </w:tcPr>
          <w:p w14:paraId="75E9059E">
            <w:pPr>
              <w:spacing w:before="0" w:after="0" w:line="320" w:lineRule="exact"/>
              <w:jc w:val="left"/>
            </w:pPr>
            <w:r>
              <w:rPr>
                <w:rFonts w:ascii="Times New Roman" w:hAnsi="Times New Roman" w:eastAsia="宋体"/>
                <w:b w:val="0"/>
                <w:sz w:val="21"/>
              </w:rPr>
              <w:t>0.372</w:t>
            </w:r>
          </w:p>
        </w:tc>
        <w:tc>
          <w:tcPr>
            <w:tcW w:w="1091" w:type="dxa"/>
            <w:vAlign w:val="center"/>
          </w:tcPr>
          <w:p w14:paraId="3CD98DA8">
            <w:pPr>
              <w:spacing w:before="0" w:after="0" w:line="320" w:lineRule="exact"/>
              <w:jc w:val="left"/>
            </w:pPr>
            <w:r>
              <w:rPr>
                <w:rFonts w:ascii="Times New Roman" w:hAnsi="Times New Roman" w:eastAsia="宋体"/>
                <w:b w:val="0"/>
                <w:sz w:val="21"/>
              </w:rPr>
              <w:t>0.065</w:t>
            </w:r>
          </w:p>
        </w:tc>
        <w:tc>
          <w:tcPr>
            <w:tcW w:w="1091" w:type="dxa"/>
            <w:vAlign w:val="center"/>
          </w:tcPr>
          <w:p w14:paraId="35DF86B2">
            <w:pPr>
              <w:spacing w:before="0" w:after="0" w:line="320" w:lineRule="exact"/>
              <w:jc w:val="left"/>
            </w:pPr>
            <w:r>
              <w:rPr>
                <w:rFonts w:ascii="Times New Roman" w:hAnsi="Times New Roman" w:eastAsia="宋体"/>
                <w:b w:val="0"/>
                <w:sz w:val="21"/>
              </w:rPr>
              <w:t>1.000</w:t>
            </w:r>
          </w:p>
        </w:tc>
        <w:tc>
          <w:tcPr>
            <w:tcW w:w="1091" w:type="dxa"/>
            <w:vAlign w:val="center"/>
          </w:tcPr>
          <w:p w14:paraId="7E7247B0">
            <w:pPr>
              <w:spacing w:before="0" w:after="0" w:line="320" w:lineRule="exact"/>
              <w:jc w:val="left"/>
            </w:pPr>
            <w:r>
              <w:rPr>
                <w:rFonts w:ascii="Times New Roman" w:hAnsi="Times New Roman" w:eastAsia="宋体"/>
                <w:b w:val="0"/>
                <w:sz w:val="21"/>
              </w:rPr>
              <w:t>−0.323</w:t>
            </w:r>
          </w:p>
        </w:tc>
        <w:tc>
          <w:tcPr>
            <w:tcW w:w="1091" w:type="dxa"/>
            <w:vAlign w:val="center"/>
          </w:tcPr>
          <w:p w14:paraId="5F53EC1F">
            <w:pPr>
              <w:spacing w:before="0" w:after="0" w:line="320" w:lineRule="exact"/>
              <w:jc w:val="left"/>
            </w:pPr>
            <w:r>
              <w:rPr>
                <w:rFonts w:ascii="Times New Roman" w:hAnsi="Times New Roman" w:eastAsia="宋体"/>
                <w:b w:val="0"/>
                <w:sz w:val="21"/>
              </w:rPr>
              <w:t>0.289</w:t>
            </w:r>
          </w:p>
        </w:tc>
        <w:tc>
          <w:tcPr>
            <w:tcW w:w="1091" w:type="dxa"/>
            <w:vAlign w:val="center"/>
          </w:tcPr>
          <w:p w14:paraId="692078A3">
            <w:pPr>
              <w:spacing w:before="0" w:after="0" w:line="320" w:lineRule="exact"/>
              <w:jc w:val="left"/>
            </w:pPr>
            <w:r>
              <w:rPr>
                <w:rFonts w:ascii="Times New Roman" w:hAnsi="Times New Roman" w:eastAsia="宋体"/>
                <w:b w:val="0"/>
                <w:sz w:val="21"/>
              </w:rPr>
              <w:t>0.660</w:t>
            </w:r>
          </w:p>
        </w:tc>
        <w:tc>
          <w:tcPr>
            <w:tcW w:w="1091" w:type="dxa"/>
            <w:vAlign w:val="center"/>
          </w:tcPr>
          <w:p w14:paraId="0F0D9174">
            <w:pPr>
              <w:spacing w:before="0" w:after="0" w:line="320" w:lineRule="exact"/>
              <w:jc w:val="left"/>
            </w:pPr>
            <w:r>
              <w:rPr>
                <w:rFonts w:ascii="Times New Roman" w:hAnsi="Times New Roman" w:eastAsia="宋体"/>
                <w:b w:val="0"/>
                <w:sz w:val="21"/>
              </w:rPr>
              <w:t>0.782</w:t>
            </w:r>
          </w:p>
        </w:tc>
      </w:tr>
      <w:tr w14:paraId="5FFE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5BA25D96">
            <w:pPr>
              <w:spacing w:before="0" w:after="0" w:line="320" w:lineRule="exact"/>
              <w:jc w:val="left"/>
            </w:pPr>
            <w:r>
              <w:rPr>
                <w:rFonts w:ascii="Times New Roman" w:hAnsi="Times New Roman" w:eastAsia="宋体"/>
                <w:b w:val="0"/>
                <w:sz w:val="21"/>
              </w:rPr>
              <w:t>CMI 均值</w:t>
            </w:r>
          </w:p>
        </w:tc>
        <w:tc>
          <w:tcPr>
            <w:tcW w:w="1091" w:type="dxa"/>
            <w:vAlign w:val="center"/>
          </w:tcPr>
          <w:p w14:paraId="03276C49">
            <w:pPr>
              <w:spacing w:before="0" w:after="0" w:line="320" w:lineRule="exact"/>
              <w:jc w:val="left"/>
            </w:pPr>
            <w:r>
              <w:rPr>
                <w:rFonts w:ascii="Times New Roman" w:hAnsi="Times New Roman" w:eastAsia="宋体"/>
                <w:b w:val="0"/>
                <w:sz w:val="21"/>
              </w:rPr>
              <w:t>0.040</w:t>
            </w:r>
          </w:p>
        </w:tc>
        <w:tc>
          <w:tcPr>
            <w:tcW w:w="1091" w:type="dxa"/>
            <w:vAlign w:val="center"/>
          </w:tcPr>
          <w:p w14:paraId="1172E0F4">
            <w:pPr>
              <w:spacing w:before="0" w:after="0" w:line="320" w:lineRule="exact"/>
              <w:jc w:val="left"/>
            </w:pPr>
            <w:r>
              <w:rPr>
                <w:rFonts w:ascii="Times New Roman" w:hAnsi="Times New Roman" w:eastAsia="宋体"/>
                <w:b w:val="0"/>
                <w:sz w:val="21"/>
              </w:rPr>
              <w:t>0.584</w:t>
            </w:r>
          </w:p>
        </w:tc>
        <w:tc>
          <w:tcPr>
            <w:tcW w:w="1091" w:type="dxa"/>
            <w:vAlign w:val="center"/>
          </w:tcPr>
          <w:p w14:paraId="2D004674">
            <w:pPr>
              <w:spacing w:before="0" w:after="0" w:line="320" w:lineRule="exact"/>
              <w:jc w:val="left"/>
            </w:pPr>
            <w:r>
              <w:rPr>
                <w:rFonts w:ascii="Times New Roman" w:hAnsi="Times New Roman" w:eastAsia="宋体"/>
                <w:b w:val="0"/>
                <w:sz w:val="21"/>
              </w:rPr>
              <w:t>−0.323</w:t>
            </w:r>
          </w:p>
        </w:tc>
        <w:tc>
          <w:tcPr>
            <w:tcW w:w="1091" w:type="dxa"/>
            <w:vAlign w:val="center"/>
          </w:tcPr>
          <w:p w14:paraId="12EFD7F9">
            <w:pPr>
              <w:spacing w:before="0" w:after="0" w:line="320" w:lineRule="exact"/>
              <w:jc w:val="left"/>
            </w:pPr>
            <w:r>
              <w:rPr>
                <w:rFonts w:ascii="Times New Roman" w:hAnsi="Times New Roman" w:eastAsia="宋体"/>
                <w:b w:val="0"/>
                <w:sz w:val="21"/>
              </w:rPr>
              <w:t>1.000</w:t>
            </w:r>
          </w:p>
        </w:tc>
        <w:tc>
          <w:tcPr>
            <w:tcW w:w="1091" w:type="dxa"/>
            <w:vAlign w:val="center"/>
          </w:tcPr>
          <w:p w14:paraId="141508E0">
            <w:pPr>
              <w:spacing w:before="0" w:after="0" w:line="320" w:lineRule="exact"/>
              <w:jc w:val="left"/>
            </w:pPr>
            <w:r>
              <w:rPr>
                <w:rFonts w:ascii="Times New Roman" w:hAnsi="Times New Roman" w:eastAsia="宋体"/>
                <w:b w:val="0"/>
                <w:sz w:val="21"/>
              </w:rPr>
              <w:t>0.227</w:t>
            </w:r>
          </w:p>
        </w:tc>
        <w:tc>
          <w:tcPr>
            <w:tcW w:w="1091" w:type="dxa"/>
            <w:vAlign w:val="center"/>
          </w:tcPr>
          <w:p w14:paraId="14E7B04C">
            <w:pPr>
              <w:spacing w:before="0" w:after="0" w:line="320" w:lineRule="exact"/>
              <w:jc w:val="left"/>
            </w:pPr>
            <w:r>
              <w:rPr>
                <w:rFonts w:ascii="Times New Roman" w:hAnsi="Times New Roman" w:eastAsia="宋体"/>
                <w:b w:val="0"/>
                <w:sz w:val="21"/>
              </w:rPr>
              <w:t>0.113</w:t>
            </w:r>
          </w:p>
        </w:tc>
        <w:tc>
          <w:tcPr>
            <w:tcW w:w="1091" w:type="dxa"/>
            <w:vAlign w:val="center"/>
          </w:tcPr>
          <w:p w14:paraId="1EBF9E6B">
            <w:pPr>
              <w:spacing w:before="0" w:after="0" w:line="320" w:lineRule="exact"/>
              <w:jc w:val="left"/>
            </w:pPr>
            <w:r>
              <w:rPr>
                <w:rFonts w:ascii="Times New Roman" w:hAnsi="Times New Roman" w:eastAsia="宋体"/>
                <w:b w:val="0"/>
                <w:sz w:val="21"/>
              </w:rPr>
              <w:t>−0.493</w:t>
            </w:r>
          </w:p>
        </w:tc>
      </w:tr>
      <w:tr w14:paraId="4F18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02621A8F">
            <w:pPr>
              <w:spacing w:before="0" w:after="0" w:line="320" w:lineRule="exact"/>
              <w:jc w:val="left"/>
            </w:pPr>
            <w:r>
              <w:rPr>
                <w:rFonts w:ascii="Times New Roman" w:hAnsi="Times New Roman" w:eastAsia="宋体"/>
                <w:b w:val="0"/>
                <w:sz w:val="21"/>
              </w:rPr>
              <w:t>OAI 均值</w:t>
            </w:r>
          </w:p>
        </w:tc>
        <w:tc>
          <w:tcPr>
            <w:tcW w:w="1091" w:type="dxa"/>
            <w:vAlign w:val="center"/>
          </w:tcPr>
          <w:p w14:paraId="6D10F992">
            <w:pPr>
              <w:spacing w:before="0" w:after="0" w:line="320" w:lineRule="exact"/>
              <w:jc w:val="left"/>
            </w:pPr>
            <w:r>
              <w:rPr>
                <w:rFonts w:ascii="Times New Roman" w:hAnsi="Times New Roman" w:eastAsia="宋体"/>
                <w:b w:val="0"/>
                <w:sz w:val="21"/>
              </w:rPr>
              <w:t>0.693</w:t>
            </w:r>
          </w:p>
        </w:tc>
        <w:tc>
          <w:tcPr>
            <w:tcW w:w="1091" w:type="dxa"/>
            <w:vAlign w:val="center"/>
          </w:tcPr>
          <w:p w14:paraId="3EAF8D80">
            <w:pPr>
              <w:spacing w:before="0" w:after="0" w:line="320" w:lineRule="exact"/>
              <w:jc w:val="left"/>
            </w:pPr>
            <w:r>
              <w:rPr>
                <w:rFonts w:ascii="Times New Roman" w:hAnsi="Times New Roman" w:eastAsia="宋体"/>
                <w:b w:val="0"/>
                <w:sz w:val="21"/>
              </w:rPr>
              <w:t>0.029</w:t>
            </w:r>
          </w:p>
        </w:tc>
        <w:tc>
          <w:tcPr>
            <w:tcW w:w="1091" w:type="dxa"/>
            <w:vAlign w:val="center"/>
          </w:tcPr>
          <w:p w14:paraId="07C8DFE2">
            <w:pPr>
              <w:spacing w:before="0" w:after="0" w:line="320" w:lineRule="exact"/>
              <w:jc w:val="left"/>
            </w:pPr>
            <w:r>
              <w:rPr>
                <w:rFonts w:ascii="Times New Roman" w:hAnsi="Times New Roman" w:eastAsia="宋体"/>
                <w:b w:val="0"/>
                <w:sz w:val="21"/>
              </w:rPr>
              <w:t>0.289</w:t>
            </w:r>
          </w:p>
        </w:tc>
        <w:tc>
          <w:tcPr>
            <w:tcW w:w="1091" w:type="dxa"/>
            <w:vAlign w:val="center"/>
          </w:tcPr>
          <w:p w14:paraId="722043E8">
            <w:pPr>
              <w:spacing w:before="0" w:after="0" w:line="320" w:lineRule="exact"/>
              <w:jc w:val="left"/>
            </w:pPr>
            <w:r>
              <w:rPr>
                <w:rFonts w:ascii="Times New Roman" w:hAnsi="Times New Roman" w:eastAsia="宋体"/>
                <w:b w:val="0"/>
                <w:sz w:val="21"/>
              </w:rPr>
              <w:t>0.227</w:t>
            </w:r>
          </w:p>
        </w:tc>
        <w:tc>
          <w:tcPr>
            <w:tcW w:w="1091" w:type="dxa"/>
            <w:vAlign w:val="center"/>
          </w:tcPr>
          <w:p w14:paraId="28EEF4BD">
            <w:pPr>
              <w:spacing w:before="0" w:after="0" w:line="320" w:lineRule="exact"/>
              <w:jc w:val="left"/>
            </w:pPr>
            <w:r>
              <w:rPr>
                <w:rFonts w:ascii="Times New Roman" w:hAnsi="Times New Roman" w:eastAsia="宋体"/>
                <w:b w:val="0"/>
                <w:sz w:val="21"/>
              </w:rPr>
              <w:t>1.000</w:t>
            </w:r>
          </w:p>
        </w:tc>
        <w:tc>
          <w:tcPr>
            <w:tcW w:w="1091" w:type="dxa"/>
            <w:vAlign w:val="center"/>
          </w:tcPr>
          <w:p w14:paraId="428023AA">
            <w:pPr>
              <w:spacing w:before="0" w:after="0" w:line="320" w:lineRule="exact"/>
              <w:jc w:val="left"/>
            </w:pPr>
            <w:r>
              <w:rPr>
                <w:rFonts w:ascii="Times New Roman" w:hAnsi="Times New Roman" w:eastAsia="宋体"/>
                <w:b w:val="0"/>
                <w:sz w:val="21"/>
              </w:rPr>
              <w:t>0.702</w:t>
            </w:r>
          </w:p>
        </w:tc>
        <w:tc>
          <w:tcPr>
            <w:tcW w:w="1091" w:type="dxa"/>
            <w:vAlign w:val="center"/>
          </w:tcPr>
          <w:p w14:paraId="60D454F1">
            <w:pPr>
              <w:spacing w:before="0" w:after="0" w:line="320" w:lineRule="exact"/>
              <w:jc w:val="left"/>
            </w:pPr>
            <w:r>
              <w:rPr>
                <w:rFonts w:ascii="Times New Roman" w:hAnsi="Times New Roman" w:eastAsia="宋体"/>
                <w:b w:val="0"/>
                <w:sz w:val="21"/>
              </w:rPr>
              <w:t>0.242</w:t>
            </w:r>
          </w:p>
        </w:tc>
      </w:tr>
      <w:tr w14:paraId="79A3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013AB371">
            <w:pPr>
              <w:spacing w:before="0" w:after="0" w:line="320" w:lineRule="exact"/>
              <w:jc w:val="left"/>
            </w:pPr>
            <w:r>
              <w:rPr>
                <w:rFonts w:ascii="Times New Roman" w:hAnsi="Times New Roman" w:eastAsia="宋体"/>
                <w:b w:val="0"/>
                <w:sz w:val="21"/>
              </w:rPr>
              <w:t>THI 均值</w:t>
            </w:r>
          </w:p>
        </w:tc>
        <w:tc>
          <w:tcPr>
            <w:tcW w:w="1091" w:type="dxa"/>
            <w:vAlign w:val="center"/>
          </w:tcPr>
          <w:p w14:paraId="3004F881">
            <w:pPr>
              <w:spacing w:before="0" w:after="0" w:line="320" w:lineRule="exact"/>
              <w:jc w:val="left"/>
            </w:pPr>
            <w:r>
              <w:rPr>
                <w:rFonts w:ascii="Times New Roman" w:hAnsi="Times New Roman" w:eastAsia="宋体"/>
                <w:b w:val="0"/>
                <w:sz w:val="21"/>
              </w:rPr>
              <w:t>0.314</w:t>
            </w:r>
          </w:p>
        </w:tc>
        <w:tc>
          <w:tcPr>
            <w:tcW w:w="1091" w:type="dxa"/>
            <w:vAlign w:val="center"/>
          </w:tcPr>
          <w:p w14:paraId="1EB94860">
            <w:pPr>
              <w:spacing w:before="0" w:after="0" w:line="320" w:lineRule="exact"/>
              <w:jc w:val="left"/>
            </w:pPr>
            <w:r>
              <w:rPr>
                <w:rFonts w:ascii="Times New Roman" w:hAnsi="Times New Roman" w:eastAsia="宋体"/>
                <w:b w:val="0"/>
                <w:sz w:val="21"/>
              </w:rPr>
              <w:t>0.426</w:t>
            </w:r>
          </w:p>
        </w:tc>
        <w:tc>
          <w:tcPr>
            <w:tcW w:w="1091" w:type="dxa"/>
            <w:vAlign w:val="center"/>
          </w:tcPr>
          <w:p w14:paraId="270CF5F2">
            <w:pPr>
              <w:spacing w:before="0" w:after="0" w:line="320" w:lineRule="exact"/>
              <w:jc w:val="left"/>
            </w:pPr>
            <w:r>
              <w:rPr>
                <w:rFonts w:ascii="Times New Roman" w:hAnsi="Times New Roman" w:eastAsia="宋体"/>
                <w:b w:val="0"/>
                <w:sz w:val="21"/>
              </w:rPr>
              <w:t>0.660</w:t>
            </w:r>
          </w:p>
        </w:tc>
        <w:tc>
          <w:tcPr>
            <w:tcW w:w="1091" w:type="dxa"/>
            <w:vAlign w:val="center"/>
          </w:tcPr>
          <w:p w14:paraId="630000B3">
            <w:pPr>
              <w:spacing w:before="0" w:after="0" w:line="320" w:lineRule="exact"/>
              <w:jc w:val="left"/>
            </w:pPr>
            <w:r>
              <w:rPr>
                <w:rFonts w:ascii="Times New Roman" w:hAnsi="Times New Roman" w:eastAsia="宋体"/>
                <w:b w:val="0"/>
                <w:sz w:val="21"/>
              </w:rPr>
              <w:t>0.113</w:t>
            </w:r>
          </w:p>
        </w:tc>
        <w:tc>
          <w:tcPr>
            <w:tcW w:w="1091" w:type="dxa"/>
            <w:vAlign w:val="center"/>
          </w:tcPr>
          <w:p w14:paraId="3AC7FA50">
            <w:pPr>
              <w:spacing w:before="0" w:after="0" w:line="320" w:lineRule="exact"/>
              <w:jc w:val="left"/>
            </w:pPr>
            <w:r>
              <w:rPr>
                <w:rFonts w:ascii="Times New Roman" w:hAnsi="Times New Roman" w:eastAsia="宋体"/>
                <w:b w:val="0"/>
                <w:sz w:val="21"/>
              </w:rPr>
              <w:t>0.702</w:t>
            </w:r>
          </w:p>
        </w:tc>
        <w:tc>
          <w:tcPr>
            <w:tcW w:w="1091" w:type="dxa"/>
            <w:vAlign w:val="center"/>
          </w:tcPr>
          <w:p w14:paraId="6335EBF1">
            <w:pPr>
              <w:spacing w:before="0" w:after="0" w:line="320" w:lineRule="exact"/>
              <w:jc w:val="left"/>
            </w:pPr>
            <w:r>
              <w:rPr>
                <w:rFonts w:ascii="Times New Roman" w:hAnsi="Times New Roman" w:eastAsia="宋体"/>
                <w:b w:val="0"/>
                <w:sz w:val="21"/>
              </w:rPr>
              <w:t>1.000</w:t>
            </w:r>
          </w:p>
        </w:tc>
        <w:tc>
          <w:tcPr>
            <w:tcW w:w="1091" w:type="dxa"/>
            <w:vAlign w:val="center"/>
          </w:tcPr>
          <w:p w14:paraId="7EE8B4E5">
            <w:pPr>
              <w:spacing w:before="0" w:after="0" w:line="320" w:lineRule="exact"/>
              <w:jc w:val="left"/>
            </w:pPr>
            <w:r>
              <w:rPr>
                <w:rFonts w:ascii="Times New Roman" w:hAnsi="Times New Roman" w:eastAsia="宋体"/>
                <w:b w:val="0"/>
                <w:sz w:val="21"/>
              </w:rPr>
              <w:t>0.758</w:t>
            </w:r>
          </w:p>
        </w:tc>
      </w:tr>
      <w:tr w14:paraId="31D4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1" w:type="dxa"/>
            <w:vAlign w:val="center"/>
          </w:tcPr>
          <w:p w14:paraId="5C959C61">
            <w:pPr>
              <w:spacing w:before="0" w:after="0" w:line="320" w:lineRule="exact"/>
              <w:jc w:val="left"/>
            </w:pPr>
            <w:r>
              <w:rPr>
                <w:rFonts w:ascii="Times New Roman" w:hAnsi="Times New Roman" w:eastAsia="宋体"/>
                <w:b w:val="0"/>
                <w:sz w:val="21"/>
              </w:rPr>
              <w:t>MI 均值</w:t>
            </w:r>
          </w:p>
        </w:tc>
        <w:tc>
          <w:tcPr>
            <w:tcW w:w="1091" w:type="dxa"/>
            <w:vAlign w:val="center"/>
          </w:tcPr>
          <w:p w14:paraId="2366332B">
            <w:pPr>
              <w:spacing w:before="0" w:after="0" w:line="320" w:lineRule="exact"/>
              <w:jc w:val="left"/>
            </w:pPr>
            <w:r>
              <w:rPr>
                <w:rFonts w:ascii="Times New Roman" w:hAnsi="Times New Roman" w:eastAsia="宋体"/>
                <w:b w:val="0"/>
                <w:sz w:val="21"/>
              </w:rPr>
              <w:t>0.037</w:t>
            </w:r>
          </w:p>
        </w:tc>
        <w:tc>
          <w:tcPr>
            <w:tcW w:w="1091" w:type="dxa"/>
            <w:vAlign w:val="center"/>
          </w:tcPr>
          <w:p w14:paraId="3E11EED5">
            <w:pPr>
              <w:spacing w:before="0" w:after="0" w:line="320" w:lineRule="exact"/>
              <w:jc w:val="left"/>
            </w:pPr>
            <w:r>
              <w:rPr>
                <w:rFonts w:ascii="Times New Roman" w:hAnsi="Times New Roman" w:eastAsia="宋体"/>
                <w:b w:val="0"/>
                <w:sz w:val="21"/>
              </w:rPr>
              <w:t>0.157</w:t>
            </w:r>
          </w:p>
        </w:tc>
        <w:tc>
          <w:tcPr>
            <w:tcW w:w="1091" w:type="dxa"/>
            <w:vAlign w:val="center"/>
          </w:tcPr>
          <w:p w14:paraId="2A13A35E">
            <w:pPr>
              <w:spacing w:before="0" w:after="0" w:line="320" w:lineRule="exact"/>
              <w:jc w:val="left"/>
            </w:pPr>
            <w:r>
              <w:rPr>
                <w:rFonts w:ascii="Times New Roman" w:hAnsi="Times New Roman" w:eastAsia="宋体"/>
                <w:b w:val="0"/>
                <w:sz w:val="21"/>
              </w:rPr>
              <w:t>0.782</w:t>
            </w:r>
          </w:p>
        </w:tc>
        <w:tc>
          <w:tcPr>
            <w:tcW w:w="1091" w:type="dxa"/>
            <w:vAlign w:val="center"/>
          </w:tcPr>
          <w:p w14:paraId="75E678DD">
            <w:pPr>
              <w:spacing w:before="0" w:after="0" w:line="320" w:lineRule="exact"/>
              <w:jc w:val="left"/>
            </w:pPr>
            <w:r>
              <w:rPr>
                <w:rFonts w:ascii="Times New Roman" w:hAnsi="Times New Roman" w:eastAsia="宋体"/>
                <w:b w:val="0"/>
                <w:sz w:val="21"/>
              </w:rPr>
              <w:t>−0.493</w:t>
            </w:r>
          </w:p>
        </w:tc>
        <w:tc>
          <w:tcPr>
            <w:tcW w:w="1091" w:type="dxa"/>
            <w:vAlign w:val="center"/>
          </w:tcPr>
          <w:p w14:paraId="42711CF5">
            <w:pPr>
              <w:spacing w:before="0" w:after="0" w:line="320" w:lineRule="exact"/>
              <w:jc w:val="left"/>
            </w:pPr>
            <w:r>
              <w:rPr>
                <w:rFonts w:ascii="Times New Roman" w:hAnsi="Times New Roman" w:eastAsia="宋体"/>
                <w:b w:val="0"/>
                <w:sz w:val="21"/>
              </w:rPr>
              <w:t>0.242</w:t>
            </w:r>
          </w:p>
        </w:tc>
        <w:tc>
          <w:tcPr>
            <w:tcW w:w="1091" w:type="dxa"/>
            <w:vAlign w:val="center"/>
          </w:tcPr>
          <w:p w14:paraId="19428676">
            <w:pPr>
              <w:spacing w:before="0" w:after="0" w:line="320" w:lineRule="exact"/>
              <w:jc w:val="left"/>
            </w:pPr>
            <w:r>
              <w:rPr>
                <w:rFonts w:ascii="Times New Roman" w:hAnsi="Times New Roman" w:eastAsia="宋体"/>
                <w:b w:val="0"/>
                <w:sz w:val="21"/>
              </w:rPr>
              <w:t>0.758</w:t>
            </w:r>
          </w:p>
        </w:tc>
        <w:tc>
          <w:tcPr>
            <w:tcW w:w="1091" w:type="dxa"/>
            <w:vAlign w:val="center"/>
          </w:tcPr>
          <w:p w14:paraId="671C1733">
            <w:pPr>
              <w:spacing w:before="0" w:after="0" w:line="320" w:lineRule="exact"/>
              <w:jc w:val="left"/>
            </w:pPr>
            <w:r>
              <w:rPr>
                <w:rFonts w:ascii="Times New Roman" w:hAnsi="Times New Roman" w:eastAsia="宋体"/>
                <w:b w:val="0"/>
                <w:sz w:val="21"/>
              </w:rPr>
              <w:t>1.000</w:t>
            </w:r>
          </w:p>
        </w:tc>
      </w:tr>
    </w:tbl>
    <w:p w14:paraId="67D92550">
      <w:pPr>
        <w:spacing w:before="40" w:after="120" w:line="400" w:lineRule="exact"/>
        <w:jc w:val="center"/>
      </w:pPr>
      <w:r>
        <w:rPr>
          <w:rFonts w:ascii="Times New Roman" w:hAnsi="Times New Roman" w:eastAsia="宋体"/>
          <w:b/>
          <w:sz w:val="21"/>
        </w:rPr>
        <w:t>表 6.5　镇街级指标相关矩阵（Pearson, n = 7）</w:t>
      </w:r>
    </w:p>
    <w:p w14:paraId="08907783">
      <w:pPr>
        <w:spacing w:before="0" w:after="0" w:line="400" w:lineRule="exact"/>
        <w:ind w:firstLine="480"/>
        <w:jc w:val="left"/>
      </w:pPr>
      <w:r>
        <w:rPr>
          <w:rFonts w:ascii="Times New Roman" w:hAnsi="Times New Roman" w:eastAsia="宋体"/>
          <w:b w:val="0"/>
          <w:sz w:val="24"/>
        </w:rPr>
        <w:t>镇街级样本只有 7 个，相关系数只能作为提示性结果，不作统计显著性解释。结合空间格局来看，物质载体数与 POI 总量呈中等负相关（r = −0.475），再次说明西南部文化资源和东北部旅游供给之间存在方向性分离。本表中的非遗覆盖项次按镇街归属统计，跨镇项目会在相关镇街中同时体现，因此不同于第 3 章的 90 项唯一项目口径。非遗覆盖项次与 THI 均值、MI 均值呈正相关，可能与西樵、九江等非遗较多镇街同时具有部分景区或文化场馆有关。OAI 均值与 POI 总量、THI 均值呈正相关，提示官方认定和旅游可见度之间存在一定联系，但这一结果不能直接解释为“评级导致热度提升”。</w:t>
      </w:r>
    </w:p>
    <w:p w14:paraId="3420AA45">
      <w:pPr>
        <w:spacing w:before="240" w:after="120" w:line="400" w:lineRule="exact"/>
        <w:jc w:val="left"/>
        <w:outlineLvl w:val="2"/>
      </w:pPr>
      <w:bookmarkStart w:id="78" w:name="_Toc669"/>
      <w:r>
        <w:rPr>
          <w:rFonts w:ascii="Times New Roman" w:hAnsi="Times New Roman" w:eastAsia="黑体"/>
          <w:b/>
          <w:sz w:val="26"/>
        </w:rPr>
        <w:t>6.3.3 政策可干预条件与基础约束条件</w:t>
      </w:r>
      <w:bookmarkEnd w:id="78"/>
    </w:p>
    <w:p w14:paraId="48CCE834">
      <w:pPr>
        <w:spacing w:before="0" w:after="0" w:line="400" w:lineRule="exact"/>
        <w:ind w:firstLine="480"/>
        <w:jc w:val="left"/>
      </w:pPr>
      <w:r>
        <w:rPr>
          <w:rFonts w:ascii="Times New Roman" w:hAnsi="Times New Roman" w:eastAsia="宋体"/>
          <w:b w:val="0"/>
          <w:sz w:val="24"/>
        </w:rPr>
        <w:t>根据上述相关分析，本文将潜力释放条件分为政策可干预条件与基础约束条件两类（表 6.6）。前者可以通过规划、运营和公共投入进行改善，后者更适合作为筛选依据和差异化设计背景。</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183"/>
        <w:gridCol w:w="2183"/>
        <w:gridCol w:w="2183"/>
        <w:gridCol w:w="2183"/>
      </w:tblGrid>
      <w:tr w14:paraId="2F4A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4CE56474">
            <w:pPr>
              <w:spacing w:before="0" w:after="0" w:line="320" w:lineRule="exact"/>
              <w:jc w:val="center"/>
            </w:pPr>
            <w:r>
              <w:rPr>
                <w:rFonts w:ascii="Times New Roman" w:hAnsi="Times New Roman" w:eastAsia="宋体"/>
                <w:b/>
                <w:sz w:val="21"/>
              </w:rPr>
              <w:t>条件类型</w:t>
            </w:r>
          </w:p>
        </w:tc>
        <w:tc>
          <w:tcPr>
            <w:tcW w:w="2183" w:type="dxa"/>
            <w:vAlign w:val="center"/>
          </w:tcPr>
          <w:p w14:paraId="41838B36">
            <w:pPr>
              <w:spacing w:before="0" w:after="0" w:line="320" w:lineRule="exact"/>
              <w:jc w:val="center"/>
            </w:pPr>
            <w:r>
              <w:rPr>
                <w:rFonts w:ascii="Times New Roman" w:hAnsi="Times New Roman" w:eastAsia="宋体"/>
                <w:b/>
                <w:sz w:val="21"/>
              </w:rPr>
              <w:t>典型变量或环节</w:t>
            </w:r>
          </w:p>
        </w:tc>
        <w:tc>
          <w:tcPr>
            <w:tcW w:w="2183" w:type="dxa"/>
            <w:vAlign w:val="center"/>
          </w:tcPr>
          <w:p w14:paraId="58C5DD5F">
            <w:pPr>
              <w:spacing w:before="0" w:after="0" w:line="320" w:lineRule="exact"/>
              <w:jc w:val="center"/>
            </w:pPr>
            <w:r>
              <w:rPr>
                <w:rFonts w:ascii="Times New Roman" w:hAnsi="Times New Roman" w:eastAsia="宋体"/>
                <w:b/>
                <w:sz w:val="21"/>
              </w:rPr>
              <w:t>数据指向</w:t>
            </w:r>
          </w:p>
        </w:tc>
        <w:tc>
          <w:tcPr>
            <w:tcW w:w="2183" w:type="dxa"/>
            <w:vAlign w:val="center"/>
          </w:tcPr>
          <w:p w14:paraId="00730818">
            <w:pPr>
              <w:spacing w:before="0" w:after="0" w:line="320" w:lineRule="exact"/>
              <w:jc w:val="center"/>
            </w:pPr>
            <w:r>
              <w:rPr>
                <w:rFonts w:ascii="Times New Roman" w:hAnsi="Times New Roman" w:eastAsia="宋体"/>
                <w:b/>
                <w:sz w:val="21"/>
              </w:rPr>
              <w:t>建议着力方向</w:t>
            </w:r>
          </w:p>
        </w:tc>
      </w:tr>
      <w:tr w14:paraId="32F7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445BC61C">
            <w:pPr>
              <w:spacing w:before="0" w:after="0" w:line="320" w:lineRule="exact"/>
              <w:jc w:val="left"/>
            </w:pPr>
            <w:r>
              <w:rPr>
                <w:rFonts w:ascii="Times New Roman" w:hAnsi="Times New Roman" w:eastAsia="宋体"/>
                <w:b w:val="0"/>
                <w:sz w:val="21"/>
              </w:rPr>
              <w:t>政策可干预</w:t>
            </w:r>
          </w:p>
        </w:tc>
        <w:tc>
          <w:tcPr>
            <w:tcW w:w="2183" w:type="dxa"/>
            <w:vAlign w:val="center"/>
          </w:tcPr>
          <w:p w14:paraId="10BE9F59">
            <w:pPr>
              <w:spacing w:before="0" w:after="0" w:line="320" w:lineRule="exact"/>
              <w:jc w:val="left"/>
            </w:pPr>
            <w:r>
              <w:rPr>
                <w:rFonts w:ascii="Times New Roman" w:hAnsi="Times New Roman" w:eastAsia="宋体"/>
                <w:b w:val="0"/>
                <w:sz w:val="21"/>
              </w:rPr>
              <w:t>评级申报与名录完善</w:t>
            </w:r>
          </w:p>
        </w:tc>
        <w:tc>
          <w:tcPr>
            <w:tcW w:w="2183" w:type="dxa"/>
            <w:vAlign w:val="center"/>
          </w:tcPr>
          <w:p w14:paraId="0D0E030C">
            <w:pPr>
              <w:spacing w:before="0" w:after="0" w:line="320" w:lineRule="exact"/>
              <w:jc w:val="left"/>
            </w:pPr>
            <w:r>
              <w:rPr>
                <w:rFonts w:ascii="Times New Roman" w:hAnsi="Times New Roman" w:eastAsia="宋体"/>
                <w:b w:val="0"/>
                <w:sz w:val="21"/>
              </w:rPr>
              <w:t>OAI 与 POI 总量、THI 均值存在正相关</w:t>
            </w:r>
          </w:p>
        </w:tc>
        <w:tc>
          <w:tcPr>
            <w:tcW w:w="2183" w:type="dxa"/>
            <w:vAlign w:val="center"/>
          </w:tcPr>
          <w:p w14:paraId="6DA5D4D6">
            <w:pPr>
              <w:spacing w:before="0" w:after="0" w:line="320" w:lineRule="exact"/>
              <w:jc w:val="left"/>
            </w:pPr>
            <w:r>
              <w:rPr>
                <w:rFonts w:ascii="Times New Roman" w:hAnsi="Times New Roman" w:eastAsia="宋体"/>
                <w:b w:val="0"/>
                <w:sz w:val="21"/>
              </w:rPr>
              <w:t>优先支持条件成熟的沉睡潜力载体完善申报和服务标准</w:t>
            </w:r>
          </w:p>
        </w:tc>
      </w:tr>
      <w:tr w14:paraId="6BC9D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3211CFE2">
            <w:pPr>
              <w:spacing w:before="0" w:after="0" w:line="320" w:lineRule="exact"/>
              <w:jc w:val="left"/>
            </w:pPr>
            <w:r>
              <w:rPr>
                <w:rFonts w:ascii="Times New Roman" w:hAnsi="Times New Roman" w:eastAsia="宋体"/>
                <w:b w:val="0"/>
                <w:sz w:val="21"/>
              </w:rPr>
              <w:t>政策可干预</w:t>
            </w:r>
          </w:p>
        </w:tc>
        <w:tc>
          <w:tcPr>
            <w:tcW w:w="2183" w:type="dxa"/>
            <w:vAlign w:val="center"/>
          </w:tcPr>
          <w:p w14:paraId="4F0E752B">
            <w:pPr>
              <w:spacing w:before="0" w:after="0" w:line="320" w:lineRule="exact"/>
              <w:jc w:val="left"/>
            </w:pPr>
            <w:r>
              <w:rPr>
                <w:rFonts w:ascii="Times New Roman" w:hAnsi="Times New Roman" w:eastAsia="宋体"/>
                <w:b w:val="0"/>
                <w:sz w:val="21"/>
              </w:rPr>
              <w:t>解说系统与体验内容</w:t>
            </w:r>
          </w:p>
        </w:tc>
        <w:tc>
          <w:tcPr>
            <w:tcW w:w="2183" w:type="dxa"/>
            <w:vAlign w:val="center"/>
          </w:tcPr>
          <w:p w14:paraId="43582737">
            <w:pPr>
              <w:spacing w:before="0" w:after="0" w:line="320" w:lineRule="exact"/>
              <w:jc w:val="left"/>
            </w:pPr>
            <w:r>
              <w:rPr>
                <w:rFonts w:ascii="Times New Roman" w:hAnsi="Times New Roman" w:eastAsia="宋体"/>
                <w:b w:val="0"/>
                <w:sz w:val="21"/>
              </w:rPr>
              <w:t>评分与 THI 关系较强</w:t>
            </w:r>
          </w:p>
        </w:tc>
        <w:tc>
          <w:tcPr>
            <w:tcW w:w="2183" w:type="dxa"/>
            <w:vAlign w:val="center"/>
          </w:tcPr>
          <w:p w14:paraId="2A768A06">
            <w:pPr>
              <w:spacing w:before="0" w:after="0" w:line="320" w:lineRule="exact"/>
              <w:jc w:val="left"/>
            </w:pPr>
            <w:r>
              <w:rPr>
                <w:rFonts w:ascii="Times New Roman" w:hAnsi="Times New Roman" w:eastAsia="宋体"/>
                <w:b w:val="0"/>
                <w:sz w:val="21"/>
              </w:rPr>
              <w:t>在空心景点区补足地方文化叙事和互动体验</w:t>
            </w:r>
          </w:p>
        </w:tc>
      </w:tr>
      <w:tr w14:paraId="7564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10274488">
            <w:pPr>
              <w:spacing w:before="0" w:after="0" w:line="320" w:lineRule="exact"/>
              <w:jc w:val="left"/>
            </w:pPr>
            <w:r>
              <w:rPr>
                <w:rFonts w:ascii="Times New Roman" w:hAnsi="Times New Roman" w:eastAsia="宋体"/>
                <w:b w:val="0"/>
                <w:sz w:val="21"/>
              </w:rPr>
              <w:t>政策可干预</w:t>
            </w:r>
          </w:p>
        </w:tc>
        <w:tc>
          <w:tcPr>
            <w:tcW w:w="2183" w:type="dxa"/>
            <w:vAlign w:val="center"/>
          </w:tcPr>
          <w:p w14:paraId="24846BBC">
            <w:pPr>
              <w:spacing w:before="0" w:after="0" w:line="320" w:lineRule="exact"/>
              <w:jc w:val="left"/>
            </w:pPr>
            <w:r>
              <w:rPr>
                <w:rFonts w:ascii="Times New Roman" w:hAnsi="Times New Roman" w:eastAsia="宋体"/>
                <w:b w:val="0"/>
                <w:sz w:val="21"/>
              </w:rPr>
              <w:t>游线组织与交通接驳</w:t>
            </w:r>
          </w:p>
        </w:tc>
        <w:tc>
          <w:tcPr>
            <w:tcW w:w="2183" w:type="dxa"/>
            <w:vAlign w:val="center"/>
          </w:tcPr>
          <w:p w14:paraId="0ACE3F1A">
            <w:pPr>
              <w:spacing w:before="0" w:after="0" w:line="320" w:lineRule="exact"/>
              <w:jc w:val="left"/>
            </w:pPr>
            <w:r>
              <w:rPr>
                <w:rFonts w:ascii="Times New Roman" w:hAnsi="Times New Roman" w:eastAsia="宋体"/>
                <w:b w:val="0"/>
                <w:sz w:val="21"/>
              </w:rPr>
              <w:t>POI 数量与 THI 关系较强</w:t>
            </w:r>
          </w:p>
        </w:tc>
        <w:tc>
          <w:tcPr>
            <w:tcW w:w="2183" w:type="dxa"/>
            <w:vAlign w:val="center"/>
          </w:tcPr>
          <w:p w14:paraId="1CA34D4E">
            <w:pPr>
              <w:spacing w:before="0" w:after="0" w:line="320" w:lineRule="exact"/>
              <w:jc w:val="left"/>
            </w:pPr>
            <w:r>
              <w:rPr>
                <w:rFonts w:ascii="Times New Roman" w:hAnsi="Times New Roman" w:eastAsia="宋体"/>
                <w:b w:val="0"/>
                <w:sz w:val="21"/>
              </w:rPr>
              <w:t>强化西南片区节点串联和公共交通可达性</w:t>
            </w:r>
          </w:p>
        </w:tc>
      </w:tr>
      <w:tr w14:paraId="3629D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1B87F2F5">
            <w:pPr>
              <w:spacing w:before="0" w:after="0" w:line="320" w:lineRule="exact"/>
              <w:jc w:val="left"/>
            </w:pPr>
            <w:r>
              <w:rPr>
                <w:rFonts w:ascii="Times New Roman" w:hAnsi="Times New Roman" w:eastAsia="宋体"/>
                <w:b w:val="0"/>
                <w:sz w:val="21"/>
              </w:rPr>
              <w:t>政策可干预</w:t>
            </w:r>
          </w:p>
        </w:tc>
        <w:tc>
          <w:tcPr>
            <w:tcW w:w="2183" w:type="dxa"/>
            <w:vAlign w:val="center"/>
          </w:tcPr>
          <w:p w14:paraId="08A517DD">
            <w:pPr>
              <w:spacing w:before="0" w:after="0" w:line="320" w:lineRule="exact"/>
              <w:jc w:val="left"/>
            </w:pPr>
            <w:r>
              <w:rPr>
                <w:rFonts w:ascii="Times New Roman" w:hAnsi="Times New Roman" w:eastAsia="宋体"/>
                <w:b w:val="0"/>
                <w:sz w:val="21"/>
              </w:rPr>
              <w:t>活态传习与活动运营</w:t>
            </w:r>
          </w:p>
        </w:tc>
        <w:tc>
          <w:tcPr>
            <w:tcW w:w="2183" w:type="dxa"/>
            <w:vAlign w:val="center"/>
          </w:tcPr>
          <w:p w14:paraId="6108CF71">
            <w:pPr>
              <w:spacing w:before="0" w:after="0" w:line="320" w:lineRule="exact"/>
              <w:jc w:val="left"/>
            </w:pPr>
            <w:r>
              <w:rPr>
                <w:rFonts w:ascii="Times New Roman" w:hAnsi="Times New Roman" w:eastAsia="宋体"/>
                <w:b w:val="0"/>
                <w:sz w:val="21"/>
              </w:rPr>
              <w:t>评论量与 THI 关系较强</w:t>
            </w:r>
          </w:p>
        </w:tc>
        <w:tc>
          <w:tcPr>
            <w:tcW w:w="2183" w:type="dxa"/>
            <w:vAlign w:val="center"/>
          </w:tcPr>
          <w:p w14:paraId="76EBF7F1">
            <w:pPr>
              <w:spacing w:before="0" w:after="0" w:line="320" w:lineRule="exact"/>
              <w:jc w:val="left"/>
            </w:pPr>
            <w:r>
              <w:rPr>
                <w:rFonts w:ascii="Times New Roman" w:hAnsi="Times New Roman" w:eastAsia="宋体"/>
                <w:b w:val="0"/>
                <w:sz w:val="21"/>
              </w:rPr>
              <w:t>在历史村落、非遗空间和文化场馆中组织可停留活动</w:t>
            </w:r>
          </w:p>
        </w:tc>
      </w:tr>
      <w:tr w14:paraId="2F4A5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4091E1A4">
            <w:pPr>
              <w:spacing w:before="0" w:after="0" w:line="320" w:lineRule="exact"/>
              <w:jc w:val="left"/>
            </w:pPr>
            <w:r>
              <w:rPr>
                <w:rFonts w:ascii="Times New Roman" w:hAnsi="Times New Roman" w:eastAsia="宋体"/>
                <w:b w:val="0"/>
                <w:sz w:val="21"/>
              </w:rPr>
              <w:t>基础约束</w:t>
            </w:r>
          </w:p>
        </w:tc>
        <w:tc>
          <w:tcPr>
            <w:tcW w:w="2183" w:type="dxa"/>
            <w:vAlign w:val="center"/>
          </w:tcPr>
          <w:p w14:paraId="0447875F">
            <w:pPr>
              <w:spacing w:before="0" w:after="0" w:line="320" w:lineRule="exact"/>
              <w:jc w:val="left"/>
            </w:pPr>
            <w:r>
              <w:rPr>
                <w:rFonts w:ascii="Times New Roman" w:hAnsi="Times New Roman" w:eastAsia="宋体"/>
                <w:b w:val="0"/>
                <w:sz w:val="21"/>
              </w:rPr>
              <w:t>文化记忆深度</w:t>
            </w:r>
          </w:p>
        </w:tc>
        <w:tc>
          <w:tcPr>
            <w:tcW w:w="2183" w:type="dxa"/>
            <w:vAlign w:val="center"/>
          </w:tcPr>
          <w:p w14:paraId="0BEA279F">
            <w:pPr>
              <w:spacing w:before="0" w:after="0" w:line="320" w:lineRule="exact"/>
              <w:jc w:val="left"/>
            </w:pPr>
            <w:r>
              <w:rPr>
                <w:rFonts w:ascii="Times New Roman" w:hAnsi="Times New Roman" w:eastAsia="宋体"/>
                <w:b w:val="0"/>
                <w:sz w:val="21"/>
              </w:rPr>
              <w:t>CMI 相对稳定，难以短期改变</w:t>
            </w:r>
          </w:p>
        </w:tc>
        <w:tc>
          <w:tcPr>
            <w:tcW w:w="2183" w:type="dxa"/>
            <w:vAlign w:val="center"/>
          </w:tcPr>
          <w:p w14:paraId="6FF6E75D">
            <w:pPr>
              <w:spacing w:before="0" w:after="0" w:line="320" w:lineRule="exact"/>
              <w:jc w:val="left"/>
            </w:pPr>
            <w:r>
              <w:rPr>
                <w:rFonts w:ascii="Times New Roman" w:hAnsi="Times New Roman" w:eastAsia="宋体"/>
                <w:b w:val="0"/>
                <w:sz w:val="21"/>
              </w:rPr>
              <w:t>作为识别潜力资源的依据</w:t>
            </w:r>
          </w:p>
        </w:tc>
      </w:tr>
      <w:tr w14:paraId="27FA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6B666334">
            <w:pPr>
              <w:spacing w:before="0" w:after="0" w:line="320" w:lineRule="exact"/>
              <w:jc w:val="left"/>
            </w:pPr>
            <w:r>
              <w:rPr>
                <w:rFonts w:ascii="Times New Roman" w:hAnsi="Times New Roman" w:eastAsia="宋体"/>
                <w:b w:val="0"/>
                <w:sz w:val="21"/>
              </w:rPr>
              <w:t>基础约束</w:t>
            </w:r>
          </w:p>
        </w:tc>
        <w:tc>
          <w:tcPr>
            <w:tcW w:w="2183" w:type="dxa"/>
            <w:vAlign w:val="center"/>
          </w:tcPr>
          <w:p w14:paraId="70D34419">
            <w:pPr>
              <w:spacing w:before="0" w:after="0" w:line="320" w:lineRule="exact"/>
              <w:jc w:val="left"/>
            </w:pPr>
            <w:r>
              <w:rPr>
                <w:rFonts w:ascii="Times New Roman" w:hAnsi="Times New Roman" w:eastAsia="宋体"/>
                <w:b w:val="0"/>
                <w:sz w:val="21"/>
              </w:rPr>
              <w:t>城镇化和市场规模</w:t>
            </w:r>
          </w:p>
        </w:tc>
        <w:tc>
          <w:tcPr>
            <w:tcW w:w="2183" w:type="dxa"/>
            <w:vAlign w:val="center"/>
          </w:tcPr>
          <w:p w14:paraId="7D7B0FE6">
            <w:pPr>
              <w:spacing w:before="0" w:after="0" w:line="320" w:lineRule="exact"/>
              <w:jc w:val="left"/>
            </w:pPr>
            <w:r>
              <w:rPr>
                <w:rFonts w:ascii="Times New Roman" w:hAnsi="Times New Roman" w:eastAsia="宋体"/>
                <w:b w:val="0"/>
                <w:sz w:val="21"/>
              </w:rPr>
              <w:t>东北部 POI 供给更集中</w:t>
            </w:r>
          </w:p>
        </w:tc>
        <w:tc>
          <w:tcPr>
            <w:tcW w:w="2183" w:type="dxa"/>
            <w:vAlign w:val="center"/>
          </w:tcPr>
          <w:p w14:paraId="14AFA960">
            <w:pPr>
              <w:spacing w:before="0" w:after="0" w:line="320" w:lineRule="exact"/>
              <w:jc w:val="left"/>
            </w:pPr>
            <w:r>
              <w:rPr>
                <w:rFonts w:ascii="Times New Roman" w:hAnsi="Times New Roman" w:eastAsia="宋体"/>
                <w:b w:val="0"/>
                <w:sz w:val="21"/>
              </w:rPr>
              <w:t>作为解释旅游热度差异的背景变量</w:t>
            </w:r>
          </w:p>
        </w:tc>
      </w:tr>
      <w:tr w14:paraId="0A74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5872A17C">
            <w:pPr>
              <w:spacing w:before="0" w:after="0" w:line="320" w:lineRule="exact"/>
              <w:jc w:val="left"/>
            </w:pPr>
            <w:r>
              <w:rPr>
                <w:rFonts w:ascii="Times New Roman" w:hAnsi="Times New Roman" w:eastAsia="宋体"/>
                <w:b w:val="0"/>
                <w:sz w:val="21"/>
              </w:rPr>
              <w:t>基础约束</w:t>
            </w:r>
          </w:p>
        </w:tc>
        <w:tc>
          <w:tcPr>
            <w:tcW w:w="2183" w:type="dxa"/>
            <w:vAlign w:val="center"/>
          </w:tcPr>
          <w:p w14:paraId="0BC37093">
            <w:pPr>
              <w:spacing w:before="0" w:after="0" w:line="320" w:lineRule="exact"/>
              <w:jc w:val="left"/>
            </w:pPr>
            <w:r>
              <w:rPr>
                <w:rFonts w:ascii="Times New Roman" w:hAnsi="Times New Roman" w:eastAsia="宋体"/>
                <w:b w:val="0"/>
                <w:sz w:val="21"/>
              </w:rPr>
              <w:t>山水本底与历史空间格局</w:t>
            </w:r>
          </w:p>
        </w:tc>
        <w:tc>
          <w:tcPr>
            <w:tcW w:w="2183" w:type="dxa"/>
            <w:vAlign w:val="center"/>
          </w:tcPr>
          <w:p w14:paraId="058D8726">
            <w:pPr>
              <w:spacing w:before="0" w:after="0" w:line="320" w:lineRule="exact"/>
              <w:jc w:val="left"/>
            </w:pPr>
            <w:r>
              <w:rPr>
                <w:rFonts w:ascii="Times New Roman" w:hAnsi="Times New Roman" w:eastAsia="宋体"/>
                <w:b w:val="0"/>
                <w:sz w:val="21"/>
              </w:rPr>
              <w:t>西南部文化资源更集中</w:t>
            </w:r>
          </w:p>
        </w:tc>
        <w:tc>
          <w:tcPr>
            <w:tcW w:w="2183" w:type="dxa"/>
            <w:vAlign w:val="center"/>
          </w:tcPr>
          <w:p w14:paraId="05A6B227">
            <w:pPr>
              <w:spacing w:before="0" w:after="0" w:line="320" w:lineRule="exact"/>
              <w:jc w:val="left"/>
            </w:pPr>
            <w:r>
              <w:rPr>
                <w:rFonts w:ascii="Times New Roman" w:hAnsi="Times New Roman" w:eastAsia="宋体"/>
                <w:b w:val="0"/>
                <w:sz w:val="21"/>
              </w:rPr>
              <w:t>作为片区化设计和游线组织依据</w:t>
            </w:r>
          </w:p>
        </w:tc>
      </w:tr>
    </w:tbl>
    <w:p w14:paraId="00FB7C17">
      <w:pPr>
        <w:spacing w:before="40" w:after="120" w:line="400" w:lineRule="exact"/>
        <w:jc w:val="center"/>
      </w:pPr>
      <w:r>
        <w:rPr>
          <w:rFonts w:ascii="Times New Roman" w:hAnsi="Times New Roman" w:eastAsia="宋体"/>
          <w:b/>
          <w:sz w:val="21"/>
        </w:rPr>
        <w:t>表 6.6　政策可干预条件与基础约束条件的划分</w:t>
      </w:r>
    </w:p>
    <w:p w14:paraId="56307B71">
      <w:pPr>
        <w:spacing w:before="0" w:after="0" w:line="400" w:lineRule="exact"/>
        <w:ind w:firstLine="480"/>
        <w:jc w:val="left"/>
      </w:pPr>
      <w:r>
        <w:rPr>
          <w:rFonts w:ascii="Times New Roman" w:hAnsi="Times New Roman" w:eastAsia="宋体"/>
          <w:b w:val="0"/>
          <w:sz w:val="24"/>
        </w:rPr>
        <w:t>这一划分说明，沉睡潜力区的重点不是简单增加景点数量，而是补足可到达、可停留、可解释的条件；空心景点区的重点也不是降低旅游热度，而是把已有客流和场地转化为更有地方文化内容的体验。</w:t>
      </w:r>
    </w:p>
    <w:p w14:paraId="6C2879F6">
      <w:pPr>
        <w:spacing w:before="240" w:after="120" w:line="400" w:lineRule="exact"/>
        <w:jc w:val="left"/>
        <w:outlineLvl w:val="1"/>
      </w:pPr>
      <w:bookmarkStart w:id="79" w:name="_Toc19984"/>
      <w:r>
        <w:rPr>
          <w:rFonts w:ascii="Times New Roman" w:hAnsi="Times New Roman" w:eastAsia="黑体"/>
          <w:b/>
          <w:sz w:val="28"/>
        </w:rPr>
        <w:t>6.4 九江片区的专题讨论</w:t>
      </w:r>
      <w:bookmarkEnd w:id="79"/>
    </w:p>
    <w:p w14:paraId="328FF766">
      <w:pPr>
        <w:spacing w:before="240" w:after="120" w:line="400" w:lineRule="exact"/>
        <w:jc w:val="left"/>
        <w:outlineLvl w:val="2"/>
      </w:pPr>
      <w:bookmarkStart w:id="80" w:name="_Toc29831"/>
      <w:r>
        <w:rPr>
          <w:rFonts w:ascii="Times New Roman" w:hAnsi="Times New Roman" w:eastAsia="黑体"/>
          <w:b/>
          <w:sz w:val="26"/>
        </w:rPr>
        <w:t>6.4.1 反差概况</w:t>
      </w:r>
      <w:bookmarkEnd w:id="80"/>
    </w:p>
    <w:p w14:paraId="502B1D08">
      <w:pPr>
        <w:spacing w:before="0" w:after="0" w:line="400" w:lineRule="exact"/>
        <w:ind w:firstLine="480"/>
        <w:jc w:val="left"/>
      </w:pPr>
      <w:r>
        <w:rPr>
          <w:rFonts w:ascii="Times New Roman" w:hAnsi="Times New Roman" w:eastAsia="宋体"/>
          <w:b w:val="0"/>
          <w:sz w:val="24"/>
        </w:rPr>
        <w:t>九江镇拥有 13 项非遗，并分布有中国历史文化名镇、历史文化名村和多处文物保护单位，是南海区文化资源较为集中的镇街之一。但从旅游供给侧看，九江镇 POI 仅 259 条，占全区 1.92%，在七个镇街中最低；在当前平台评论口径下，其相关评论量也明显偏低。因此，九江呈现出较典型的“文化线索较密、旅游转化不足”的现象。</w:t>
      </w:r>
    </w:p>
    <w:p w14:paraId="7D66F2F1">
      <w:pPr>
        <w:spacing w:before="60" w:after="40" w:line="400" w:lineRule="exact"/>
        <w:jc w:val="center"/>
      </w:pPr>
      <w:r>
        <w:drawing>
          <wp:inline distT="0" distB="0" distL="114300" distR="114300">
            <wp:extent cx="5471795" cy="3767455"/>
            <wp:effectExtent l="0" t="0" r="1460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3767607"/>
                    </a:xfrm>
                    <a:prstGeom prst="rect">
                      <a:avLst/>
                    </a:prstGeom>
                  </pic:spPr>
                </pic:pic>
              </a:graphicData>
            </a:graphic>
          </wp:inline>
        </w:drawing>
      </w:r>
    </w:p>
    <w:p w14:paraId="1959289E">
      <w:pPr>
        <w:spacing w:before="40" w:after="120" w:line="400" w:lineRule="exact"/>
        <w:jc w:val="center"/>
      </w:pPr>
      <w:r>
        <w:rPr>
          <w:rFonts w:ascii="Times New Roman" w:hAnsi="Times New Roman" w:eastAsia="宋体"/>
          <w:b/>
          <w:sz w:val="21"/>
        </w:rPr>
        <w:t>图 6.5　九江片区错位专题图</w:t>
      </w:r>
    </w:p>
    <w:p w14:paraId="58418BA3">
      <w:pPr>
        <w:spacing w:before="240" w:after="120" w:line="400" w:lineRule="exact"/>
        <w:jc w:val="left"/>
        <w:outlineLvl w:val="2"/>
      </w:pPr>
      <w:bookmarkStart w:id="81" w:name="_Toc19293"/>
      <w:r>
        <w:rPr>
          <w:rFonts w:ascii="Times New Roman" w:hAnsi="Times New Roman" w:eastAsia="黑体"/>
          <w:b/>
          <w:sz w:val="26"/>
        </w:rPr>
        <w:t>6.4.2 反差的两重来源</w:t>
      </w:r>
      <w:bookmarkEnd w:id="81"/>
    </w:p>
    <w:p w14:paraId="75CCCF2B">
      <w:pPr>
        <w:spacing w:before="0" w:after="0" w:line="400" w:lineRule="exact"/>
        <w:ind w:firstLine="480"/>
        <w:jc w:val="left"/>
      </w:pPr>
      <w:r>
        <w:rPr>
          <w:rFonts w:ascii="Times New Roman" w:hAnsi="Times New Roman" w:eastAsia="宋体"/>
          <w:b w:val="0"/>
          <w:sz w:val="24"/>
        </w:rPr>
        <w:t>九江的反差不能只从单一角度解释。一方面，它确实存在旅游转化不足的问题。九江镇位于南海西南部，对外交通和景区化程度相对弱于桂城、大沥等片区，烟桥烟南村等载体的 MI 值明显为负，说明文化记忆和官方认证尚未充分转化为可见旅游热度。</w:t>
      </w:r>
    </w:p>
    <w:p w14:paraId="39510783">
      <w:pPr>
        <w:spacing w:before="0" w:after="0" w:line="400" w:lineRule="exact"/>
        <w:ind w:firstLine="480"/>
        <w:jc w:val="left"/>
      </w:pPr>
      <w:r>
        <w:rPr>
          <w:rFonts w:ascii="Times New Roman" w:hAnsi="Times New Roman" w:eastAsia="宋体"/>
          <w:b w:val="0"/>
          <w:sz w:val="24"/>
        </w:rPr>
        <w:t>另一方面，数据口径也会放大九江的低估。九江的文化符号中有相当一部分与美食、龙舟和日常节庆相关，如九江双蒸酒、煎堆、鱼花和龙舟宴等；而本文的 POI 体系没有纳入普通餐饮门店，评论数据也主要来自旅游平台，缺少大众点评、美团等餐饮评价数据。对于九江这类餐饮和民俗体验占比较高的片区，当前数据口径会低估其实际生活热度和消费热度。</w:t>
      </w:r>
    </w:p>
    <w:p w14:paraId="46ED8C79">
      <w:pPr>
        <w:spacing w:before="240" w:after="120" w:line="400" w:lineRule="exact"/>
        <w:jc w:val="left"/>
        <w:outlineLvl w:val="2"/>
      </w:pPr>
      <w:bookmarkStart w:id="82" w:name="_Toc31258"/>
      <w:r>
        <w:rPr>
          <w:rFonts w:ascii="Times New Roman" w:hAnsi="Times New Roman" w:eastAsia="黑体"/>
          <w:b/>
          <w:sz w:val="26"/>
        </w:rPr>
        <w:t>6.4.3 对规划与研究的启示</w:t>
      </w:r>
      <w:bookmarkEnd w:id="82"/>
    </w:p>
    <w:p w14:paraId="3F87EF0D">
      <w:pPr>
        <w:spacing w:before="0" w:after="0" w:line="400" w:lineRule="exact"/>
        <w:ind w:firstLine="480"/>
        <w:jc w:val="left"/>
      </w:pPr>
      <w:r>
        <w:rPr>
          <w:rFonts w:ascii="Times New Roman" w:hAnsi="Times New Roman" w:eastAsia="宋体"/>
          <w:b w:val="0"/>
          <w:sz w:val="24"/>
        </w:rPr>
        <w:t>因此，本文不将九江简单定义为“旅游洼地”，而是将其视为“实质性转化不足”和“数据口径低估”共同作用的复合案例。规划上，九江仍需要补足游线组织、展示空间、公共交通和游客服务；研究上，后续也应优先补充餐饮评论、夜间热力和节庆活动数据，以更准确地识别其真实旅游活力。</w:t>
      </w:r>
    </w:p>
    <w:p w14:paraId="2EEB2482">
      <w:pPr>
        <w:spacing w:before="240" w:after="120" w:line="400" w:lineRule="exact"/>
        <w:jc w:val="left"/>
        <w:outlineLvl w:val="1"/>
      </w:pPr>
      <w:bookmarkStart w:id="83" w:name="_Toc24156"/>
      <w:r>
        <w:rPr>
          <w:rFonts w:ascii="Times New Roman" w:hAnsi="Times New Roman" w:eastAsia="黑体"/>
          <w:b/>
          <w:sz w:val="28"/>
        </w:rPr>
        <w:t>6.5 官方资源扩展与诊断拆分</w:t>
      </w:r>
      <w:bookmarkEnd w:id="83"/>
    </w:p>
    <w:p w14:paraId="69EA73D7">
      <w:pPr>
        <w:spacing w:before="240" w:after="120" w:line="400" w:lineRule="exact"/>
        <w:jc w:val="left"/>
        <w:outlineLvl w:val="2"/>
      </w:pPr>
      <w:bookmarkStart w:id="84" w:name="_Toc409"/>
      <w:r>
        <w:rPr>
          <w:rFonts w:ascii="Times New Roman" w:hAnsi="Times New Roman" w:eastAsia="黑体"/>
          <w:b/>
          <w:sz w:val="26"/>
        </w:rPr>
        <w:t>6.5.1 官方资源空间化与去重</w:t>
      </w:r>
      <w:bookmarkEnd w:id="84"/>
    </w:p>
    <w:p w14:paraId="2EEEF6BE">
      <w:pPr>
        <w:spacing w:before="0" w:after="0" w:line="400" w:lineRule="exact"/>
        <w:ind w:firstLine="480"/>
        <w:jc w:val="left"/>
      </w:pPr>
      <w:r>
        <w:rPr>
          <w:rFonts w:ascii="Times New Roman" w:hAnsi="Times New Roman" w:eastAsia="宋体"/>
          <w:b w:val="0"/>
          <w:sz w:val="24"/>
        </w:rPr>
        <w:t>在 165 条核心指数样本之外，本文进一步建立官方资源扩展层，用于检验核心样本是否遗漏了重要文化资源。扩展层共包含 593 条记录，其中不可移动文物 484 处、博物馆 11 家，历史建筑名录、传统村落、历史文化名村、历史文化街区等历史文化资源共 98 条。空间化时，能够定位到具体点位的资源采用点位表达；缺少精确边界的历史文化名镇、名村和传统村落，则使用地名中心或镇街面作为规划分析代理。</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10"/>
        <w:gridCol w:w="2910"/>
        <w:gridCol w:w="2910"/>
      </w:tblGrid>
      <w:tr w14:paraId="02C1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43C548E8">
            <w:pPr>
              <w:spacing w:before="0" w:after="0" w:line="320" w:lineRule="exact"/>
              <w:jc w:val="center"/>
            </w:pPr>
            <w:r>
              <w:rPr>
                <w:rFonts w:ascii="Times New Roman" w:hAnsi="Times New Roman" w:eastAsia="宋体"/>
                <w:b/>
                <w:sz w:val="21"/>
              </w:rPr>
              <w:t>统计项</w:t>
            </w:r>
          </w:p>
        </w:tc>
        <w:tc>
          <w:tcPr>
            <w:tcW w:w="2910" w:type="dxa"/>
            <w:vAlign w:val="center"/>
          </w:tcPr>
          <w:p w14:paraId="5665BA94">
            <w:pPr>
              <w:spacing w:before="0" w:after="0" w:line="320" w:lineRule="exact"/>
              <w:jc w:val="center"/>
            </w:pPr>
            <w:r>
              <w:rPr>
                <w:rFonts w:ascii="Times New Roman" w:hAnsi="Times New Roman" w:eastAsia="宋体"/>
                <w:b/>
                <w:sz w:val="21"/>
              </w:rPr>
              <w:t>数量</w:t>
            </w:r>
          </w:p>
        </w:tc>
        <w:tc>
          <w:tcPr>
            <w:tcW w:w="2910" w:type="dxa"/>
            <w:vAlign w:val="center"/>
          </w:tcPr>
          <w:p w14:paraId="7E86AFED">
            <w:pPr>
              <w:spacing w:before="0" w:after="0" w:line="320" w:lineRule="exact"/>
              <w:jc w:val="center"/>
            </w:pPr>
            <w:r>
              <w:rPr>
                <w:rFonts w:ascii="Times New Roman" w:hAnsi="Times New Roman" w:eastAsia="宋体"/>
                <w:b/>
                <w:sz w:val="21"/>
              </w:rPr>
              <w:t>说明</w:t>
            </w:r>
          </w:p>
        </w:tc>
      </w:tr>
      <w:tr w14:paraId="1598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7A5AD8CC">
            <w:pPr>
              <w:spacing w:before="0" w:after="0" w:line="320" w:lineRule="exact"/>
              <w:jc w:val="left"/>
            </w:pPr>
            <w:r>
              <w:rPr>
                <w:rFonts w:ascii="Times New Roman" w:hAnsi="Times New Roman" w:eastAsia="宋体"/>
                <w:b w:val="0"/>
                <w:sz w:val="21"/>
              </w:rPr>
              <w:t>官方资源扩展记录</w:t>
            </w:r>
          </w:p>
        </w:tc>
        <w:tc>
          <w:tcPr>
            <w:tcW w:w="2910" w:type="dxa"/>
            <w:vAlign w:val="center"/>
          </w:tcPr>
          <w:p w14:paraId="6B3B6DD9">
            <w:pPr>
              <w:spacing w:before="0" w:after="0" w:line="320" w:lineRule="exact"/>
              <w:jc w:val="left"/>
            </w:pPr>
            <w:r>
              <w:rPr>
                <w:rFonts w:ascii="Times New Roman" w:hAnsi="Times New Roman" w:eastAsia="宋体"/>
                <w:b w:val="0"/>
                <w:sz w:val="21"/>
              </w:rPr>
              <w:t>593</w:t>
            </w:r>
          </w:p>
        </w:tc>
        <w:tc>
          <w:tcPr>
            <w:tcW w:w="2910" w:type="dxa"/>
            <w:vAlign w:val="center"/>
          </w:tcPr>
          <w:p w14:paraId="1FDA2876">
            <w:pPr>
              <w:spacing w:before="0" w:after="0" w:line="320" w:lineRule="exact"/>
              <w:jc w:val="left"/>
            </w:pPr>
            <w:r>
              <w:rPr>
                <w:rFonts w:ascii="Times New Roman" w:hAnsi="Times New Roman" w:eastAsia="宋体"/>
                <w:b w:val="0"/>
                <w:sz w:val="21"/>
              </w:rPr>
              <w:t>484 处不可移动文物、11 家博物馆、98 条历史文化资源</w:t>
            </w:r>
          </w:p>
        </w:tc>
      </w:tr>
      <w:tr w14:paraId="00D7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4F234B23">
            <w:pPr>
              <w:spacing w:before="0" w:after="0" w:line="320" w:lineRule="exact"/>
              <w:jc w:val="left"/>
            </w:pPr>
            <w:r>
              <w:rPr>
                <w:rFonts w:ascii="Times New Roman" w:hAnsi="Times New Roman" w:eastAsia="宋体"/>
                <w:b w:val="0"/>
                <w:sz w:val="21"/>
              </w:rPr>
              <w:t>与既有文化锚点重名</w:t>
            </w:r>
          </w:p>
        </w:tc>
        <w:tc>
          <w:tcPr>
            <w:tcW w:w="2910" w:type="dxa"/>
            <w:vAlign w:val="center"/>
          </w:tcPr>
          <w:p w14:paraId="478BE2CA">
            <w:pPr>
              <w:spacing w:before="0" w:after="0" w:line="320" w:lineRule="exact"/>
              <w:jc w:val="left"/>
            </w:pPr>
            <w:r>
              <w:rPr>
                <w:rFonts w:ascii="Times New Roman" w:hAnsi="Times New Roman" w:eastAsia="宋体"/>
                <w:b w:val="0"/>
                <w:sz w:val="21"/>
              </w:rPr>
              <w:t>96</w:t>
            </w:r>
          </w:p>
        </w:tc>
        <w:tc>
          <w:tcPr>
            <w:tcW w:w="2910" w:type="dxa"/>
            <w:vAlign w:val="center"/>
          </w:tcPr>
          <w:p w14:paraId="5DEF6658">
            <w:pPr>
              <w:spacing w:before="0" w:after="0" w:line="320" w:lineRule="exact"/>
              <w:jc w:val="left"/>
            </w:pPr>
            <w:r>
              <w:rPr>
                <w:rFonts w:ascii="Times New Roman" w:hAnsi="Times New Roman" w:eastAsia="宋体"/>
                <w:b w:val="0"/>
                <w:sz w:val="21"/>
              </w:rPr>
              <w:t>不重复计入扩展锚点</w:t>
            </w:r>
          </w:p>
        </w:tc>
      </w:tr>
      <w:tr w14:paraId="1BE7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39FD3D2D">
            <w:pPr>
              <w:spacing w:before="0" w:after="0" w:line="320" w:lineRule="exact"/>
              <w:jc w:val="left"/>
            </w:pPr>
            <w:r>
              <w:rPr>
                <w:rFonts w:ascii="Times New Roman" w:hAnsi="Times New Roman" w:eastAsia="宋体"/>
                <w:b w:val="0"/>
                <w:sz w:val="21"/>
              </w:rPr>
              <w:t>仅匹配到 POI 的资源</w:t>
            </w:r>
          </w:p>
        </w:tc>
        <w:tc>
          <w:tcPr>
            <w:tcW w:w="2910" w:type="dxa"/>
            <w:vAlign w:val="center"/>
          </w:tcPr>
          <w:p w14:paraId="0AD5FC3C">
            <w:pPr>
              <w:spacing w:before="0" w:after="0" w:line="320" w:lineRule="exact"/>
              <w:jc w:val="left"/>
            </w:pPr>
            <w:r>
              <w:rPr>
                <w:rFonts w:ascii="Times New Roman" w:hAnsi="Times New Roman" w:eastAsia="宋体"/>
                <w:b w:val="0"/>
                <w:sz w:val="21"/>
              </w:rPr>
              <w:t>73</w:t>
            </w:r>
          </w:p>
        </w:tc>
        <w:tc>
          <w:tcPr>
            <w:tcW w:w="2910" w:type="dxa"/>
            <w:vAlign w:val="center"/>
          </w:tcPr>
          <w:p w14:paraId="6549A28B">
            <w:pPr>
              <w:spacing w:before="0" w:after="0" w:line="320" w:lineRule="exact"/>
              <w:jc w:val="left"/>
            </w:pPr>
            <w:r>
              <w:rPr>
                <w:rFonts w:ascii="Times New Roman" w:hAnsi="Times New Roman" w:eastAsia="宋体"/>
                <w:b w:val="0"/>
                <w:sz w:val="21"/>
              </w:rPr>
              <w:t>可作为后续人工复核对象</w:t>
            </w:r>
          </w:p>
        </w:tc>
      </w:tr>
      <w:tr w14:paraId="1609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4744C1B1">
            <w:pPr>
              <w:spacing w:before="0" w:after="0" w:line="320" w:lineRule="exact"/>
              <w:jc w:val="left"/>
            </w:pPr>
            <w:r>
              <w:rPr>
                <w:rFonts w:ascii="Times New Roman" w:hAnsi="Times New Roman" w:eastAsia="宋体"/>
                <w:b w:val="0"/>
                <w:sz w:val="21"/>
              </w:rPr>
              <w:t>纯新增候选资源</w:t>
            </w:r>
          </w:p>
        </w:tc>
        <w:tc>
          <w:tcPr>
            <w:tcW w:w="2910" w:type="dxa"/>
            <w:vAlign w:val="center"/>
          </w:tcPr>
          <w:p w14:paraId="40196753">
            <w:pPr>
              <w:spacing w:before="0" w:after="0" w:line="320" w:lineRule="exact"/>
              <w:jc w:val="left"/>
            </w:pPr>
            <w:r>
              <w:rPr>
                <w:rFonts w:ascii="Times New Roman" w:hAnsi="Times New Roman" w:eastAsia="宋体"/>
                <w:b w:val="0"/>
                <w:sz w:val="21"/>
              </w:rPr>
              <w:t>424</w:t>
            </w:r>
          </w:p>
        </w:tc>
        <w:tc>
          <w:tcPr>
            <w:tcW w:w="2910" w:type="dxa"/>
            <w:vAlign w:val="center"/>
          </w:tcPr>
          <w:p w14:paraId="06744B1F">
            <w:pPr>
              <w:spacing w:before="0" w:after="0" w:line="320" w:lineRule="exact"/>
              <w:jc w:val="left"/>
            </w:pPr>
            <w:r>
              <w:rPr>
                <w:rFonts w:ascii="Times New Roman" w:hAnsi="Times New Roman" w:eastAsia="宋体"/>
                <w:b w:val="0"/>
                <w:sz w:val="21"/>
              </w:rPr>
              <w:t>与既有锚点和 POI 均未重名</w:t>
            </w:r>
          </w:p>
        </w:tc>
      </w:tr>
      <w:tr w14:paraId="3CD9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32CA9C10">
            <w:pPr>
              <w:spacing w:before="0" w:after="0" w:line="320" w:lineRule="exact"/>
              <w:jc w:val="left"/>
            </w:pPr>
            <w:r>
              <w:rPr>
                <w:rFonts w:ascii="Times New Roman" w:hAnsi="Times New Roman" w:eastAsia="宋体"/>
                <w:b w:val="0"/>
                <w:sz w:val="21"/>
              </w:rPr>
              <w:t>扩展库新增锚点</w:t>
            </w:r>
          </w:p>
        </w:tc>
        <w:tc>
          <w:tcPr>
            <w:tcW w:w="2910" w:type="dxa"/>
            <w:vAlign w:val="center"/>
          </w:tcPr>
          <w:p w14:paraId="779889CB">
            <w:pPr>
              <w:spacing w:before="0" w:after="0" w:line="320" w:lineRule="exact"/>
              <w:jc w:val="left"/>
            </w:pPr>
            <w:r>
              <w:rPr>
                <w:rFonts w:ascii="Times New Roman" w:hAnsi="Times New Roman" w:eastAsia="宋体"/>
                <w:b w:val="0"/>
                <w:sz w:val="21"/>
              </w:rPr>
              <w:t>490</w:t>
            </w:r>
          </w:p>
        </w:tc>
        <w:tc>
          <w:tcPr>
            <w:tcW w:w="2910" w:type="dxa"/>
            <w:vAlign w:val="center"/>
          </w:tcPr>
          <w:p w14:paraId="7A066760">
            <w:pPr>
              <w:spacing w:before="0" w:after="0" w:line="320" w:lineRule="exact"/>
              <w:jc w:val="left"/>
            </w:pPr>
            <w:r>
              <w:rPr>
                <w:rFonts w:ascii="Times New Roman" w:hAnsi="Times New Roman" w:eastAsia="宋体"/>
                <w:b w:val="0"/>
                <w:sz w:val="21"/>
              </w:rPr>
              <w:t>未与既有锚点重名的官方资源合并后计入</w:t>
            </w:r>
          </w:p>
        </w:tc>
      </w:tr>
      <w:tr w14:paraId="52342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77BF594F">
            <w:pPr>
              <w:spacing w:before="0" w:after="0" w:line="320" w:lineRule="exact"/>
              <w:jc w:val="left"/>
            </w:pPr>
            <w:r>
              <w:rPr>
                <w:rFonts w:ascii="Times New Roman" w:hAnsi="Times New Roman" w:eastAsia="宋体"/>
                <w:b w:val="0"/>
                <w:sz w:val="21"/>
              </w:rPr>
              <w:t>扩展锚点库总量</w:t>
            </w:r>
          </w:p>
        </w:tc>
        <w:tc>
          <w:tcPr>
            <w:tcW w:w="2910" w:type="dxa"/>
            <w:vAlign w:val="center"/>
          </w:tcPr>
          <w:p w14:paraId="0692A5BB">
            <w:pPr>
              <w:spacing w:before="0" w:after="0" w:line="320" w:lineRule="exact"/>
              <w:jc w:val="left"/>
            </w:pPr>
            <w:r>
              <w:rPr>
                <w:rFonts w:ascii="Times New Roman" w:hAnsi="Times New Roman" w:eastAsia="宋体"/>
                <w:b w:val="0"/>
                <w:sz w:val="21"/>
              </w:rPr>
              <w:t>709</w:t>
            </w:r>
          </w:p>
        </w:tc>
        <w:tc>
          <w:tcPr>
            <w:tcW w:w="2910" w:type="dxa"/>
            <w:vAlign w:val="center"/>
          </w:tcPr>
          <w:p w14:paraId="17E9C560">
            <w:pPr>
              <w:spacing w:before="0" w:after="0" w:line="320" w:lineRule="exact"/>
              <w:jc w:val="left"/>
            </w:pPr>
            <w:r>
              <w:rPr>
                <w:rFonts w:ascii="Times New Roman" w:hAnsi="Times New Roman" w:eastAsia="宋体"/>
                <w:b w:val="0"/>
                <w:sz w:val="21"/>
              </w:rPr>
              <w:t>原 219 条锚点与 490 条新增锚点合计</w:t>
            </w:r>
          </w:p>
        </w:tc>
      </w:tr>
      <w:tr w14:paraId="2233F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910" w:type="dxa"/>
            <w:vAlign w:val="center"/>
          </w:tcPr>
          <w:p w14:paraId="52D35458">
            <w:pPr>
              <w:spacing w:before="0" w:after="0" w:line="320" w:lineRule="exact"/>
              <w:jc w:val="left"/>
            </w:pPr>
            <w:r>
              <w:rPr>
                <w:rFonts w:ascii="Times New Roman" w:hAnsi="Times New Roman" w:eastAsia="宋体"/>
                <w:b w:val="0"/>
                <w:sz w:val="21"/>
              </w:rPr>
              <w:t>镇街代表点兜底</w:t>
            </w:r>
          </w:p>
        </w:tc>
        <w:tc>
          <w:tcPr>
            <w:tcW w:w="2910" w:type="dxa"/>
            <w:vAlign w:val="center"/>
          </w:tcPr>
          <w:p w14:paraId="388A82E9">
            <w:pPr>
              <w:spacing w:before="0" w:after="0" w:line="320" w:lineRule="exact"/>
              <w:jc w:val="left"/>
            </w:pPr>
            <w:r>
              <w:rPr>
                <w:rFonts w:ascii="Times New Roman" w:hAnsi="Times New Roman" w:eastAsia="宋体"/>
                <w:b w:val="0"/>
                <w:sz w:val="21"/>
              </w:rPr>
              <w:t>148</w:t>
            </w:r>
          </w:p>
        </w:tc>
        <w:tc>
          <w:tcPr>
            <w:tcW w:w="2910" w:type="dxa"/>
            <w:vAlign w:val="center"/>
          </w:tcPr>
          <w:p w14:paraId="45186653">
            <w:pPr>
              <w:spacing w:before="0" w:after="0" w:line="320" w:lineRule="exact"/>
              <w:jc w:val="left"/>
            </w:pPr>
            <w:r>
              <w:rPr>
                <w:rFonts w:ascii="Times New Roman" w:hAnsi="Times New Roman" w:eastAsia="宋体"/>
                <w:b w:val="0"/>
                <w:sz w:val="21"/>
              </w:rPr>
              <w:t>空间精度较低，需在后续规划中复核</w:t>
            </w:r>
          </w:p>
        </w:tc>
      </w:tr>
    </w:tbl>
    <w:p w14:paraId="1BA59209">
      <w:pPr>
        <w:spacing w:before="40" w:after="120" w:line="400" w:lineRule="exact"/>
        <w:jc w:val="center"/>
      </w:pPr>
      <w:r>
        <w:rPr>
          <w:rFonts w:ascii="Times New Roman" w:hAnsi="Times New Roman" w:eastAsia="宋体"/>
          <w:b/>
          <w:sz w:val="21"/>
        </w:rPr>
        <w:t>表 6.7　官方资源扩展与去重统计</w:t>
      </w:r>
    </w:p>
    <w:p w14:paraId="38AC6F7A">
      <w:pPr>
        <w:spacing w:before="60" w:after="40" w:line="400" w:lineRule="exact"/>
        <w:jc w:val="center"/>
      </w:pPr>
      <w:r>
        <w:drawing>
          <wp:inline distT="0" distB="0" distL="114300" distR="114300">
            <wp:extent cx="5471795" cy="3921125"/>
            <wp:effectExtent l="0" t="0" r="1460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3921600"/>
                    </a:xfrm>
                    <a:prstGeom prst="rect">
                      <a:avLst/>
                    </a:prstGeom>
                  </pic:spPr>
                </pic:pic>
              </a:graphicData>
            </a:graphic>
          </wp:inline>
        </w:drawing>
      </w:r>
    </w:p>
    <w:p w14:paraId="36F3D53D">
      <w:pPr>
        <w:spacing w:before="40" w:after="120" w:line="400" w:lineRule="exact"/>
        <w:jc w:val="center"/>
      </w:pPr>
      <w:r>
        <w:rPr>
          <w:rFonts w:ascii="Times New Roman" w:hAnsi="Times New Roman" w:eastAsia="宋体"/>
          <w:b/>
          <w:sz w:val="21"/>
        </w:rPr>
        <w:t>图 6.6　官方资源扩展空间化图</w:t>
      </w:r>
    </w:p>
    <w:p w14:paraId="3D70AA7D">
      <w:pPr>
        <w:spacing w:before="60" w:after="40" w:line="400" w:lineRule="exact"/>
        <w:jc w:val="center"/>
      </w:pPr>
      <w:r>
        <w:drawing>
          <wp:inline distT="0" distB="0" distL="114300" distR="114300">
            <wp:extent cx="5471795" cy="3921125"/>
            <wp:effectExtent l="0" t="0" r="1460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921600"/>
                    </a:xfrm>
                    <a:prstGeom prst="rect">
                      <a:avLst/>
                    </a:prstGeom>
                  </pic:spPr>
                </pic:pic>
              </a:graphicData>
            </a:graphic>
          </wp:inline>
        </w:drawing>
      </w:r>
    </w:p>
    <w:p w14:paraId="71F30AD0">
      <w:pPr>
        <w:spacing w:before="40" w:after="120" w:line="400" w:lineRule="exact"/>
        <w:jc w:val="center"/>
      </w:pPr>
      <w:r>
        <w:rPr>
          <w:rFonts w:ascii="Times New Roman" w:hAnsi="Times New Roman" w:eastAsia="宋体"/>
          <w:b/>
          <w:sz w:val="21"/>
        </w:rPr>
        <w:t>图 6.7　500 m 网格官方资源覆盖图</w:t>
      </w:r>
    </w:p>
    <w:p w14:paraId="6DEF8740">
      <w:pPr>
        <w:spacing w:before="0" w:after="0" w:line="400" w:lineRule="exact"/>
        <w:ind w:firstLine="480"/>
        <w:jc w:val="left"/>
      </w:pPr>
      <w:r>
        <w:rPr>
          <w:rFonts w:ascii="Times New Roman" w:hAnsi="Times New Roman" w:eastAsia="宋体"/>
          <w:b w:val="0"/>
          <w:sz w:val="24"/>
        </w:rPr>
        <w:t>图 6.6 和图 6.7 显示，官方资源扩展后，狮山、西樵、大沥、里水等镇街的不可移动文物和历史建筑数量得到补充。其中，西樵镇因中国历史文化名镇采用镇街面表达，官方覆盖网格数较多。这个结果适合作为官方认定范围的上限判断，但不能直接等同于每个网格都具备同等强度的旅游开发条件。</w:t>
      </w:r>
    </w:p>
    <w:p w14:paraId="49362AAF">
      <w:pPr>
        <w:spacing w:before="240" w:after="120" w:line="400" w:lineRule="exact"/>
        <w:jc w:val="left"/>
        <w:outlineLvl w:val="2"/>
      </w:pPr>
      <w:bookmarkStart w:id="85" w:name="_Toc903"/>
      <w:r>
        <w:rPr>
          <w:rFonts w:ascii="Times New Roman" w:hAnsi="Times New Roman" w:eastAsia="黑体"/>
          <w:b/>
          <w:sz w:val="26"/>
        </w:rPr>
        <w:t>6.5.2 典籍—官方—旅游三维诊断</w:t>
      </w:r>
      <w:bookmarkEnd w:id="85"/>
    </w:p>
    <w:p w14:paraId="62C9F65B">
      <w:pPr>
        <w:spacing w:before="0" w:after="0" w:line="400" w:lineRule="exact"/>
        <w:ind w:firstLine="480"/>
        <w:jc w:val="left"/>
      </w:pPr>
      <w:r>
        <w:rPr>
          <w:rFonts w:ascii="Times New Roman" w:hAnsi="Times New Roman" w:eastAsia="宋体"/>
          <w:b w:val="0"/>
          <w:sz w:val="24"/>
        </w:rPr>
        <w:t>为了进一步解释错位来源，本文按镇街拆分典籍/图谱文化厚度、官方资源覆盖和旅游热度三类指标。该拆分不改变前文错位指数的核心模型，而是用于判断某一片区的短板主要来自文本叙事不足、官方资源覆盖不足，还是旅游转化不足。</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55"/>
        <w:gridCol w:w="1455"/>
        <w:gridCol w:w="1455"/>
        <w:gridCol w:w="1455"/>
        <w:gridCol w:w="1455"/>
        <w:gridCol w:w="1455"/>
      </w:tblGrid>
      <w:tr w14:paraId="220C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5AFD6BBF">
            <w:pPr>
              <w:spacing w:before="0" w:after="0" w:line="320" w:lineRule="exact"/>
              <w:jc w:val="center"/>
            </w:pPr>
            <w:r>
              <w:rPr>
                <w:rFonts w:ascii="Times New Roman" w:hAnsi="Times New Roman" w:eastAsia="宋体"/>
                <w:b/>
                <w:sz w:val="21"/>
              </w:rPr>
              <w:t>镇街</w:t>
            </w:r>
          </w:p>
        </w:tc>
        <w:tc>
          <w:tcPr>
            <w:tcW w:w="1455" w:type="dxa"/>
            <w:vAlign w:val="center"/>
          </w:tcPr>
          <w:p w14:paraId="29EE7A3A">
            <w:pPr>
              <w:spacing w:before="0" w:after="0" w:line="320" w:lineRule="exact"/>
              <w:jc w:val="center"/>
            </w:pPr>
            <w:r>
              <w:rPr>
                <w:rFonts w:ascii="Times New Roman" w:hAnsi="Times New Roman" w:eastAsia="宋体"/>
                <w:b/>
                <w:sz w:val="21"/>
              </w:rPr>
              <w:t>C 典籍/图谱均值</w:t>
            </w:r>
          </w:p>
        </w:tc>
        <w:tc>
          <w:tcPr>
            <w:tcW w:w="1455" w:type="dxa"/>
            <w:vAlign w:val="center"/>
          </w:tcPr>
          <w:p w14:paraId="7CA0B201">
            <w:pPr>
              <w:spacing w:before="0" w:after="0" w:line="320" w:lineRule="exact"/>
              <w:jc w:val="center"/>
            </w:pPr>
            <w:r>
              <w:rPr>
                <w:rFonts w:ascii="Times New Roman" w:hAnsi="Times New Roman" w:eastAsia="宋体"/>
                <w:b/>
                <w:sz w:val="21"/>
              </w:rPr>
              <w:t>O 官方资源均值</w:t>
            </w:r>
          </w:p>
        </w:tc>
        <w:tc>
          <w:tcPr>
            <w:tcW w:w="1455" w:type="dxa"/>
            <w:vAlign w:val="center"/>
          </w:tcPr>
          <w:p w14:paraId="37ECD22E">
            <w:pPr>
              <w:spacing w:before="0" w:after="0" w:line="320" w:lineRule="exact"/>
              <w:jc w:val="center"/>
            </w:pPr>
            <w:r>
              <w:rPr>
                <w:rFonts w:ascii="Times New Roman" w:hAnsi="Times New Roman" w:eastAsia="宋体"/>
                <w:b/>
                <w:sz w:val="21"/>
              </w:rPr>
              <w:t>T 旅游热度均值</w:t>
            </w:r>
          </w:p>
        </w:tc>
        <w:tc>
          <w:tcPr>
            <w:tcW w:w="1455" w:type="dxa"/>
            <w:vAlign w:val="center"/>
          </w:tcPr>
          <w:p w14:paraId="70C03876">
            <w:pPr>
              <w:spacing w:before="0" w:after="0" w:line="320" w:lineRule="exact"/>
              <w:jc w:val="center"/>
            </w:pPr>
            <w:r>
              <w:rPr>
                <w:rFonts w:ascii="Times New Roman" w:hAnsi="Times New Roman" w:eastAsia="宋体"/>
                <w:b/>
                <w:sz w:val="21"/>
              </w:rPr>
              <w:t>修正错位均值</w:t>
            </w:r>
          </w:p>
        </w:tc>
        <w:tc>
          <w:tcPr>
            <w:tcW w:w="1455" w:type="dxa"/>
            <w:vAlign w:val="center"/>
          </w:tcPr>
          <w:p w14:paraId="5804C992">
            <w:pPr>
              <w:spacing w:before="0" w:after="0" w:line="320" w:lineRule="exact"/>
              <w:jc w:val="center"/>
            </w:pPr>
            <w:r>
              <w:rPr>
                <w:rFonts w:ascii="Times New Roman" w:hAnsi="Times New Roman" w:eastAsia="宋体"/>
                <w:b/>
                <w:sz w:val="21"/>
              </w:rPr>
              <w:t>官方覆盖网格</w:t>
            </w:r>
          </w:p>
        </w:tc>
      </w:tr>
      <w:tr w14:paraId="67BD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6D7FAE81">
            <w:pPr>
              <w:spacing w:before="0" w:after="0" w:line="320" w:lineRule="exact"/>
              <w:jc w:val="left"/>
            </w:pPr>
            <w:r>
              <w:rPr>
                <w:rFonts w:ascii="Times New Roman" w:hAnsi="Times New Roman" w:eastAsia="宋体"/>
                <w:b w:val="0"/>
                <w:sz w:val="21"/>
              </w:rPr>
              <w:t>桂城街道</w:t>
            </w:r>
          </w:p>
        </w:tc>
        <w:tc>
          <w:tcPr>
            <w:tcW w:w="1455" w:type="dxa"/>
            <w:vAlign w:val="center"/>
          </w:tcPr>
          <w:p w14:paraId="161FE8CE">
            <w:pPr>
              <w:spacing w:before="0" w:after="0" w:line="320" w:lineRule="exact"/>
              <w:jc w:val="left"/>
            </w:pPr>
            <w:r>
              <w:rPr>
                <w:rFonts w:ascii="Times New Roman" w:hAnsi="Times New Roman" w:eastAsia="宋体"/>
                <w:b w:val="0"/>
                <w:sz w:val="21"/>
              </w:rPr>
              <w:t>2.15</w:t>
            </w:r>
          </w:p>
        </w:tc>
        <w:tc>
          <w:tcPr>
            <w:tcW w:w="1455" w:type="dxa"/>
            <w:vAlign w:val="center"/>
          </w:tcPr>
          <w:p w14:paraId="3EDBADC8">
            <w:pPr>
              <w:spacing w:before="0" w:after="0" w:line="320" w:lineRule="exact"/>
              <w:jc w:val="left"/>
            </w:pPr>
            <w:r>
              <w:rPr>
                <w:rFonts w:ascii="Times New Roman" w:hAnsi="Times New Roman" w:eastAsia="宋体"/>
                <w:b w:val="0"/>
                <w:sz w:val="21"/>
              </w:rPr>
              <w:t>2.60</w:t>
            </w:r>
          </w:p>
        </w:tc>
        <w:tc>
          <w:tcPr>
            <w:tcW w:w="1455" w:type="dxa"/>
            <w:vAlign w:val="center"/>
          </w:tcPr>
          <w:p w14:paraId="3C44634C">
            <w:pPr>
              <w:spacing w:before="0" w:after="0" w:line="320" w:lineRule="exact"/>
              <w:jc w:val="left"/>
            </w:pPr>
            <w:r>
              <w:rPr>
                <w:rFonts w:ascii="Times New Roman" w:hAnsi="Times New Roman" w:eastAsia="宋体"/>
                <w:b w:val="0"/>
                <w:sz w:val="21"/>
              </w:rPr>
              <w:t>22.28</w:t>
            </w:r>
          </w:p>
        </w:tc>
        <w:tc>
          <w:tcPr>
            <w:tcW w:w="1455" w:type="dxa"/>
            <w:vAlign w:val="center"/>
          </w:tcPr>
          <w:p w14:paraId="11FF2095">
            <w:pPr>
              <w:spacing w:before="0" w:after="0" w:line="320" w:lineRule="exact"/>
              <w:jc w:val="left"/>
            </w:pPr>
            <w:r>
              <w:rPr>
                <w:rFonts w:ascii="Times New Roman" w:hAnsi="Times New Roman" w:eastAsia="宋体"/>
                <w:b w:val="0"/>
                <w:sz w:val="21"/>
              </w:rPr>
              <w:t>19.95</w:t>
            </w:r>
          </w:p>
        </w:tc>
        <w:tc>
          <w:tcPr>
            <w:tcW w:w="1455" w:type="dxa"/>
            <w:vAlign w:val="center"/>
          </w:tcPr>
          <w:p w14:paraId="1FF8D436">
            <w:pPr>
              <w:spacing w:before="0" w:after="0" w:line="320" w:lineRule="exact"/>
              <w:jc w:val="left"/>
            </w:pPr>
            <w:r>
              <w:rPr>
                <w:rFonts w:ascii="Times New Roman" w:hAnsi="Times New Roman" w:eastAsia="宋体"/>
                <w:b w:val="0"/>
                <w:sz w:val="21"/>
              </w:rPr>
              <w:t>40</w:t>
            </w:r>
          </w:p>
        </w:tc>
      </w:tr>
      <w:tr w14:paraId="194D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62BCC3D">
            <w:pPr>
              <w:spacing w:before="0" w:after="0" w:line="320" w:lineRule="exact"/>
              <w:jc w:val="left"/>
            </w:pPr>
            <w:r>
              <w:rPr>
                <w:rFonts w:ascii="Times New Roman" w:hAnsi="Times New Roman" w:eastAsia="宋体"/>
                <w:b w:val="0"/>
                <w:sz w:val="21"/>
              </w:rPr>
              <w:t>大沥镇</w:t>
            </w:r>
          </w:p>
        </w:tc>
        <w:tc>
          <w:tcPr>
            <w:tcW w:w="1455" w:type="dxa"/>
            <w:vAlign w:val="center"/>
          </w:tcPr>
          <w:p w14:paraId="7EE785EF">
            <w:pPr>
              <w:spacing w:before="0" w:after="0" w:line="320" w:lineRule="exact"/>
              <w:jc w:val="left"/>
            </w:pPr>
            <w:r>
              <w:rPr>
                <w:rFonts w:ascii="Times New Roman" w:hAnsi="Times New Roman" w:eastAsia="宋体"/>
                <w:b w:val="0"/>
                <w:sz w:val="21"/>
              </w:rPr>
              <w:t>1.73</w:t>
            </w:r>
          </w:p>
        </w:tc>
        <w:tc>
          <w:tcPr>
            <w:tcW w:w="1455" w:type="dxa"/>
            <w:vAlign w:val="center"/>
          </w:tcPr>
          <w:p w14:paraId="51DCC832">
            <w:pPr>
              <w:spacing w:before="0" w:after="0" w:line="320" w:lineRule="exact"/>
              <w:jc w:val="left"/>
            </w:pPr>
            <w:r>
              <w:rPr>
                <w:rFonts w:ascii="Times New Roman" w:hAnsi="Times New Roman" w:eastAsia="宋体"/>
                <w:b w:val="0"/>
                <w:sz w:val="21"/>
              </w:rPr>
              <w:t>4.01</w:t>
            </w:r>
          </w:p>
        </w:tc>
        <w:tc>
          <w:tcPr>
            <w:tcW w:w="1455" w:type="dxa"/>
            <w:vAlign w:val="center"/>
          </w:tcPr>
          <w:p w14:paraId="63EE85EC">
            <w:pPr>
              <w:spacing w:before="0" w:after="0" w:line="320" w:lineRule="exact"/>
              <w:jc w:val="left"/>
            </w:pPr>
            <w:r>
              <w:rPr>
                <w:rFonts w:ascii="Times New Roman" w:hAnsi="Times New Roman" w:eastAsia="宋体"/>
                <w:b w:val="0"/>
                <w:sz w:val="21"/>
              </w:rPr>
              <w:t>17.18</w:t>
            </w:r>
          </w:p>
        </w:tc>
        <w:tc>
          <w:tcPr>
            <w:tcW w:w="1455" w:type="dxa"/>
            <w:vAlign w:val="center"/>
          </w:tcPr>
          <w:p w14:paraId="7C467D88">
            <w:pPr>
              <w:spacing w:before="0" w:after="0" w:line="320" w:lineRule="exact"/>
              <w:jc w:val="left"/>
            </w:pPr>
            <w:r>
              <w:rPr>
                <w:rFonts w:ascii="Times New Roman" w:hAnsi="Times New Roman" w:eastAsia="宋体"/>
                <w:b w:val="0"/>
                <w:sz w:val="21"/>
              </w:rPr>
              <w:t>14.54</w:t>
            </w:r>
          </w:p>
        </w:tc>
        <w:tc>
          <w:tcPr>
            <w:tcW w:w="1455" w:type="dxa"/>
            <w:vAlign w:val="center"/>
          </w:tcPr>
          <w:p w14:paraId="2B7AD5B0">
            <w:pPr>
              <w:spacing w:before="0" w:after="0" w:line="320" w:lineRule="exact"/>
              <w:jc w:val="left"/>
            </w:pPr>
            <w:r>
              <w:rPr>
                <w:rFonts w:ascii="Times New Roman" w:hAnsi="Times New Roman" w:eastAsia="宋体"/>
                <w:b w:val="0"/>
                <w:sz w:val="21"/>
              </w:rPr>
              <w:t>67</w:t>
            </w:r>
          </w:p>
        </w:tc>
      </w:tr>
      <w:tr w14:paraId="073E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516AC3F6">
            <w:pPr>
              <w:spacing w:before="0" w:after="0" w:line="320" w:lineRule="exact"/>
              <w:jc w:val="left"/>
            </w:pPr>
            <w:r>
              <w:rPr>
                <w:rFonts w:ascii="Times New Roman" w:hAnsi="Times New Roman" w:eastAsia="宋体"/>
                <w:b w:val="0"/>
                <w:sz w:val="21"/>
              </w:rPr>
              <w:t>里水镇</w:t>
            </w:r>
          </w:p>
        </w:tc>
        <w:tc>
          <w:tcPr>
            <w:tcW w:w="1455" w:type="dxa"/>
            <w:vAlign w:val="center"/>
          </w:tcPr>
          <w:p w14:paraId="739547BD">
            <w:pPr>
              <w:spacing w:before="0" w:after="0" w:line="320" w:lineRule="exact"/>
              <w:jc w:val="left"/>
            </w:pPr>
            <w:r>
              <w:rPr>
                <w:rFonts w:ascii="Times New Roman" w:hAnsi="Times New Roman" w:eastAsia="宋体"/>
                <w:b w:val="0"/>
                <w:sz w:val="21"/>
              </w:rPr>
              <w:t>0.37</w:t>
            </w:r>
          </w:p>
        </w:tc>
        <w:tc>
          <w:tcPr>
            <w:tcW w:w="1455" w:type="dxa"/>
            <w:vAlign w:val="center"/>
          </w:tcPr>
          <w:p w14:paraId="7FB233ED">
            <w:pPr>
              <w:spacing w:before="0" w:after="0" w:line="320" w:lineRule="exact"/>
              <w:jc w:val="left"/>
            </w:pPr>
            <w:r>
              <w:rPr>
                <w:rFonts w:ascii="Times New Roman" w:hAnsi="Times New Roman" w:eastAsia="宋体"/>
                <w:b w:val="0"/>
                <w:sz w:val="21"/>
              </w:rPr>
              <w:t>2.09</w:t>
            </w:r>
          </w:p>
        </w:tc>
        <w:tc>
          <w:tcPr>
            <w:tcW w:w="1455" w:type="dxa"/>
            <w:vAlign w:val="center"/>
          </w:tcPr>
          <w:p w14:paraId="3952E518">
            <w:pPr>
              <w:spacing w:before="0" w:after="0" w:line="320" w:lineRule="exact"/>
              <w:jc w:val="left"/>
            </w:pPr>
            <w:r>
              <w:rPr>
                <w:rFonts w:ascii="Times New Roman" w:hAnsi="Times New Roman" w:eastAsia="宋体"/>
                <w:b w:val="0"/>
                <w:sz w:val="21"/>
              </w:rPr>
              <w:t>7.59</w:t>
            </w:r>
          </w:p>
        </w:tc>
        <w:tc>
          <w:tcPr>
            <w:tcW w:w="1455" w:type="dxa"/>
            <w:vAlign w:val="center"/>
          </w:tcPr>
          <w:p w14:paraId="407C8737">
            <w:pPr>
              <w:spacing w:before="0" w:after="0" w:line="320" w:lineRule="exact"/>
              <w:jc w:val="left"/>
            </w:pPr>
            <w:r>
              <w:rPr>
                <w:rFonts w:ascii="Times New Roman" w:hAnsi="Times New Roman" w:eastAsia="宋体"/>
                <w:b w:val="0"/>
                <w:sz w:val="21"/>
              </w:rPr>
              <w:t>6.53</w:t>
            </w:r>
          </w:p>
        </w:tc>
        <w:tc>
          <w:tcPr>
            <w:tcW w:w="1455" w:type="dxa"/>
            <w:vAlign w:val="center"/>
          </w:tcPr>
          <w:p w14:paraId="0307D18C">
            <w:pPr>
              <w:spacing w:before="0" w:after="0" w:line="320" w:lineRule="exact"/>
              <w:jc w:val="left"/>
            </w:pPr>
            <w:r>
              <w:rPr>
                <w:rFonts w:ascii="Times New Roman" w:hAnsi="Times New Roman" w:eastAsia="宋体"/>
                <w:b w:val="0"/>
                <w:sz w:val="21"/>
              </w:rPr>
              <w:t>54</w:t>
            </w:r>
          </w:p>
        </w:tc>
      </w:tr>
      <w:tr w14:paraId="6712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1DEB8380">
            <w:pPr>
              <w:spacing w:before="0" w:after="0" w:line="320" w:lineRule="exact"/>
              <w:jc w:val="left"/>
            </w:pPr>
            <w:r>
              <w:rPr>
                <w:rFonts w:ascii="Times New Roman" w:hAnsi="Times New Roman" w:eastAsia="宋体"/>
                <w:b w:val="0"/>
                <w:sz w:val="21"/>
              </w:rPr>
              <w:t>狮山镇</w:t>
            </w:r>
          </w:p>
        </w:tc>
        <w:tc>
          <w:tcPr>
            <w:tcW w:w="1455" w:type="dxa"/>
            <w:vAlign w:val="center"/>
          </w:tcPr>
          <w:p w14:paraId="14AAE475">
            <w:pPr>
              <w:spacing w:before="0" w:after="0" w:line="320" w:lineRule="exact"/>
              <w:jc w:val="left"/>
            </w:pPr>
            <w:r>
              <w:rPr>
                <w:rFonts w:ascii="Times New Roman" w:hAnsi="Times New Roman" w:eastAsia="宋体"/>
                <w:b w:val="0"/>
                <w:sz w:val="21"/>
              </w:rPr>
              <w:t>0.32</w:t>
            </w:r>
          </w:p>
        </w:tc>
        <w:tc>
          <w:tcPr>
            <w:tcW w:w="1455" w:type="dxa"/>
            <w:vAlign w:val="center"/>
          </w:tcPr>
          <w:p w14:paraId="41F811D0">
            <w:pPr>
              <w:spacing w:before="0" w:after="0" w:line="320" w:lineRule="exact"/>
              <w:jc w:val="left"/>
            </w:pPr>
            <w:r>
              <w:rPr>
                <w:rFonts w:ascii="Times New Roman" w:hAnsi="Times New Roman" w:eastAsia="宋体"/>
                <w:b w:val="0"/>
                <w:sz w:val="21"/>
              </w:rPr>
              <w:t>1.36</w:t>
            </w:r>
          </w:p>
        </w:tc>
        <w:tc>
          <w:tcPr>
            <w:tcW w:w="1455" w:type="dxa"/>
            <w:vAlign w:val="center"/>
          </w:tcPr>
          <w:p w14:paraId="4BD7AE91">
            <w:pPr>
              <w:spacing w:before="0" w:after="0" w:line="320" w:lineRule="exact"/>
              <w:jc w:val="left"/>
            </w:pPr>
            <w:r>
              <w:rPr>
                <w:rFonts w:ascii="Times New Roman" w:hAnsi="Times New Roman" w:eastAsia="宋体"/>
                <w:b w:val="0"/>
                <w:sz w:val="21"/>
              </w:rPr>
              <w:t>5.72</w:t>
            </w:r>
          </w:p>
        </w:tc>
        <w:tc>
          <w:tcPr>
            <w:tcW w:w="1455" w:type="dxa"/>
            <w:vAlign w:val="center"/>
          </w:tcPr>
          <w:p w14:paraId="59CC19BE">
            <w:pPr>
              <w:spacing w:before="0" w:after="0" w:line="320" w:lineRule="exact"/>
              <w:jc w:val="left"/>
            </w:pPr>
            <w:r>
              <w:rPr>
                <w:rFonts w:ascii="Times New Roman" w:hAnsi="Times New Roman" w:eastAsia="宋体"/>
                <w:b w:val="0"/>
                <w:sz w:val="21"/>
              </w:rPr>
              <w:t>4.98</w:t>
            </w:r>
          </w:p>
        </w:tc>
        <w:tc>
          <w:tcPr>
            <w:tcW w:w="1455" w:type="dxa"/>
            <w:vAlign w:val="center"/>
          </w:tcPr>
          <w:p w14:paraId="32212535">
            <w:pPr>
              <w:spacing w:before="0" w:after="0" w:line="320" w:lineRule="exact"/>
              <w:jc w:val="left"/>
            </w:pPr>
            <w:r>
              <w:rPr>
                <w:rFonts w:ascii="Times New Roman" w:hAnsi="Times New Roman" w:eastAsia="宋体"/>
                <w:b w:val="0"/>
                <w:sz w:val="21"/>
              </w:rPr>
              <w:t>86</w:t>
            </w:r>
          </w:p>
        </w:tc>
      </w:tr>
      <w:tr w14:paraId="1F98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4FC7B0F">
            <w:pPr>
              <w:spacing w:before="0" w:after="0" w:line="320" w:lineRule="exact"/>
              <w:jc w:val="left"/>
            </w:pPr>
            <w:r>
              <w:rPr>
                <w:rFonts w:ascii="Times New Roman" w:hAnsi="Times New Roman" w:eastAsia="宋体"/>
                <w:b w:val="0"/>
                <w:sz w:val="21"/>
              </w:rPr>
              <w:t>丹灶镇</w:t>
            </w:r>
          </w:p>
        </w:tc>
        <w:tc>
          <w:tcPr>
            <w:tcW w:w="1455" w:type="dxa"/>
            <w:vAlign w:val="center"/>
          </w:tcPr>
          <w:p w14:paraId="454DF4AC">
            <w:pPr>
              <w:spacing w:before="0" w:after="0" w:line="320" w:lineRule="exact"/>
              <w:jc w:val="left"/>
            </w:pPr>
            <w:r>
              <w:rPr>
                <w:rFonts w:ascii="Times New Roman" w:hAnsi="Times New Roman" w:eastAsia="宋体"/>
                <w:b w:val="0"/>
                <w:sz w:val="21"/>
              </w:rPr>
              <w:t>4.36</w:t>
            </w:r>
          </w:p>
        </w:tc>
        <w:tc>
          <w:tcPr>
            <w:tcW w:w="1455" w:type="dxa"/>
            <w:vAlign w:val="center"/>
          </w:tcPr>
          <w:p w14:paraId="050A42D8">
            <w:pPr>
              <w:spacing w:before="0" w:after="0" w:line="320" w:lineRule="exact"/>
              <w:jc w:val="left"/>
            </w:pPr>
            <w:r>
              <w:rPr>
                <w:rFonts w:ascii="Times New Roman" w:hAnsi="Times New Roman" w:eastAsia="宋体"/>
                <w:b w:val="0"/>
                <w:sz w:val="21"/>
              </w:rPr>
              <w:t>1.84</w:t>
            </w:r>
          </w:p>
        </w:tc>
        <w:tc>
          <w:tcPr>
            <w:tcW w:w="1455" w:type="dxa"/>
            <w:vAlign w:val="center"/>
          </w:tcPr>
          <w:p w14:paraId="2AA9F4D9">
            <w:pPr>
              <w:spacing w:before="0" w:after="0" w:line="320" w:lineRule="exact"/>
              <w:jc w:val="left"/>
            </w:pPr>
            <w:r>
              <w:rPr>
                <w:rFonts w:ascii="Times New Roman" w:hAnsi="Times New Roman" w:eastAsia="宋体"/>
                <w:b w:val="0"/>
                <w:sz w:val="21"/>
              </w:rPr>
              <w:t>5.07</w:t>
            </w:r>
          </w:p>
        </w:tc>
        <w:tc>
          <w:tcPr>
            <w:tcW w:w="1455" w:type="dxa"/>
            <w:vAlign w:val="center"/>
          </w:tcPr>
          <w:p w14:paraId="1DE59731">
            <w:pPr>
              <w:spacing w:before="0" w:after="0" w:line="320" w:lineRule="exact"/>
              <w:jc w:val="left"/>
            </w:pPr>
            <w:r>
              <w:rPr>
                <w:rFonts w:ascii="Times New Roman" w:hAnsi="Times New Roman" w:eastAsia="宋体"/>
                <w:b w:val="0"/>
                <w:sz w:val="21"/>
              </w:rPr>
              <w:t>1.71</w:t>
            </w:r>
          </w:p>
        </w:tc>
        <w:tc>
          <w:tcPr>
            <w:tcW w:w="1455" w:type="dxa"/>
            <w:vAlign w:val="center"/>
          </w:tcPr>
          <w:p w14:paraId="5596B182">
            <w:pPr>
              <w:spacing w:before="0" w:after="0" w:line="320" w:lineRule="exact"/>
              <w:jc w:val="left"/>
            </w:pPr>
            <w:r>
              <w:rPr>
                <w:rFonts w:ascii="Times New Roman" w:hAnsi="Times New Roman" w:eastAsia="宋体"/>
                <w:b w:val="0"/>
                <w:sz w:val="21"/>
              </w:rPr>
              <w:t>44</w:t>
            </w:r>
          </w:p>
        </w:tc>
      </w:tr>
      <w:tr w14:paraId="59BF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1D67855A">
            <w:pPr>
              <w:spacing w:before="0" w:after="0" w:line="320" w:lineRule="exact"/>
              <w:jc w:val="left"/>
            </w:pPr>
            <w:r>
              <w:rPr>
                <w:rFonts w:ascii="Times New Roman" w:hAnsi="Times New Roman" w:eastAsia="宋体"/>
                <w:b w:val="0"/>
                <w:sz w:val="21"/>
              </w:rPr>
              <w:t>西樵镇</w:t>
            </w:r>
          </w:p>
        </w:tc>
        <w:tc>
          <w:tcPr>
            <w:tcW w:w="1455" w:type="dxa"/>
            <w:vAlign w:val="center"/>
          </w:tcPr>
          <w:p w14:paraId="00615FEB">
            <w:pPr>
              <w:spacing w:before="0" w:after="0" w:line="320" w:lineRule="exact"/>
              <w:jc w:val="left"/>
            </w:pPr>
            <w:r>
              <w:rPr>
                <w:rFonts w:ascii="Times New Roman" w:hAnsi="Times New Roman" w:eastAsia="宋体"/>
                <w:b w:val="0"/>
                <w:sz w:val="21"/>
              </w:rPr>
              <w:t>11.78</w:t>
            </w:r>
          </w:p>
        </w:tc>
        <w:tc>
          <w:tcPr>
            <w:tcW w:w="1455" w:type="dxa"/>
            <w:vAlign w:val="center"/>
          </w:tcPr>
          <w:p w14:paraId="36803CA2">
            <w:pPr>
              <w:spacing w:before="0" w:after="0" w:line="320" w:lineRule="exact"/>
              <w:jc w:val="left"/>
            </w:pPr>
            <w:r>
              <w:rPr>
                <w:rFonts w:ascii="Times New Roman" w:hAnsi="Times New Roman" w:eastAsia="宋体"/>
                <w:b w:val="0"/>
                <w:sz w:val="21"/>
              </w:rPr>
              <w:t>18.29</w:t>
            </w:r>
          </w:p>
        </w:tc>
        <w:tc>
          <w:tcPr>
            <w:tcW w:w="1455" w:type="dxa"/>
            <w:vAlign w:val="center"/>
          </w:tcPr>
          <w:p w14:paraId="543B43BF">
            <w:pPr>
              <w:spacing w:before="0" w:after="0" w:line="320" w:lineRule="exact"/>
              <w:jc w:val="left"/>
            </w:pPr>
            <w:r>
              <w:rPr>
                <w:rFonts w:ascii="Times New Roman" w:hAnsi="Times New Roman" w:eastAsia="宋体"/>
                <w:b w:val="0"/>
                <w:sz w:val="21"/>
              </w:rPr>
              <w:t>6.55</w:t>
            </w:r>
          </w:p>
        </w:tc>
        <w:tc>
          <w:tcPr>
            <w:tcW w:w="1455" w:type="dxa"/>
            <w:vAlign w:val="center"/>
          </w:tcPr>
          <w:p w14:paraId="70B55B9B">
            <w:pPr>
              <w:spacing w:before="0" w:after="0" w:line="320" w:lineRule="exact"/>
              <w:jc w:val="left"/>
            </w:pPr>
            <w:r>
              <w:rPr>
                <w:rFonts w:ascii="Times New Roman" w:hAnsi="Times New Roman" w:eastAsia="宋体"/>
                <w:b w:val="0"/>
                <w:sz w:val="21"/>
              </w:rPr>
              <w:t>−7.83</w:t>
            </w:r>
          </w:p>
        </w:tc>
        <w:tc>
          <w:tcPr>
            <w:tcW w:w="1455" w:type="dxa"/>
            <w:vAlign w:val="center"/>
          </w:tcPr>
          <w:p w14:paraId="1BC94AB0">
            <w:pPr>
              <w:spacing w:before="0" w:after="0" w:line="320" w:lineRule="exact"/>
              <w:jc w:val="left"/>
            </w:pPr>
            <w:r>
              <w:rPr>
                <w:rFonts w:ascii="Times New Roman" w:hAnsi="Times New Roman" w:eastAsia="宋体"/>
                <w:b w:val="0"/>
                <w:sz w:val="21"/>
              </w:rPr>
              <w:t>715</w:t>
            </w:r>
          </w:p>
        </w:tc>
      </w:tr>
      <w:tr w14:paraId="422FC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4FFED5FD">
            <w:pPr>
              <w:spacing w:before="0" w:after="0" w:line="320" w:lineRule="exact"/>
              <w:jc w:val="left"/>
            </w:pPr>
            <w:r>
              <w:rPr>
                <w:rFonts w:ascii="Times New Roman" w:hAnsi="Times New Roman" w:eastAsia="宋体"/>
                <w:b w:val="0"/>
                <w:sz w:val="21"/>
              </w:rPr>
              <w:t>九江镇</w:t>
            </w:r>
          </w:p>
        </w:tc>
        <w:tc>
          <w:tcPr>
            <w:tcW w:w="1455" w:type="dxa"/>
            <w:vAlign w:val="center"/>
          </w:tcPr>
          <w:p w14:paraId="159A44DF">
            <w:pPr>
              <w:spacing w:before="0" w:after="0" w:line="320" w:lineRule="exact"/>
              <w:jc w:val="left"/>
            </w:pPr>
            <w:r>
              <w:rPr>
                <w:rFonts w:ascii="Times New Roman" w:hAnsi="Times New Roman" w:eastAsia="宋体"/>
                <w:b w:val="0"/>
                <w:sz w:val="21"/>
              </w:rPr>
              <w:t>6.17</w:t>
            </w:r>
          </w:p>
        </w:tc>
        <w:tc>
          <w:tcPr>
            <w:tcW w:w="1455" w:type="dxa"/>
            <w:vAlign w:val="center"/>
          </w:tcPr>
          <w:p w14:paraId="4FBB1975">
            <w:pPr>
              <w:spacing w:before="0" w:after="0" w:line="320" w:lineRule="exact"/>
              <w:jc w:val="left"/>
            </w:pPr>
            <w:r>
              <w:rPr>
                <w:rFonts w:ascii="Times New Roman" w:hAnsi="Times New Roman" w:eastAsia="宋体"/>
                <w:b w:val="0"/>
                <w:sz w:val="21"/>
              </w:rPr>
              <w:t>2.46</w:t>
            </w:r>
          </w:p>
        </w:tc>
        <w:tc>
          <w:tcPr>
            <w:tcW w:w="1455" w:type="dxa"/>
            <w:vAlign w:val="center"/>
          </w:tcPr>
          <w:p w14:paraId="26ECD526">
            <w:pPr>
              <w:spacing w:before="0" w:after="0" w:line="320" w:lineRule="exact"/>
              <w:jc w:val="left"/>
            </w:pPr>
            <w:r>
              <w:rPr>
                <w:rFonts w:ascii="Times New Roman" w:hAnsi="Times New Roman" w:eastAsia="宋体"/>
                <w:b w:val="0"/>
                <w:sz w:val="21"/>
              </w:rPr>
              <w:t>5.70</w:t>
            </w:r>
          </w:p>
        </w:tc>
        <w:tc>
          <w:tcPr>
            <w:tcW w:w="1455" w:type="dxa"/>
            <w:vAlign w:val="center"/>
          </w:tcPr>
          <w:p w14:paraId="6489DB62">
            <w:pPr>
              <w:spacing w:before="0" w:after="0" w:line="320" w:lineRule="exact"/>
              <w:jc w:val="left"/>
            </w:pPr>
            <w:r>
              <w:rPr>
                <w:rFonts w:ascii="Times New Roman" w:hAnsi="Times New Roman" w:eastAsia="宋体"/>
                <w:b w:val="0"/>
                <w:sz w:val="21"/>
              </w:rPr>
              <w:t>1.01</w:t>
            </w:r>
          </w:p>
        </w:tc>
        <w:tc>
          <w:tcPr>
            <w:tcW w:w="1455" w:type="dxa"/>
            <w:vAlign w:val="center"/>
          </w:tcPr>
          <w:p w14:paraId="0F5332AC">
            <w:pPr>
              <w:spacing w:before="0" w:after="0" w:line="320" w:lineRule="exact"/>
              <w:jc w:val="left"/>
            </w:pPr>
            <w:r>
              <w:rPr>
                <w:rFonts w:ascii="Times New Roman" w:hAnsi="Times New Roman" w:eastAsia="宋体"/>
                <w:b w:val="0"/>
                <w:sz w:val="21"/>
              </w:rPr>
              <w:t>35</w:t>
            </w:r>
          </w:p>
        </w:tc>
      </w:tr>
    </w:tbl>
    <w:p w14:paraId="7049527A">
      <w:pPr>
        <w:spacing w:before="40" w:after="120" w:line="400" w:lineRule="exact"/>
        <w:jc w:val="center"/>
      </w:pPr>
      <w:r>
        <w:rPr>
          <w:rFonts w:ascii="Times New Roman" w:hAnsi="Times New Roman" w:eastAsia="宋体"/>
          <w:b/>
          <w:sz w:val="21"/>
        </w:rPr>
        <w:t>表 6.8　镇街典籍—官方—旅游诊断拆分摘要</w:t>
      </w:r>
    </w:p>
    <w:p w14:paraId="61EB508A">
      <w:pPr>
        <w:spacing w:before="60" w:after="40" w:line="400" w:lineRule="exact"/>
        <w:jc w:val="center"/>
      </w:pPr>
      <w:r>
        <w:drawing>
          <wp:inline distT="0" distB="0" distL="114300" distR="114300">
            <wp:extent cx="5471795" cy="2861945"/>
            <wp:effectExtent l="0" t="0" r="14605"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72000" cy="2862277"/>
                    </a:xfrm>
                    <a:prstGeom prst="rect">
                      <a:avLst/>
                    </a:prstGeom>
                  </pic:spPr>
                </pic:pic>
              </a:graphicData>
            </a:graphic>
          </wp:inline>
        </w:drawing>
      </w:r>
    </w:p>
    <w:p w14:paraId="06C877D5">
      <w:pPr>
        <w:spacing w:before="40" w:after="120" w:line="400" w:lineRule="exact"/>
        <w:jc w:val="center"/>
      </w:pPr>
      <w:r>
        <w:rPr>
          <w:rFonts w:ascii="Times New Roman" w:hAnsi="Times New Roman" w:eastAsia="宋体"/>
          <w:b/>
          <w:sz w:val="21"/>
        </w:rPr>
        <w:t>图 6.8　典籍—官方—旅游诊断拆分图</w:t>
      </w:r>
    </w:p>
    <w:p w14:paraId="65E8FA83">
      <w:pPr>
        <w:spacing w:before="0" w:after="0" w:line="400" w:lineRule="exact"/>
        <w:ind w:firstLine="480"/>
        <w:jc w:val="left"/>
      </w:pPr>
      <w:r>
        <w:rPr>
          <w:rFonts w:ascii="Times New Roman" w:hAnsi="Times New Roman" w:eastAsia="宋体"/>
          <w:b w:val="0"/>
          <w:sz w:val="24"/>
        </w:rPr>
        <w:t>表 6.8 和图 6.8 强化了前文判断：桂城、大沥的旅游热度明显高于典籍/图谱和官方资源厚度，属于“旅游先行、文化注入不足”的片区；西樵的典籍/图谱和官方资源均较高，但旅游热度相对偏低，仍是“文化厚、转化不足”的重点片区；九江的典籍/图谱均值高于官方资源覆盖值，说明其问题不仅在旅游转化，也在于部分地方文化线索尚未充分进入可空间化、可体验的资源体系。由此，核心模型用于识别错位强度，三维拆分用于解释错位来源，两者可以互相补充。</w:t>
      </w:r>
    </w:p>
    <w:p w14:paraId="5D3CF251">
      <w:r>
        <w:br w:type="page"/>
      </w:r>
    </w:p>
    <w:p w14:paraId="2BBF424B">
      <w:pPr>
        <w:spacing w:before="360" w:after="160" w:line="400" w:lineRule="exact"/>
        <w:jc w:val="center"/>
        <w:outlineLvl w:val="0"/>
      </w:pPr>
      <w:bookmarkStart w:id="86" w:name="_Toc26553"/>
      <w:r>
        <w:rPr>
          <w:rFonts w:ascii="Times New Roman" w:hAnsi="Times New Roman" w:eastAsia="黑体"/>
          <w:b/>
          <w:sz w:val="32"/>
        </w:rPr>
        <w:t>第 7 章　结论与建议</w:t>
      </w:r>
      <w:bookmarkEnd w:id="86"/>
    </w:p>
    <w:p w14:paraId="47C3D0B9">
      <w:pPr>
        <w:spacing w:before="240" w:after="120" w:line="400" w:lineRule="exact"/>
        <w:jc w:val="left"/>
        <w:outlineLvl w:val="1"/>
      </w:pPr>
      <w:bookmarkStart w:id="87" w:name="_Toc13919"/>
      <w:r>
        <w:rPr>
          <w:rFonts w:ascii="Times New Roman" w:hAnsi="Times New Roman" w:eastAsia="黑体"/>
          <w:b/>
          <w:sz w:val="28"/>
        </w:rPr>
        <w:t>7.1 主要研究结论</w:t>
      </w:r>
      <w:bookmarkEnd w:id="87"/>
    </w:p>
    <w:p w14:paraId="770F3AC4">
      <w:pPr>
        <w:spacing w:before="0" w:after="0" w:line="400" w:lineRule="exact"/>
        <w:ind w:firstLine="480"/>
        <w:jc w:val="left"/>
      </w:pPr>
      <w:r>
        <w:rPr>
          <w:rFonts w:ascii="Times New Roman" w:hAnsi="Times New Roman" w:eastAsia="宋体"/>
          <w:b w:val="0"/>
          <w:sz w:val="24"/>
        </w:rPr>
        <w:t>本研究以佛山市南海区为对象，构建了“文化—旅游”双谱系对照框架，并以文化记忆指数、官方认证指数、旅游热度指数和文化—旅游错位指数为主要工具，分析了 165 条文化载体和 500 m 网格尺度下的空间格局。主要结论如下。</w:t>
      </w:r>
    </w:p>
    <w:p w14:paraId="20E8C435">
      <w:pPr>
        <w:spacing w:before="40" w:after="0" w:line="400" w:lineRule="exact"/>
        <w:jc w:val="center"/>
      </w:pPr>
      <w:r>
        <w:rPr>
          <w:rFonts w:ascii="Times New Roman" w:hAnsi="Times New Roman" w:eastAsia="宋体"/>
          <w:b/>
          <w:sz w:val="24"/>
        </w:rPr>
        <w:t>结论一：南海区文化资源与旅游产品之间存在较明显的错位。</w:t>
      </w:r>
    </w:p>
    <w:p w14:paraId="64AE6984">
      <w:pPr>
        <w:spacing w:before="0" w:after="0" w:line="400" w:lineRule="exact"/>
        <w:ind w:firstLine="480"/>
        <w:jc w:val="left"/>
      </w:pPr>
      <w:r>
        <w:rPr>
          <w:rFonts w:ascii="Times New Roman" w:hAnsi="Times New Roman" w:eastAsia="宋体"/>
          <w:b w:val="0"/>
          <w:sz w:val="24"/>
        </w:rPr>
        <w:t>在载体尺度上，165 条文化载体中，沉睡潜力区 47 条，占 28.5%；空心景点区 53 条，占 32.1%；核心耦合区仅 10 条，占 6.1%。在网格尺度上，1 跳知识图谱口径识别出 170 个沉睡潜力网格、34 个空心景点网格和 8 个核心耦合网格。这说明南海区文旅融合的关键问题并不是文化资源或旅游产品单方面不足，而是二者在空间载体和体验转化上尚未形成充分对应。</w:t>
      </w:r>
    </w:p>
    <w:p w14:paraId="6BF634EC">
      <w:pPr>
        <w:spacing w:before="40" w:after="0" w:line="400" w:lineRule="exact"/>
        <w:jc w:val="center"/>
      </w:pPr>
      <w:r>
        <w:rPr>
          <w:rFonts w:ascii="Times New Roman" w:hAnsi="Times New Roman" w:eastAsia="宋体"/>
          <w:b/>
          <w:sz w:val="24"/>
        </w:rPr>
        <w:t>结论二：“东旅西文”的空间结构较为稳定。</w:t>
      </w:r>
    </w:p>
    <w:p w14:paraId="5D4C0248">
      <w:pPr>
        <w:spacing w:before="0" w:after="0" w:line="400" w:lineRule="exact"/>
        <w:ind w:firstLine="480"/>
        <w:jc w:val="left"/>
      </w:pPr>
      <w:r>
        <w:rPr>
          <w:rFonts w:ascii="Times New Roman" w:hAnsi="Times New Roman" w:eastAsia="宋体"/>
          <w:b w:val="0"/>
          <w:sz w:val="24"/>
        </w:rPr>
        <w:t>POI 高值区主要集中在桂城、大沥、狮山等东北部城镇化片区，而文化载体与文化厚度高值更多出现在西樵、九江、丹灶等西南部片区。镇街级相关结果也显示，物质载体数与 POI 总量呈中等负相关。由此可以看到，南海区并不是简单的“哪里文化多、哪里旅游就强”，而是存在较清楚的空间方向性错位。</w:t>
      </w:r>
    </w:p>
    <w:p w14:paraId="69B0A139">
      <w:pPr>
        <w:spacing w:before="40" w:after="0" w:line="400" w:lineRule="exact"/>
        <w:jc w:val="center"/>
      </w:pPr>
      <w:r>
        <w:rPr>
          <w:rFonts w:ascii="Times New Roman" w:hAnsi="Times New Roman" w:eastAsia="宋体"/>
          <w:b/>
          <w:sz w:val="24"/>
        </w:rPr>
        <w:t>结论三：物质文化载体适合作为主桥梁，非遗更适合作为动态补充。</w:t>
      </w:r>
    </w:p>
    <w:p w14:paraId="60EB741A">
      <w:pPr>
        <w:spacing w:before="0" w:after="0" w:line="400" w:lineRule="exact"/>
        <w:ind w:firstLine="480"/>
        <w:jc w:val="left"/>
      </w:pPr>
      <w:r>
        <w:rPr>
          <w:rFonts w:ascii="Times New Roman" w:hAnsi="Times New Roman" w:eastAsia="宋体"/>
          <w:b w:val="0"/>
          <w:sz w:val="24"/>
        </w:rPr>
        <w:t>物质文化载体通常具备较明确的空间位置和官方认定信息，便于与知识图谱、POI 和网格分析相连接，因此适合作为本研究的主操作化桥梁。非遗项目中有一部分能够依托场馆、训练基地、村落或节庆空间参与空间匹配，但也有相当一部分只能定位到传承人或镇街层面。对于后者，更适合在规划建议中以活动植入、展示转译和线路组织的方式发挥作用，而不宜强行视为固定景点。</w:t>
      </w:r>
    </w:p>
    <w:p w14:paraId="45A7D539">
      <w:pPr>
        <w:spacing w:before="40" w:after="0" w:line="400" w:lineRule="exact"/>
        <w:jc w:val="center"/>
      </w:pPr>
      <w:r>
        <w:rPr>
          <w:rFonts w:ascii="Times New Roman" w:hAnsi="Times New Roman" w:eastAsia="宋体"/>
          <w:b/>
          <w:sz w:val="24"/>
        </w:rPr>
        <w:t>结论四：相关分析支持错位判断，但不能作因果解释。</w:t>
      </w:r>
    </w:p>
    <w:p w14:paraId="2E27D0B9">
      <w:pPr>
        <w:spacing w:before="0" w:after="0" w:line="400" w:lineRule="exact"/>
        <w:ind w:firstLine="480"/>
        <w:jc w:val="left"/>
      </w:pPr>
      <w:r>
        <w:rPr>
          <w:rFonts w:ascii="Times New Roman" w:hAnsi="Times New Roman" w:eastAsia="宋体"/>
          <w:b w:val="0"/>
          <w:sz w:val="24"/>
        </w:rPr>
        <w:t>载体级相关矩阵显示，CMI 与 MI 呈中等负相关（r = −0.495），OAI 与 MI 呈中等负相关（r = −0.440），而 500 m 范围内 POI 数量与 CMI、OAI 的相关性接近于零。这一结果从量化层面支持了“文化高、旅游低”和“旅游高、文化支撑不足”并存的判断。与此同时，镇街级样本只有 7 个，A 级景区样本只有 16 个，相关系数只适合提示关系，不应被解释为严格因果。</w:t>
      </w:r>
    </w:p>
    <w:p w14:paraId="3A915A78">
      <w:pPr>
        <w:spacing w:before="40" w:after="0" w:line="400" w:lineRule="exact"/>
        <w:jc w:val="center"/>
      </w:pPr>
      <w:r>
        <w:rPr>
          <w:rFonts w:ascii="Times New Roman" w:hAnsi="Times New Roman" w:eastAsia="宋体"/>
          <w:b/>
          <w:sz w:val="24"/>
        </w:rPr>
        <w:t>结论五：西南廊道是潜力释放重点，东北都市圈更需要文化内容补强。</w:t>
      </w:r>
    </w:p>
    <w:p w14:paraId="29A74C91">
      <w:pPr>
        <w:spacing w:before="0" w:after="0" w:line="400" w:lineRule="exact"/>
        <w:ind w:firstLine="480"/>
        <w:jc w:val="left"/>
      </w:pPr>
      <w:r>
        <w:rPr>
          <w:rFonts w:ascii="Times New Roman" w:hAnsi="Times New Roman" w:eastAsia="宋体"/>
          <w:b w:val="0"/>
          <w:sz w:val="24"/>
        </w:rPr>
        <w:t>1 跳知识图谱口径下，西樵、九江、丹灶三镇合计 147 个沉睡潜力网格，占全区 1 跳沉睡潜力网格的 86.5%，说明西南片区具备集中释放文化潜力的空间基础。相对而言，桂城、大沥等东北部片区旅游热度较高，但文化厚度相对不足，更需要通过非遗活动、文化市集、解说系统和主题事件补足地方文化内容。</w:t>
      </w:r>
    </w:p>
    <w:p w14:paraId="6EB680D4">
      <w:pPr>
        <w:spacing w:before="40" w:after="0" w:line="400" w:lineRule="exact"/>
        <w:jc w:val="center"/>
      </w:pPr>
      <w:r>
        <w:rPr>
          <w:rFonts w:ascii="Times New Roman" w:hAnsi="Times New Roman" w:eastAsia="宋体"/>
          <w:b/>
          <w:sz w:val="24"/>
        </w:rPr>
        <w:t>结论六：九江镇需要同时考虑真实转化不足与数据口径低估。</w:t>
      </w:r>
    </w:p>
    <w:p w14:paraId="4D77F4BC">
      <w:pPr>
        <w:spacing w:before="0" w:after="0" w:line="400" w:lineRule="exact"/>
        <w:ind w:firstLine="480"/>
        <w:jc w:val="left"/>
      </w:pPr>
      <w:r>
        <w:rPr>
          <w:rFonts w:ascii="Times New Roman" w:hAnsi="Times New Roman" w:eastAsia="宋体"/>
          <w:b w:val="0"/>
          <w:sz w:val="24"/>
        </w:rPr>
        <w:t>九江镇文化线索较密，但 POI 数量和平台评论热度偏低。这一结果一方面反映其交通联系、景区化程度和旅游产品组织仍有不足；另一方面也受到本文未纳入餐饮门店和餐饮评价平台数据的影响。对于九江这样的美食和民俗体验型片区，后续研究和规划判断需要把“数据低估”和“实质短板”区分开来。</w:t>
      </w:r>
    </w:p>
    <w:p w14:paraId="7038FCF7">
      <w:pPr>
        <w:spacing w:before="240" w:after="120" w:line="400" w:lineRule="exact"/>
        <w:jc w:val="left"/>
        <w:outlineLvl w:val="1"/>
      </w:pPr>
      <w:bookmarkStart w:id="88" w:name="_Toc27950"/>
      <w:r>
        <w:rPr>
          <w:rFonts w:ascii="Times New Roman" w:hAnsi="Times New Roman" w:eastAsia="黑体"/>
          <w:b/>
          <w:sz w:val="28"/>
        </w:rPr>
        <w:t>7.2 文旅融合潜力释放与提升建议</w:t>
      </w:r>
      <w:bookmarkEnd w:id="88"/>
    </w:p>
    <w:p w14:paraId="5AB12863">
      <w:pPr>
        <w:spacing w:before="0" w:after="0" w:line="400" w:lineRule="exact"/>
        <w:ind w:firstLine="480"/>
        <w:jc w:val="left"/>
      </w:pPr>
      <w:r>
        <w:rPr>
          <w:rFonts w:ascii="Times New Roman" w:hAnsi="Times New Roman" w:eastAsia="宋体"/>
          <w:b w:val="0"/>
          <w:sz w:val="24"/>
        </w:rPr>
        <w:t>从风景园林和城乡规划的角度看，文旅融合潜力释放不能只停留在资源宣传层面，而需要落实到载体、游线、场地和运营机制上。本文据此提出以下建议。</w:t>
      </w:r>
    </w:p>
    <w:p w14:paraId="721590CF">
      <w:pPr>
        <w:spacing w:before="240" w:after="120" w:line="400" w:lineRule="exact"/>
        <w:jc w:val="left"/>
        <w:outlineLvl w:val="2"/>
      </w:pPr>
      <w:bookmarkStart w:id="89" w:name="_Toc25390"/>
      <w:r>
        <w:rPr>
          <w:rFonts w:ascii="Times New Roman" w:hAnsi="Times New Roman" w:eastAsia="黑体"/>
          <w:b/>
          <w:sz w:val="26"/>
        </w:rPr>
        <w:t>7.2.1 载体层面：按错位类型分级干预</w:t>
      </w:r>
      <w:bookmarkEnd w:id="89"/>
    </w:p>
    <w:p w14:paraId="3607F9FD">
      <w:pPr>
        <w:spacing w:before="0" w:after="0" w:line="400" w:lineRule="exact"/>
        <w:ind w:firstLine="480"/>
        <w:jc w:val="left"/>
      </w:pPr>
      <w:r>
        <w:rPr>
          <w:rFonts w:ascii="Times New Roman" w:hAnsi="Times New Roman" w:eastAsia="宋体"/>
          <w:b w:val="0"/>
          <w:sz w:val="24"/>
        </w:rPr>
        <w:t>对于沉睡潜力区，应优先改善可达性、展示空间和解说系统。松塘村、烟桥古村、仙岗村等历史村落已经具备一定文化识别基础，下一步更需要完善游线入口、公共服务、导览标识和停留节点，使文化记忆能够转化为游客可以感知的游览过程。</w:t>
      </w:r>
    </w:p>
    <w:p w14:paraId="565E94F9">
      <w:pPr>
        <w:spacing w:before="0" w:after="0" w:line="400" w:lineRule="exact"/>
        <w:ind w:firstLine="480"/>
        <w:jc w:val="left"/>
      </w:pPr>
      <w:r>
        <w:rPr>
          <w:rFonts w:ascii="Times New Roman" w:hAnsi="Times New Roman" w:eastAsia="宋体"/>
          <w:b w:val="0"/>
          <w:sz w:val="24"/>
        </w:rPr>
        <w:t>对于空心景点区，应重点补足本土文化叙事。桂城、大沥等现代公园、商业休闲空间和城市开放空间已经具备较强人流基础，但地方文化内容不足。可以通过非遗快闪、周末文化市集、主题展陈和临时性公共艺术等方式，把文化内容嵌入日常休闲空间。</w:t>
      </w:r>
    </w:p>
    <w:p w14:paraId="68E9847E">
      <w:pPr>
        <w:spacing w:before="0" w:after="0" w:line="400" w:lineRule="exact"/>
        <w:ind w:firstLine="480"/>
        <w:jc w:val="left"/>
      </w:pPr>
      <w:r>
        <w:rPr>
          <w:rFonts w:ascii="Times New Roman" w:hAnsi="Times New Roman" w:eastAsia="宋体"/>
          <w:b w:val="0"/>
          <w:sz w:val="24"/>
        </w:rPr>
        <w:t>对于核心耦合区，应将其作为线路组织和品牌塑造的基础节点，而不是孤立展示。西樵山、云泉仙馆、丹灶葛洪炼丹传说等已具备一定文化和旅游双重基础，适合进一步承担片区线路的起点、转换点或主题节点。</w:t>
      </w:r>
    </w:p>
    <w:p w14:paraId="1E4A1754">
      <w:pPr>
        <w:spacing w:before="240" w:after="120" w:line="400" w:lineRule="exact"/>
        <w:jc w:val="left"/>
        <w:outlineLvl w:val="2"/>
      </w:pPr>
      <w:bookmarkStart w:id="90" w:name="_Toc27093"/>
      <w:r>
        <w:rPr>
          <w:rFonts w:ascii="Times New Roman" w:hAnsi="Times New Roman" w:eastAsia="黑体"/>
          <w:b/>
          <w:sz w:val="26"/>
        </w:rPr>
        <w:t>7.2.2 片区层面：形成西南廊道与东北都市圈的差异化策略</w:t>
      </w:r>
      <w:bookmarkEnd w:id="90"/>
    </w:p>
    <w:p w14:paraId="74027E2A">
      <w:pPr>
        <w:spacing w:before="0" w:after="0" w:line="400" w:lineRule="exact"/>
        <w:ind w:firstLine="480"/>
        <w:jc w:val="left"/>
      </w:pPr>
      <w:r>
        <w:rPr>
          <w:rFonts w:ascii="Times New Roman" w:hAnsi="Times New Roman" w:eastAsia="宋体"/>
          <w:b w:val="0"/>
          <w:sz w:val="24"/>
        </w:rPr>
        <w:t>西南廊道应以“文化资源转化”为重点。西樵—松塘—烟桥—九江—丹灶一线可围绕理学文化、古村落、龙舟、美食非遗和水乡景观组织复合游线，在烟桥、松塘、仙岗等 MI 负值较大的节点周边优先布设小型展示空间、活态传习点和研学停留点。</w:t>
      </w:r>
    </w:p>
    <w:p w14:paraId="6D00D5AE">
      <w:pPr>
        <w:spacing w:before="0" w:after="0" w:line="400" w:lineRule="exact"/>
        <w:ind w:firstLine="480"/>
        <w:jc w:val="left"/>
      </w:pPr>
      <w:r>
        <w:rPr>
          <w:rFonts w:ascii="Times New Roman" w:hAnsi="Times New Roman" w:eastAsia="宋体"/>
          <w:b w:val="0"/>
          <w:sz w:val="24"/>
        </w:rPr>
        <w:t>九江镇应突出“美食非遗 + 龙舟研学 + 古村游线”的组合。九江双蒸博物馆、吴家大院、烟桥古村、龙舟训练和水乡餐饮空间可以共同构成片区骨架。对于当前模型识别出的沉睡潜力网格，可优先补充文化故事卡、步行导览、餐饮体验挂接和节庆活动节点，同时在后续数据工作中补充餐饮评价和夜间活力数据。</w:t>
      </w:r>
    </w:p>
    <w:p w14:paraId="6454CD0A">
      <w:pPr>
        <w:spacing w:before="0" w:after="0" w:line="400" w:lineRule="exact"/>
        <w:ind w:firstLine="480"/>
        <w:jc w:val="left"/>
      </w:pPr>
      <w:r>
        <w:rPr>
          <w:rFonts w:ascii="Times New Roman" w:hAnsi="Times New Roman" w:eastAsia="宋体"/>
          <w:b w:val="0"/>
          <w:sz w:val="24"/>
        </w:rPr>
        <w:t>东北都市圈应以“文化内容注入”为重点。桂城、大沥、狮山和里水已经拥有较强 POI 密度和日常消费基础，适合把非遗展示、地方历史叙事和公共活动嵌入公园、湖区、商圈和社区开放空间，使现代旅游供给不只停留在环境消费和休闲消费层面。</w:t>
      </w:r>
    </w:p>
    <w:p w14:paraId="6CCB92C3">
      <w:pPr>
        <w:spacing w:before="240" w:after="120" w:line="400" w:lineRule="exact"/>
        <w:jc w:val="left"/>
        <w:outlineLvl w:val="2"/>
      </w:pPr>
      <w:bookmarkStart w:id="91" w:name="_Toc13336"/>
      <w:r>
        <w:rPr>
          <w:rFonts w:ascii="Times New Roman" w:hAnsi="Times New Roman" w:eastAsia="黑体"/>
          <w:b/>
          <w:sz w:val="26"/>
        </w:rPr>
        <w:t>7.2.3 管理层面：将错位指数纳入动态监测</w:t>
      </w:r>
      <w:bookmarkEnd w:id="91"/>
    </w:p>
    <w:p w14:paraId="45C69A8E">
      <w:pPr>
        <w:spacing w:before="0" w:after="0" w:line="400" w:lineRule="exact"/>
        <w:ind w:firstLine="480"/>
        <w:jc w:val="left"/>
      </w:pPr>
      <w:r>
        <w:rPr>
          <w:rFonts w:ascii="Times New Roman" w:hAnsi="Times New Roman" w:eastAsia="宋体"/>
          <w:b w:val="0"/>
          <w:sz w:val="24"/>
        </w:rPr>
        <w:t>建议将 CMI、OAI、THI 和 MI 作为南海区文旅融合潜力的动态监测指标，定期更新载体级和网格级结果。载体级结果可用于形成项目清单和优先级排序，网格级结果可用于识别连续片区、游线节点和公共服务短板。监测时应保持指标口径相对稳定，同时补充餐饮评论、客流热力和活动数据，以便观察干预措施是否真正改变了文化资源与旅游供给之间的对应关系。</w:t>
      </w:r>
    </w:p>
    <w:p w14:paraId="74FCCA93">
      <w:pPr>
        <w:spacing w:before="240" w:after="120" w:line="400" w:lineRule="exact"/>
        <w:jc w:val="left"/>
        <w:outlineLvl w:val="1"/>
      </w:pPr>
      <w:bookmarkStart w:id="92" w:name="_Toc12825"/>
      <w:r>
        <w:rPr>
          <w:rFonts w:ascii="Times New Roman" w:hAnsi="Times New Roman" w:eastAsia="黑体"/>
          <w:b/>
          <w:sz w:val="28"/>
        </w:rPr>
        <w:t>7.3 研究不足与展望</w:t>
      </w:r>
      <w:bookmarkEnd w:id="92"/>
    </w:p>
    <w:p w14:paraId="7F46BB82">
      <w:pPr>
        <w:spacing w:before="240" w:after="120" w:line="400" w:lineRule="exact"/>
        <w:jc w:val="left"/>
        <w:outlineLvl w:val="2"/>
      </w:pPr>
      <w:bookmarkStart w:id="93" w:name="_Toc31592"/>
      <w:r>
        <w:rPr>
          <w:rFonts w:ascii="Times New Roman" w:hAnsi="Times New Roman" w:eastAsia="黑体"/>
          <w:b/>
          <w:sz w:val="26"/>
        </w:rPr>
        <w:t>7.3.1 数据层面</w:t>
      </w:r>
      <w:bookmarkEnd w:id="93"/>
    </w:p>
    <w:p w14:paraId="2F1D0272">
      <w:pPr>
        <w:spacing w:before="0" w:after="0" w:line="400" w:lineRule="exact"/>
        <w:ind w:firstLine="480"/>
        <w:jc w:val="left"/>
      </w:pPr>
      <w:r>
        <w:rPr>
          <w:rFonts w:ascii="Times New Roman" w:hAnsi="Times New Roman" w:eastAsia="宋体"/>
          <w:b w:val="0"/>
          <w:sz w:val="24"/>
        </w:rPr>
        <w:t>本研究仍存在若干数据限制。第一，典籍 OCR 和实体抽取仍可能存在识别误差，部分古地名、人物名和官职名需要后续人工校核。第二，评论数据是单一时点截面，且未纳入大众点评、美团、百度地图等平台，对九江等餐饮和生活体验主导的片区可能存在低估。第三，54 项主要依托传承人登记地的非遗项目空间边界较弱，尚不能像物质载体一样完整参与主桥梁匹配。第四，镇街边界和网格划分仍存在少量空间误差，部分网格被标记为未标注，但从整体结果看并未改变主要空间格局。</w:t>
      </w:r>
    </w:p>
    <w:p w14:paraId="18424333">
      <w:pPr>
        <w:spacing w:before="240" w:after="120" w:line="400" w:lineRule="exact"/>
        <w:jc w:val="left"/>
        <w:outlineLvl w:val="2"/>
      </w:pPr>
      <w:bookmarkStart w:id="94" w:name="_Toc2170"/>
      <w:r>
        <w:rPr>
          <w:rFonts w:ascii="Times New Roman" w:hAnsi="Times New Roman" w:eastAsia="黑体"/>
          <w:b/>
          <w:sz w:val="26"/>
        </w:rPr>
        <w:t>7.3.2 方法层面</w:t>
      </w:r>
      <w:bookmarkEnd w:id="94"/>
    </w:p>
    <w:p w14:paraId="3C94ED51">
      <w:pPr>
        <w:spacing w:before="0" w:after="0" w:line="400" w:lineRule="exact"/>
        <w:ind w:firstLine="480"/>
        <w:jc w:val="left"/>
      </w:pPr>
      <w:r>
        <w:rPr>
          <w:rFonts w:ascii="Times New Roman" w:hAnsi="Times New Roman" w:eastAsia="宋体"/>
          <w:b w:val="0"/>
          <w:sz w:val="24"/>
        </w:rPr>
        <w:t>方法上，错位指数中的 CMI 与 OAI 采用等权设置，THI 中 POI 数量、评分和评论量也采用预设权重。这种处理有利于保持本科论文阶段的透明性和可复核性，但仍然具有简化性。后续可通过专家打分、游客问卷或多元回归等方法进一步校准权重。同时，镇街级相关分析样本量仅为 7，A 级景区样本量仅为 16，相关结果只能作为提示，不宜作强因果解释。</w:t>
      </w:r>
    </w:p>
    <w:p w14:paraId="79DDEF44">
      <w:pPr>
        <w:spacing w:before="240" w:after="120" w:line="400" w:lineRule="exact"/>
        <w:jc w:val="left"/>
        <w:outlineLvl w:val="2"/>
      </w:pPr>
      <w:bookmarkStart w:id="95" w:name="_Toc19827"/>
      <w:r>
        <w:rPr>
          <w:rFonts w:ascii="Times New Roman" w:hAnsi="Times New Roman" w:eastAsia="黑体"/>
          <w:b/>
          <w:sz w:val="26"/>
        </w:rPr>
        <w:t>7.3.3 展望</w:t>
      </w:r>
      <w:bookmarkEnd w:id="95"/>
    </w:p>
    <w:p w14:paraId="177DACC3">
      <w:pPr>
        <w:spacing w:before="0" w:after="0" w:line="400" w:lineRule="exact"/>
        <w:ind w:firstLine="480"/>
        <w:jc w:val="left"/>
      </w:pPr>
      <w:r>
        <w:rPr>
          <w:rFonts w:ascii="Times New Roman" w:hAnsi="Times New Roman" w:eastAsia="宋体"/>
          <w:b w:val="0"/>
          <w:sz w:val="24"/>
        </w:rPr>
        <w:t>后续研究可以从三个方向继续推进。第一，补充餐饮评价、夜间热度、节庆活动和客流数据，以更准确地识别九江等片区的真实旅游活力。第二，深化知识图谱的路径分析，从“主题—地点—关联实体”的角度筛选文旅 IP 和潜力项目组合。第三，将本研究框架拓展到更细的街区和地块尺度，并在佛山其他区县或珠三角同尺度区县中进行比较，以检验方法的适用性和可迁移性。</w:t>
      </w:r>
    </w:p>
    <w:p w14:paraId="6ED8841E">
      <w:r>
        <w:br w:type="page"/>
      </w:r>
    </w:p>
    <w:p w14:paraId="6419B0B9">
      <w:pPr>
        <w:spacing w:before="240" w:after="120" w:line="400" w:lineRule="exact"/>
        <w:jc w:val="left"/>
        <w:outlineLvl w:val="0"/>
      </w:pPr>
      <w:bookmarkStart w:id="96" w:name="_Toc1128"/>
      <w:r>
        <w:rPr>
          <w:rFonts w:ascii="Times New Roman" w:hAnsi="Times New Roman" w:eastAsia="黑体"/>
          <w:b/>
          <w:sz w:val="28"/>
        </w:rPr>
        <w:t>参考文献</w:t>
      </w:r>
      <w:bookmarkEnd w:id="96"/>
    </w:p>
    <w:p w14:paraId="71232581">
      <w:pPr>
        <w:spacing w:before="0" w:after="0" w:line="400" w:lineRule="exact"/>
        <w:ind w:firstLine="480"/>
        <w:jc w:val="left"/>
      </w:pPr>
      <w:r>
        <w:rPr>
          <w:rFonts w:ascii="Times New Roman" w:hAnsi="Times New Roman" w:eastAsia="宋体"/>
          <w:b w:val="0"/>
          <w:sz w:val="24"/>
        </w:rPr>
        <w:t>[1] 吴丽, 梁皓, 虞华君, 等. 中国文化和旅游融合发展空间分异及驱动因素[J]. 经济地理, 2021, 41(2): 214-221. DOI:10.15957/j.cnki.jjdl.2021.02.023.</w:t>
      </w:r>
    </w:p>
    <w:p w14:paraId="77968CA3">
      <w:pPr>
        <w:spacing w:before="0" w:after="0" w:line="400" w:lineRule="exact"/>
        <w:ind w:firstLine="480"/>
        <w:jc w:val="left"/>
      </w:pPr>
      <w:r>
        <w:rPr>
          <w:rFonts w:ascii="Times New Roman" w:hAnsi="Times New Roman" w:eastAsia="宋体"/>
          <w:b w:val="0"/>
          <w:sz w:val="24"/>
        </w:rPr>
        <w:t>[2] 章坤, 朱海, 谢朝武. 中国文化和旅游产业高质量融合发展的适配关系与政策启示[J]. 自然资源学报, 2025, 40(4): 1084-1106. DOI:10.31497/zrzyxb.20250413.</w:t>
      </w:r>
    </w:p>
    <w:p w14:paraId="0195D80D">
      <w:pPr>
        <w:spacing w:before="0" w:after="0" w:line="400" w:lineRule="exact"/>
        <w:ind w:firstLine="480"/>
        <w:jc w:val="left"/>
      </w:pPr>
      <w:r>
        <w:rPr>
          <w:rFonts w:ascii="Times New Roman" w:hAnsi="Times New Roman" w:eastAsia="宋体"/>
          <w:b w:val="0"/>
          <w:sz w:val="24"/>
        </w:rPr>
        <w:t>[3] 郭艳萍, 刘敏. 基于 POI 数据的山西省旅游景区分类及空间分布特征[J]. 地理科学, 2021, 41(7): 1246-1255. DOI:10.13249/j.cnki.sgs.2021.07.015.</w:t>
      </w:r>
    </w:p>
    <w:p w14:paraId="3AFE91A8">
      <w:pPr>
        <w:spacing w:before="0" w:after="0" w:line="400" w:lineRule="exact"/>
        <w:ind w:firstLine="480"/>
        <w:jc w:val="left"/>
      </w:pPr>
      <w:r>
        <w:rPr>
          <w:rFonts w:ascii="Times New Roman" w:hAnsi="Times New Roman" w:eastAsia="宋体"/>
          <w:b w:val="0"/>
          <w:sz w:val="24"/>
        </w:rPr>
        <w:t>[4] 田志馥, 于亚娟, 黄辰宇. 基于 POI 数据挖掘的内蒙古县域旅游要素空间分布特征及影响因素[J]. 干旱区地理, 2025, 48(7): 1255-1266. DOI:10.12118/j.issn.1000-6060.2024.601.</w:t>
      </w:r>
    </w:p>
    <w:p w14:paraId="4A519B62">
      <w:pPr>
        <w:spacing w:before="0" w:after="0" w:line="400" w:lineRule="exact"/>
        <w:ind w:firstLine="480"/>
        <w:jc w:val="left"/>
      </w:pPr>
      <w:r>
        <w:rPr>
          <w:rFonts w:ascii="Times New Roman" w:hAnsi="Times New Roman" w:eastAsia="宋体"/>
          <w:b w:val="0"/>
          <w:sz w:val="24"/>
        </w:rPr>
        <w:t>[5] 王邵军, 李晓冰. 黄河流域高质量发展目标下非物质文化遗产与旅游业耦合协调发展研究：以山东省沿黄九市为例[J]. 东岳论丛, 2023, 44(11): 132-147. DOI:10.15981/j.cnki.dongyueluncong.2023.11.015.</w:t>
      </w:r>
    </w:p>
    <w:p w14:paraId="6128753C">
      <w:pPr>
        <w:spacing w:before="0" w:after="0" w:line="400" w:lineRule="exact"/>
        <w:ind w:firstLine="480"/>
        <w:jc w:val="left"/>
      </w:pPr>
      <w:r>
        <w:rPr>
          <w:rFonts w:ascii="Times New Roman" w:hAnsi="Times New Roman" w:eastAsia="宋体"/>
          <w:b w:val="0"/>
          <w:sz w:val="24"/>
        </w:rPr>
        <w:t>[6] 王公为. 文旅融合背景下非物质文化遗产与旅游业的耦合发展研究：以内蒙古为例[J/OL]. (2020-03)[2026-04-14]. http://ycfytsk.jx.chaoxing.com/info/2611.</w:t>
      </w:r>
    </w:p>
    <w:p w14:paraId="3F86F810">
      <w:pPr>
        <w:spacing w:before="0" w:after="0" w:line="400" w:lineRule="exact"/>
        <w:ind w:firstLine="480"/>
        <w:jc w:val="left"/>
      </w:pPr>
      <w:r>
        <w:rPr>
          <w:rFonts w:ascii="Times New Roman" w:hAnsi="Times New Roman" w:eastAsia="宋体"/>
          <w:b w:val="0"/>
          <w:sz w:val="24"/>
        </w:rPr>
        <w:t>[7] FENSEL A, AKBAR Z, KARLE E, et al. Knowledge Graphs for Online Marketing and Sales of Touristic Services[J]. Information, 2020, 11(5): 253. DOI:10.3390/info11050253.</w:t>
      </w:r>
    </w:p>
    <w:p w14:paraId="5947263E">
      <w:pPr>
        <w:spacing w:before="0" w:after="0" w:line="400" w:lineRule="exact"/>
        <w:ind w:firstLine="480"/>
        <w:jc w:val="left"/>
      </w:pPr>
      <w:r>
        <w:rPr>
          <w:rFonts w:ascii="Times New Roman" w:hAnsi="Times New Roman" w:eastAsia="宋体"/>
          <w:b w:val="0"/>
          <w:sz w:val="24"/>
        </w:rPr>
        <w:t>[8] SONG S, YANG C, XU L, et al. TravelRAG: A Tourist Attraction Retrieval Framework Based on Multi-Layer Knowledge Graph[J]. ISPRS International Journal of Geo-Information, 2024, 13(11): 414. DOI:10.3390/ijgi13110414.</w:t>
      </w:r>
    </w:p>
    <w:p w14:paraId="2403FDEB">
      <w:pPr>
        <w:spacing w:before="0" w:after="0" w:line="400" w:lineRule="exact"/>
        <w:ind w:firstLine="480"/>
        <w:jc w:val="left"/>
      </w:pPr>
      <w:r>
        <w:rPr>
          <w:rFonts w:ascii="Times New Roman" w:hAnsi="Times New Roman" w:eastAsia="宋体"/>
          <w:b w:val="0"/>
          <w:sz w:val="24"/>
        </w:rPr>
        <w:t>[9] CADEDDU A, CHESSA A, DE LEO V, et al. Optimizing Tourism Accommodation Offers by Integrating Language Models and Knowledge Graph Technologies[J]. Information, 2024, 15(7): 398. DOI:10.3390/info15070398.</w:t>
      </w:r>
    </w:p>
    <w:p w14:paraId="621A2805">
      <w:pPr>
        <w:spacing w:before="0" w:after="0" w:line="400" w:lineRule="exact"/>
        <w:ind w:firstLine="480"/>
        <w:jc w:val="left"/>
      </w:pPr>
      <w:r>
        <w:rPr>
          <w:rFonts w:ascii="Times New Roman" w:hAnsi="Times New Roman" w:eastAsia="宋体"/>
          <w:b w:val="0"/>
          <w:sz w:val="24"/>
        </w:rPr>
        <w:t>[10] XIAO D, WANG N, YU J, et al. A Practice of Tourism Knowledge Graph Construction based on Heterogeneous Information[C]//Proceedings of the 19th China National Conference on Computational Linguistics (CCL 2020). Haikou: Chinese Information Processing Society of China, 2020: 939-949. https://aclanthology.org/2020.ccl-1.87.pdf.</w:t>
      </w:r>
    </w:p>
    <w:p w14:paraId="33F8BDCA">
      <w:pPr>
        <w:spacing w:before="0" w:after="0" w:line="400" w:lineRule="exact"/>
        <w:ind w:firstLine="480"/>
        <w:jc w:val="left"/>
      </w:pPr>
      <w:r>
        <w:rPr>
          <w:rFonts w:ascii="Times New Roman" w:hAnsi="Times New Roman" w:eastAsia="宋体"/>
          <w:b w:val="0"/>
          <w:sz w:val="24"/>
        </w:rPr>
        <w:t>[11] 翁钢民, 李凌雁. 中国旅游与文化产业融合发展的耦合协调度及空间相关分析[J/OL]. 经济地理, 2016[2026-05-09]. https://www.jjdl.com.cn/CN/abstract/article/1000-8462/32296.</w:t>
      </w:r>
    </w:p>
    <w:p w14:paraId="09769E21">
      <w:pPr>
        <w:spacing w:before="0" w:after="0" w:line="400" w:lineRule="exact"/>
        <w:ind w:firstLine="480"/>
        <w:jc w:val="left"/>
      </w:pPr>
      <w:r>
        <w:rPr>
          <w:rFonts w:ascii="Times New Roman" w:hAnsi="Times New Roman" w:eastAsia="宋体"/>
          <w:b w:val="0"/>
          <w:sz w:val="24"/>
        </w:rPr>
        <w:t>[12] 王兆峰, 谢佳亮. 中国文化和旅游融合发展效率时空动态演化及其驱动机制[J/OL]. 旅游学刊, 2024[2026-05-09]. http://www.qikan.com.cn/article/lyxk20240111.html.</w:t>
      </w:r>
    </w:p>
    <w:p w14:paraId="6988D1A4">
      <w:pPr>
        <w:spacing w:before="0" w:after="0" w:line="400" w:lineRule="exact"/>
        <w:ind w:firstLine="480"/>
        <w:jc w:val="left"/>
      </w:pPr>
      <w:r>
        <w:rPr>
          <w:rFonts w:ascii="Times New Roman" w:hAnsi="Times New Roman" w:eastAsia="宋体"/>
          <w:b w:val="0"/>
          <w:sz w:val="24"/>
        </w:rPr>
        <w:t>[13] 何静, 冯学钢. 中国省际文旅融合空间关联网络结构演化及形成机制[J/OL]. 地理研究, 2025[2026-05-09]. https://www.dlyj.ac.cn/CN/10.11821/dlyj020241213.</w:t>
      </w:r>
    </w:p>
    <w:p w14:paraId="64E65B74">
      <w:pPr>
        <w:spacing w:before="0" w:after="0" w:line="400" w:lineRule="exact"/>
        <w:ind w:firstLine="480"/>
        <w:jc w:val="left"/>
      </w:pPr>
      <w:r>
        <w:rPr>
          <w:rFonts w:ascii="Times New Roman" w:hAnsi="Times New Roman" w:eastAsia="宋体"/>
          <w:b w:val="0"/>
          <w:sz w:val="24"/>
        </w:rPr>
        <w:t>[14] 朱媛媛, 等. 长江中游城市群“文—旅”产业融合发展的空间效应及驱动机制研究[J/OL]. 地理科学进展, 2022[2026-05-09]. https://www.progressingeography.com/CN/10.18306/dlkxjz.2022.05.004.</w:t>
      </w:r>
    </w:p>
    <w:p w14:paraId="2A5DDCFA">
      <w:pPr>
        <w:spacing w:before="0" w:after="0" w:line="400" w:lineRule="exact"/>
        <w:ind w:firstLine="480"/>
        <w:jc w:val="left"/>
      </w:pPr>
      <w:r>
        <w:rPr>
          <w:rFonts w:ascii="Times New Roman" w:hAnsi="Times New Roman" w:eastAsia="宋体"/>
          <w:b w:val="0"/>
          <w:sz w:val="24"/>
        </w:rPr>
        <w:t>[15] 周海霞, 等. 长征沿线文化—旅游系统适配驱动文旅融合发展的时空演变与机理[J/OL]. 地理科学进展, 2025[2026-05-09]. https://www.progressingeography.com/CN/10.18306/dlkxjz.2025.09.009.</w:t>
      </w:r>
    </w:p>
    <w:p w14:paraId="6695EA94">
      <w:pPr>
        <w:spacing w:before="0" w:after="0" w:line="400" w:lineRule="exact"/>
        <w:ind w:firstLine="480"/>
        <w:jc w:val="left"/>
      </w:pPr>
      <w:r>
        <w:rPr>
          <w:rFonts w:ascii="Times New Roman" w:hAnsi="Times New Roman" w:eastAsia="宋体"/>
          <w:b w:val="0"/>
          <w:sz w:val="24"/>
        </w:rPr>
        <w:t>[16] 陆文镔, 等. 数智时代文旅融合的耦合机理研究：基于数字产业与旅游产业协同集聚视角[J/OL]. 自然资源学报, 2025[2026-05-09]. https://www.jnr.ac.cn/CN/10.31497/zrzyxb.20251207.</w:t>
      </w:r>
    </w:p>
    <w:p w14:paraId="3505A42F">
      <w:pPr>
        <w:spacing w:before="0" w:after="0" w:line="400" w:lineRule="exact"/>
        <w:ind w:firstLine="480"/>
        <w:jc w:val="left"/>
      </w:pPr>
      <w:r>
        <w:rPr>
          <w:rFonts w:ascii="Times New Roman" w:hAnsi="Times New Roman" w:eastAsia="宋体"/>
          <w:b w:val="0"/>
          <w:sz w:val="24"/>
        </w:rPr>
        <w:t>[17] 许春晓, 等. 文旅深度融合与资源创新利用：热现象与冷思考[J/OL]. 自然资源学报, 2025[2026-05-09]. https://www.jnr.ac.cn/CN/top_access.</w:t>
      </w:r>
    </w:p>
    <w:p w14:paraId="1E1AC58E">
      <w:pPr>
        <w:spacing w:before="0" w:after="0" w:line="400" w:lineRule="exact"/>
        <w:ind w:firstLine="480"/>
        <w:jc w:val="left"/>
      </w:pPr>
      <w:r>
        <w:rPr>
          <w:rFonts w:ascii="Times New Roman" w:hAnsi="Times New Roman" w:eastAsia="宋体"/>
          <w:b w:val="0"/>
          <w:sz w:val="24"/>
        </w:rPr>
        <w:t>[18] 张宏磊, 等. 中国现代旅游业体系建设中的旅游资源创新开发：理论认知与应用创新[J/OL]. 自然资源学报, 2025[2026-05-09]. https://www.jnr.ac.cn/CN/top_access.</w:t>
      </w:r>
    </w:p>
    <w:p w14:paraId="1D25779D">
      <w:r>
        <w:br w:type="page"/>
      </w:r>
    </w:p>
    <w:p w14:paraId="0D175385">
      <w:pPr>
        <w:spacing w:before="240" w:after="120" w:line="400" w:lineRule="exact"/>
        <w:jc w:val="left"/>
        <w:outlineLvl w:val="0"/>
      </w:pPr>
      <w:bookmarkStart w:id="97" w:name="_Toc11929"/>
      <w:r>
        <w:rPr>
          <w:rFonts w:ascii="Times New Roman" w:hAnsi="Times New Roman" w:eastAsia="黑体"/>
          <w:b/>
          <w:sz w:val="28"/>
        </w:rPr>
        <w:t>附录 A　实体分类体系简表</w:t>
      </w:r>
      <w:bookmarkEnd w:id="97"/>
    </w:p>
    <w:p w14:paraId="5A8ED0A8">
      <w:pPr>
        <w:spacing w:before="0" w:after="0" w:line="400" w:lineRule="exact"/>
        <w:ind w:firstLine="480"/>
        <w:jc w:val="left"/>
      </w:pPr>
      <w:bookmarkStart w:id="111" w:name="_GoBack"/>
      <w:r>
        <w:rPr>
          <w:rFonts w:ascii="Times New Roman" w:hAnsi="Times New Roman" w:eastAsia="宋体"/>
          <w:b w:val="0"/>
          <w:sz w:val="24"/>
        </w:rPr>
        <w:t>本研究在实体抽取阶段采用“双重标签”体系：第一层为面向地方文化记忆识别的 AI 分级标签，分为 6 个一级体系、28 个二级类型；第二层为便于同官方资源名录衔接的官方分类标签。前者用于保证典籍文本中的人物、空间、技艺、文献和历史时序能够被完整识别，后者用于和非遗名录、文物保护单位、历史文化名镇名村、公共文化资源等管理口径发生对应。</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183"/>
        <w:gridCol w:w="2183"/>
        <w:gridCol w:w="2183"/>
        <w:gridCol w:w="2183"/>
      </w:tblGrid>
      <w:tr w14:paraId="1801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3CCA346">
            <w:pPr>
              <w:spacing w:before="0" w:after="0" w:line="300" w:lineRule="exact"/>
              <w:jc w:val="center"/>
            </w:pPr>
            <w:r>
              <w:rPr>
                <w:rFonts w:ascii="Times New Roman" w:hAnsi="Times New Roman" w:eastAsia="宋体"/>
                <w:b/>
                <w:sz w:val="18"/>
              </w:rPr>
              <w:t>一级体系</w:t>
            </w:r>
          </w:p>
        </w:tc>
        <w:tc>
          <w:tcPr>
            <w:tcW w:w="2183" w:type="dxa"/>
            <w:vAlign w:val="center"/>
          </w:tcPr>
          <w:p w14:paraId="6E18BFB1">
            <w:pPr>
              <w:spacing w:before="0" w:after="0" w:line="300" w:lineRule="exact"/>
              <w:jc w:val="center"/>
            </w:pPr>
            <w:r>
              <w:rPr>
                <w:rFonts w:ascii="Times New Roman" w:hAnsi="Times New Roman" w:eastAsia="宋体"/>
                <w:b/>
                <w:sz w:val="18"/>
              </w:rPr>
              <w:t>二级类型</w:t>
            </w:r>
          </w:p>
        </w:tc>
        <w:tc>
          <w:tcPr>
            <w:tcW w:w="2183" w:type="dxa"/>
            <w:vAlign w:val="center"/>
          </w:tcPr>
          <w:p w14:paraId="0FB7A05F">
            <w:pPr>
              <w:spacing w:before="0" w:after="0" w:line="300" w:lineRule="exact"/>
              <w:jc w:val="center"/>
            </w:pPr>
            <w:r>
              <w:rPr>
                <w:rFonts w:ascii="Times New Roman" w:hAnsi="Times New Roman" w:eastAsia="宋体"/>
                <w:b/>
                <w:sz w:val="18"/>
              </w:rPr>
              <w:t>主要识别对象示例</w:t>
            </w:r>
          </w:p>
        </w:tc>
        <w:tc>
          <w:tcPr>
            <w:tcW w:w="2183" w:type="dxa"/>
            <w:vAlign w:val="center"/>
          </w:tcPr>
          <w:p w14:paraId="218CD611">
            <w:pPr>
              <w:spacing w:before="0" w:after="0" w:line="300" w:lineRule="exact"/>
              <w:jc w:val="center"/>
            </w:pPr>
            <w:r>
              <w:rPr>
                <w:rFonts w:ascii="Times New Roman" w:hAnsi="Times New Roman" w:eastAsia="宋体"/>
                <w:b/>
                <w:sz w:val="18"/>
              </w:rPr>
              <w:t>可对应的官方分类口径</w:t>
            </w:r>
          </w:p>
        </w:tc>
      </w:tr>
      <w:tr w14:paraId="3F37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9E1B68F">
            <w:pPr>
              <w:spacing w:before="0" w:after="0" w:line="300" w:lineRule="exact"/>
              <w:jc w:val="left"/>
            </w:pPr>
            <w:r>
              <w:rPr>
                <w:rFonts w:ascii="Times New Roman" w:hAnsi="Times New Roman" w:eastAsia="宋体"/>
                <w:b w:val="0"/>
                <w:sz w:val="18"/>
              </w:rPr>
              <w:t>A 非遗文化体系</w:t>
            </w:r>
          </w:p>
        </w:tc>
        <w:tc>
          <w:tcPr>
            <w:tcW w:w="2183" w:type="dxa"/>
            <w:vAlign w:val="center"/>
          </w:tcPr>
          <w:p w14:paraId="45E8DCA6">
            <w:pPr>
              <w:spacing w:before="0" w:after="0" w:line="300" w:lineRule="exact"/>
              <w:jc w:val="left"/>
            </w:pPr>
            <w:r>
              <w:rPr>
                <w:rFonts w:ascii="Times New Roman" w:hAnsi="Times New Roman" w:eastAsia="宋体"/>
                <w:b w:val="0"/>
                <w:sz w:val="18"/>
              </w:rPr>
              <w:t>A1 表演艺术类非遗</w:t>
            </w:r>
          </w:p>
        </w:tc>
        <w:tc>
          <w:tcPr>
            <w:tcW w:w="2183" w:type="dxa"/>
            <w:vAlign w:val="center"/>
          </w:tcPr>
          <w:p w14:paraId="25DAC88F">
            <w:pPr>
              <w:spacing w:before="0" w:after="0" w:line="300" w:lineRule="exact"/>
              <w:jc w:val="left"/>
            </w:pPr>
            <w:r>
              <w:rPr>
                <w:rFonts w:ascii="Times New Roman" w:hAnsi="Times New Roman" w:eastAsia="宋体"/>
                <w:b w:val="0"/>
                <w:sz w:val="18"/>
              </w:rPr>
              <w:t>醒狮、粤剧、龙舟说唱、十番音乐</w:t>
            </w:r>
          </w:p>
        </w:tc>
        <w:tc>
          <w:tcPr>
            <w:tcW w:w="2183" w:type="dxa"/>
            <w:vAlign w:val="center"/>
          </w:tcPr>
          <w:p w14:paraId="4A13EB27">
            <w:pPr>
              <w:spacing w:before="0" w:after="0" w:line="300" w:lineRule="exact"/>
              <w:jc w:val="left"/>
            </w:pPr>
            <w:r>
              <w:rPr>
                <w:rFonts w:ascii="Times New Roman" w:hAnsi="Times New Roman" w:eastAsia="宋体"/>
                <w:b w:val="0"/>
                <w:sz w:val="18"/>
              </w:rPr>
              <w:t>非物质文化遗产：传统舞蹈、传统戏剧、曲艺、传统音乐等</w:t>
            </w:r>
          </w:p>
        </w:tc>
      </w:tr>
      <w:tr w14:paraId="3D8EE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122002B3">
            <w:pPr>
              <w:spacing w:before="0" w:after="0" w:line="300" w:lineRule="exact"/>
              <w:jc w:val="left"/>
            </w:pPr>
            <w:r>
              <w:rPr>
                <w:rFonts w:ascii="Times New Roman" w:hAnsi="Times New Roman" w:eastAsia="宋体"/>
                <w:b w:val="0"/>
                <w:sz w:val="18"/>
              </w:rPr>
              <w:t>A 非遗文化体系</w:t>
            </w:r>
          </w:p>
        </w:tc>
        <w:tc>
          <w:tcPr>
            <w:tcW w:w="2183" w:type="dxa"/>
            <w:vAlign w:val="center"/>
          </w:tcPr>
          <w:p w14:paraId="13844CAF">
            <w:pPr>
              <w:spacing w:before="0" w:after="0" w:line="300" w:lineRule="exact"/>
              <w:jc w:val="left"/>
            </w:pPr>
            <w:r>
              <w:rPr>
                <w:rFonts w:ascii="Times New Roman" w:hAnsi="Times New Roman" w:eastAsia="宋体"/>
                <w:b w:val="0"/>
                <w:sz w:val="18"/>
              </w:rPr>
              <w:t>A2 传统技艺类非遗</w:t>
            </w:r>
          </w:p>
        </w:tc>
        <w:tc>
          <w:tcPr>
            <w:tcW w:w="2183" w:type="dxa"/>
            <w:vAlign w:val="center"/>
          </w:tcPr>
          <w:p w14:paraId="070340C1">
            <w:pPr>
              <w:spacing w:before="0" w:after="0" w:line="300" w:lineRule="exact"/>
              <w:jc w:val="left"/>
            </w:pPr>
            <w:r>
              <w:rPr>
                <w:rFonts w:ascii="Times New Roman" w:hAnsi="Times New Roman" w:eastAsia="宋体"/>
                <w:b w:val="0"/>
                <w:sz w:val="18"/>
              </w:rPr>
              <w:t>灰塑、藤编、木雕、砖雕、陶塑</w:t>
            </w:r>
          </w:p>
        </w:tc>
        <w:tc>
          <w:tcPr>
            <w:tcW w:w="2183" w:type="dxa"/>
            <w:vAlign w:val="center"/>
          </w:tcPr>
          <w:p w14:paraId="6751F9B0">
            <w:pPr>
              <w:spacing w:before="0" w:after="0" w:line="300" w:lineRule="exact"/>
              <w:jc w:val="left"/>
            </w:pPr>
            <w:r>
              <w:rPr>
                <w:rFonts w:ascii="Times New Roman" w:hAnsi="Times New Roman" w:eastAsia="宋体"/>
                <w:b w:val="0"/>
                <w:sz w:val="18"/>
              </w:rPr>
              <w:t>非物质文化遗产：传统技艺、传统美术</w:t>
            </w:r>
          </w:p>
        </w:tc>
      </w:tr>
      <w:tr w14:paraId="0607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1F17FD97">
            <w:pPr>
              <w:spacing w:before="0" w:after="0" w:line="300" w:lineRule="exact"/>
              <w:jc w:val="left"/>
            </w:pPr>
            <w:r>
              <w:rPr>
                <w:rFonts w:ascii="Times New Roman" w:hAnsi="Times New Roman" w:eastAsia="宋体"/>
                <w:b w:val="0"/>
                <w:sz w:val="18"/>
              </w:rPr>
              <w:t>A 非遗文化体系</w:t>
            </w:r>
          </w:p>
        </w:tc>
        <w:tc>
          <w:tcPr>
            <w:tcW w:w="2183" w:type="dxa"/>
            <w:vAlign w:val="center"/>
          </w:tcPr>
          <w:p w14:paraId="7A86D44A">
            <w:pPr>
              <w:spacing w:before="0" w:after="0" w:line="300" w:lineRule="exact"/>
              <w:jc w:val="left"/>
            </w:pPr>
            <w:r>
              <w:rPr>
                <w:rFonts w:ascii="Times New Roman" w:hAnsi="Times New Roman" w:eastAsia="宋体"/>
                <w:b w:val="0"/>
                <w:sz w:val="18"/>
              </w:rPr>
              <w:t>A3 民俗节庆类非遗</w:t>
            </w:r>
          </w:p>
        </w:tc>
        <w:tc>
          <w:tcPr>
            <w:tcW w:w="2183" w:type="dxa"/>
            <w:vAlign w:val="center"/>
          </w:tcPr>
          <w:p w14:paraId="4675D863">
            <w:pPr>
              <w:spacing w:before="0" w:after="0" w:line="300" w:lineRule="exact"/>
              <w:jc w:val="left"/>
            </w:pPr>
            <w:r>
              <w:rPr>
                <w:rFonts w:ascii="Times New Roman" w:hAnsi="Times New Roman" w:eastAsia="宋体"/>
                <w:b w:val="0"/>
                <w:sz w:val="18"/>
              </w:rPr>
              <w:t>生菜会、龙舟竞渡、庙会、花灯会</w:t>
            </w:r>
          </w:p>
        </w:tc>
        <w:tc>
          <w:tcPr>
            <w:tcW w:w="2183" w:type="dxa"/>
            <w:vAlign w:val="center"/>
          </w:tcPr>
          <w:p w14:paraId="27044024">
            <w:pPr>
              <w:spacing w:before="0" w:after="0" w:line="300" w:lineRule="exact"/>
              <w:jc w:val="left"/>
            </w:pPr>
            <w:r>
              <w:rPr>
                <w:rFonts w:ascii="Times New Roman" w:hAnsi="Times New Roman" w:eastAsia="宋体"/>
                <w:b w:val="0"/>
                <w:sz w:val="18"/>
              </w:rPr>
              <w:t>非物质文化遗产：民俗</w:t>
            </w:r>
          </w:p>
        </w:tc>
      </w:tr>
      <w:tr w14:paraId="4477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2812667">
            <w:pPr>
              <w:spacing w:before="0" w:after="0" w:line="300" w:lineRule="exact"/>
              <w:jc w:val="left"/>
            </w:pPr>
            <w:r>
              <w:rPr>
                <w:rFonts w:ascii="Times New Roman" w:hAnsi="Times New Roman" w:eastAsia="宋体"/>
                <w:b w:val="0"/>
                <w:sz w:val="18"/>
              </w:rPr>
              <w:t>A 非遗文化体系</w:t>
            </w:r>
          </w:p>
        </w:tc>
        <w:tc>
          <w:tcPr>
            <w:tcW w:w="2183" w:type="dxa"/>
            <w:vAlign w:val="center"/>
          </w:tcPr>
          <w:p w14:paraId="556C0F16">
            <w:pPr>
              <w:spacing w:before="0" w:after="0" w:line="300" w:lineRule="exact"/>
              <w:jc w:val="left"/>
            </w:pPr>
            <w:r>
              <w:rPr>
                <w:rFonts w:ascii="Times New Roman" w:hAnsi="Times New Roman" w:eastAsia="宋体"/>
                <w:b w:val="0"/>
                <w:sz w:val="18"/>
              </w:rPr>
              <w:t>A4 信俗礼仪类非遗</w:t>
            </w:r>
          </w:p>
        </w:tc>
        <w:tc>
          <w:tcPr>
            <w:tcW w:w="2183" w:type="dxa"/>
            <w:vAlign w:val="center"/>
          </w:tcPr>
          <w:p w14:paraId="217A0F3C">
            <w:pPr>
              <w:spacing w:before="0" w:after="0" w:line="300" w:lineRule="exact"/>
              <w:jc w:val="left"/>
            </w:pPr>
            <w:r>
              <w:rPr>
                <w:rFonts w:ascii="Times New Roman" w:hAnsi="Times New Roman" w:eastAsia="宋体"/>
                <w:b w:val="0"/>
                <w:sz w:val="18"/>
              </w:rPr>
              <w:t>民间信仰、龙母诞、地方礼俗</w:t>
            </w:r>
          </w:p>
        </w:tc>
        <w:tc>
          <w:tcPr>
            <w:tcW w:w="2183" w:type="dxa"/>
            <w:vAlign w:val="center"/>
          </w:tcPr>
          <w:p w14:paraId="2E86807D">
            <w:pPr>
              <w:spacing w:before="0" w:after="0" w:line="300" w:lineRule="exact"/>
              <w:jc w:val="left"/>
            </w:pPr>
            <w:r>
              <w:rPr>
                <w:rFonts w:ascii="Times New Roman" w:hAnsi="Times New Roman" w:eastAsia="宋体"/>
                <w:b w:val="0"/>
                <w:sz w:val="18"/>
              </w:rPr>
              <w:t>非物质文化遗产：民俗</w:t>
            </w:r>
          </w:p>
        </w:tc>
      </w:tr>
      <w:tr w14:paraId="5027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481478AF">
            <w:pPr>
              <w:spacing w:before="0" w:after="0" w:line="300" w:lineRule="exact"/>
              <w:jc w:val="left"/>
            </w:pPr>
            <w:r>
              <w:rPr>
                <w:rFonts w:ascii="Times New Roman" w:hAnsi="Times New Roman" w:eastAsia="宋体"/>
                <w:b w:val="0"/>
                <w:sz w:val="18"/>
              </w:rPr>
              <w:t>A 非遗文化体系</w:t>
            </w:r>
          </w:p>
        </w:tc>
        <w:tc>
          <w:tcPr>
            <w:tcW w:w="2183" w:type="dxa"/>
            <w:vAlign w:val="center"/>
          </w:tcPr>
          <w:p w14:paraId="71488BD7">
            <w:pPr>
              <w:spacing w:before="0" w:after="0" w:line="300" w:lineRule="exact"/>
              <w:jc w:val="left"/>
            </w:pPr>
            <w:r>
              <w:rPr>
                <w:rFonts w:ascii="Times New Roman" w:hAnsi="Times New Roman" w:eastAsia="宋体"/>
                <w:b w:val="0"/>
                <w:sz w:val="18"/>
              </w:rPr>
              <w:t>A5 传统体育游艺类非遗</w:t>
            </w:r>
          </w:p>
        </w:tc>
        <w:tc>
          <w:tcPr>
            <w:tcW w:w="2183" w:type="dxa"/>
            <w:vAlign w:val="center"/>
          </w:tcPr>
          <w:p w14:paraId="669CA2F2">
            <w:pPr>
              <w:spacing w:before="0" w:after="0" w:line="300" w:lineRule="exact"/>
              <w:jc w:val="left"/>
            </w:pPr>
            <w:r>
              <w:rPr>
                <w:rFonts w:ascii="Times New Roman" w:hAnsi="Times New Roman" w:eastAsia="宋体"/>
                <w:b w:val="0"/>
                <w:sz w:val="18"/>
              </w:rPr>
              <w:t>洪拳、咏春、龙舟竞技、狮艺</w:t>
            </w:r>
          </w:p>
        </w:tc>
        <w:tc>
          <w:tcPr>
            <w:tcW w:w="2183" w:type="dxa"/>
            <w:vAlign w:val="center"/>
          </w:tcPr>
          <w:p w14:paraId="024494AF">
            <w:pPr>
              <w:spacing w:before="0" w:after="0" w:line="300" w:lineRule="exact"/>
              <w:jc w:val="left"/>
            </w:pPr>
            <w:r>
              <w:rPr>
                <w:rFonts w:ascii="Times New Roman" w:hAnsi="Times New Roman" w:eastAsia="宋体"/>
                <w:b w:val="0"/>
                <w:sz w:val="18"/>
              </w:rPr>
              <w:t>非物质文化遗产：传统体育、游艺与杂技</w:t>
            </w:r>
          </w:p>
        </w:tc>
      </w:tr>
      <w:tr w14:paraId="1A17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127F7999">
            <w:pPr>
              <w:spacing w:before="0" w:after="0" w:line="300" w:lineRule="exact"/>
              <w:jc w:val="left"/>
            </w:pPr>
            <w:r>
              <w:rPr>
                <w:rFonts w:ascii="Times New Roman" w:hAnsi="Times New Roman" w:eastAsia="宋体"/>
                <w:b w:val="0"/>
                <w:sz w:val="18"/>
              </w:rPr>
              <w:t>A 非遗文化体系</w:t>
            </w:r>
          </w:p>
        </w:tc>
        <w:tc>
          <w:tcPr>
            <w:tcW w:w="2183" w:type="dxa"/>
            <w:vAlign w:val="center"/>
          </w:tcPr>
          <w:p w14:paraId="52B85B16">
            <w:pPr>
              <w:spacing w:before="0" w:after="0" w:line="300" w:lineRule="exact"/>
              <w:jc w:val="left"/>
            </w:pPr>
            <w:r>
              <w:rPr>
                <w:rFonts w:ascii="Times New Roman" w:hAnsi="Times New Roman" w:eastAsia="宋体"/>
                <w:b w:val="0"/>
                <w:sz w:val="18"/>
              </w:rPr>
              <w:t>A6 饮食酿造类非遗及文化物产</w:t>
            </w:r>
          </w:p>
        </w:tc>
        <w:tc>
          <w:tcPr>
            <w:tcW w:w="2183" w:type="dxa"/>
            <w:vAlign w:val="center"/>
          </w:tcPr>
          <w:p w14:paraId="6654E70C">
            <w:pPr>
              <w:spacing w:before="0" w:after="0" w:line="300" w:lineRule="exact"/>
              <w:jc w:val="left"/>
            </w:pPr>
            <w:r>
              <w:rPr>
                <w:rFonts w:ascii="Times New Roman" w:hAnsi="Times New Roman" w:eastAsia="宋体"/>
                <w:b w:val="0"/>
                <w:sz w:val="18"/>
              </w:rPr>
              <w:t>九江双蒸酒、西樵大饼</w:t>
            </w:r>
          </w:p>
        </w:tc>
        <w:tc>
          <w:tcPr>
            <w:tcW w:w="2183" w:type="dxa"/>
            <w:vAlign w:val="center"/>
          </w:tcPr>
          <w:p w14:paraId="4BEABD85">
            <w:pPr>
              <w:spacing w:before="0" w:after="0" w:line="300" w:lineRule="exact"/>
              <w:jc w:val="left"/>
            </w:pPr>
            <w:r>
              <w:rPr>
                <w:rFonts w:ascii="Times New Roman" w:hAnsi="Times New Roman" w:eastAsia="宋体"/>
                <w:b w:val="0"/>
                <w:sz w:val="18"/>
              </w:rPr>
              <w:t>非物质文化遗产：传统技艺</w:t>
            </w:r>
          </w:p>
        </w:tc>
      </w:tr>
      <w:tr w14:paraId="3726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411D5322">
            <w:pPr>
              <w:spacing w:before="0" w:after="0" w:line="300" w:lineRule="exact"/>
              <w:jc w:val="left"/>
            </w:pPr>
            <w:r>
              <w:rPr>
                <w:rFonts w:ascii="Times New Roman" w:hAnsi="Times New Roman" w:eastAsia="宋体"/>
                <w:b w:val="0"/>
                <w:sz w:val="18"/>
              </w:rPr>
              <w:t>B 物质文化遗产体系</w:t>
            </w:r>
          </w:p>
        </w:tc>
        <w:tc>
          <w:tcPr>
            <w:tcW w:w="2183" w:type="dxa"/>
            <w:vAlign w:val="center"/>
          </w:tcPr>
          <w:p w14:paraId="2DBC6895">
            <w:pPr>
              <w:spacing w:before="0" w:after="0" w:line="300" w:lineRule="exact"/>
              <w:jc w:val="left"/>
            </w:pPr>
            <w:r>
              <w:rPr>
                <w:rFonts w:ascii="Times New Roman" w:hAnsi="Times New Roman" w:eastAsia="宋体"/>
                <w:b w:val="0"/>
                <w:sz w:val="18"/>
              </w:rPr>
              <w:t>B1 古建筑类</w:t>
            </w:r>
          </w:p>
        </w:tc>
        <w:tc>
          <w:tcPr>
            <w:tcW w:w="2183" w:type="dxa"/>
            <w:vAlign w:val="center"/>
          </w:tcPr>
          <w:p w14:paraId="7552D75D">
            <w:pPr>
              <w:spacing w:before="0" w:after="0" w:line="300" w:lineRule="exact"/>
              <w:jc w:val="left"/>
            </w:pPr>
            <w:r>
              <w:rPr>
                <w:rFonts w:ascii="Times New Roman" w:hAnsi="Times New Roman" w:eastAsia="宋体"/>
                <w:b w:val="0"/>
                <w:sz w:val="18"/>
              </w:rPr>
              <w:t>书院、祠堂、庙宇、楼阁、塔桥</w:t>
            </w:r>
          </w:p>
        </w:tc>
        <w:tc>
          <w:tcPr>
            <w:tcW w:w="2183" w:type="dxa"/>
            <w:vAlign w:val="center"/>
          </w:tcPr>
          <w:p w14:paraId="23513A5E">
            <w:pPr>
              <w:spacing w:before="0" w:after="0" w:line="300" w:lineRule="exact"/>
              <w:jc w:val="left"/>
            </w:pPr>
            <w:r>
              <w:rPr>
                <w:rFonts w:ascii="Times New Roman" w:hAnsi="Times New Roman" w:eastAsia="宋体"/>
                <w:b w:val="0"/>
                <w:sz w:val="18"/>
              </w:rPr>
              <w:t>不可移动文物：古建筑</w:t>
            </w:r>
          </w:p>
        </w:tc>
      </w:tr>
      <w:tr w14:paraId="59C2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5DC993A6">
            <w:pPr>
              <w:spacing w:before="0" w:after="0" w:line="300" w:lineRule="exact"/>
              <w:jc w:val="left"/>
            </w:pPr>
            <w:r>
              <w:rPr>
                <w:rFonts w:ascii="Times New Roman" w:hAnsi="Times New Roman" w:eastAsia="宋体"/>
                <w:b w:val="0"/>
                <w:sz w:val="18"/>
              </w:rPr>
              <w:t>B 物质文化遗产体系</w:t>
            </w:r>
          </w:p>
        </w:tc>
        <w:tc>
          <w:tcPr>
            <w:tcW w:w="2183" w:type="dxa"/>
            <w:vAlign w:val="center"/>
          </w:tcPr>
          <w:p w14:paraId="59AF0F81">
            <w:pPr>
              <w:spacing w:before="0" w:after="0" w:line="300" w:lineRule="exact"/>
              <w:jc w:val="left"/>
            </w:pPr>
            <w:r>
              <w:rPr>
                <w:rFonts w:ascii="Times New Roman" w:hAnsi="Times New Roman" w:eastAsia="宋体"/>
                <w:b w:val="0"/>
                <w:sz w:val="18"/>
              </w:rPr>
              <w:t>B2 宗教建筑类</w:t>
            </w:r>
          </w:p>
        </w:tc>
        <w:tc>
          <w:tcPr>
            <w:tcW w:w="2183" w:type="dxa"/>
            <w:vAlign w:val="center"/>
          </w:tcPr>
          <w:p w14:paraId="368ED184">
            <w:pPr>
              <w:spacing w:before="0" w:after="0" w:line="300" w:lineRule="exact"/>
              <w:jc w:val="left"/>
            </w:pPr>
            <w:r>
              <w:rPr>
                <w:rFonts w:ascii="Times New Roman" w:hAnsi="Times New Roman" w:eastAsia="宋体"/>
                <w:b w:val="0"/>
                <w:sz w:val="18"/>
              </w:rPr>
              <w:t>宝峰寺、南海观音寺、云泉仙馆</w:t>
            </w:r>
          </w:p>
        </w:tc>
        <w:tc>
          <w:tcPr>
            <w:tcW w:w="2183" w:type="dxa"/>
            <w:vAlign w:val="center"/>
          </w:tcPr>
          <w:p w14:paraId="6A2BAEDC">
            <w:pPr>
              <w:spacing w:before="0" w:after="0" w:line="300" w:lineRule="exact"/>
              <w:jc w:val="left"/>
            </w:pPr>
            <w:r>
              <w:rPr>
                <w:rFonts w:ascii="Times New Roman" w:hAnsi="Times New Roman" w:eastAsia="宋体"/>
                <w:b w:val="0"/>
                <w:sz w:val="18"/>
              </w:rPr>
              <w:t>不可移动文物：古建筑</w:t>
            </w:r>
          </w:p>
        </w:tc>
      </w:tr>
      <w:tr w14:paraId="4C46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7D12D9EA">
            <w:pPr>
              <w:spacing w:before="0" w:after="0" w:line="300" w:lineRule="exact"/>
              <w:jc w:val="left"/>
            </w:pPr>
            <w:r>
              <w:rPr>
                <w:rFonts w:ascii="Times New Roman" w:hAnsi="Times New Roman" w:eastAsia="宋体"/>
                <w:b w:val="0"/>
                <w:sz w:val="18"/>
              </w:rPr>
              <w:t>B 物质文化遗产体系</w:t>
            </w:r>
          </w:p>
        </w:tc>
        <w:tc>
          <w:tcPr>
            <w:tcW w:w="2183" w:type="dxa"/>
            <w:vAlign w:val="center"/>
          </w:tcPr>
          <w:p w14:paraId="784BB3F7">
            <w:pPr>
              <w:spacing w:before="0" w:after="0" w:line="300" w:lineRule="exact"/>
              <w:jc w:val="left"/>
            </w:pPr>
            <w:r>
              <w:rPr>
                <w:rFonts w:ascii="Times New Roman" w:hAnsi="Times New Roman" w:eastAsia="宋体"/>
                <w:b w:val="0"/>
                <w:sz w:val="18"/>
              </w:rPr>
              <w:t>B3 纪念性建筑与名人故居类</w:t>
            </w:r>
          </w:p>
        </w:tc>
        <w:tc>
          <w:tcPr>
            <w:tcW w:w="2183" w:type="dxa"/>
            <w:vAlign w:val="center"/>
          </w:tcPr>
          <w:p w14:paraId="350C9764">
            <w:pPr>
              <w:spacing w:before="0" w:after="0" w:line="300" w:lineRule="exact"/>
              <w:jc w:val="left"/>
            </w:pPr>
            <w:r>
              <w:rPr>
                <w:rFonts w:ascii="Times New Roman" w:hAnsi="Times New Roman" w:eastAsia="宋体"/>
                <w:b w:val="0"/>
                <w:sz w:val="18"/>
              </w:rPr>
              <w:t>康有为故居、黄飞鸿纪念馆</w:t>
            </w:r>
          </w:p>
        </w:tc>
        <w:tc>
          <w:tcPr>
            <w:tcW w:w="2183" w:type="dxa"/>
            <w:vAlign w:val="center"/>
          </w:tcPr>
          <w:p w14:paraId="0DC98171">
            <w:pPr>
              <w:spacing w:before="0" w:after="0" w:line="300" w:lineRule="exact"/>
              <w:jc w:val="left"/>
            </w:pPr>
            <w:r>
              <w:rPr>
                <w:rFonts w:ascii="Times New Roman" w:hAnsi="Times New Roman" w:eastAsia="宋体"/>
                <w:b w:val="0"/>
                <w:sz w:val="18"/>
              </w:rPr>
              <w:t>不可移动文物：近现代重要史迹及代表性建筑</w:t>
            </w:r>
          </w:p>
        </w:tc>
      </w:tr>
      <w:tr w14:paraId="78D0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6D523084">
            <w:pPr>
              <w:spacing w:before="0" w:after="0" w:line="300" w:lineRule="exact"/>
              <w:jc w:val="left"/>
            </w:pPr>
            <w:r>
              <w:rPr>
                <w:rFonts w:ascii="Times New Roman" w:hAnsi="Times New Roman" w:eastAsia="宋体"/>
                <w:b w:val="0"/>
                <w:sz w:val="18"/>
              </w:rPr>
              <w:t>B 物质文化遗产体系</w:t>
            </w:r>
          </w:p>
        </w:tc>
        <w:tc>
          <w:tcPr>
            <w:tcW w:w="2183" w:type="dxa"/>
            <w:vAlign w:val="center"/>
          </w:tcPr>
          <w:p w14:paraId="626A7257">
            <w:pPr>
              <w:spacing w:before="0" w:after="0" w:line="300" w:lineRule="exact"/>
              <w:jc w:val="left"/>
            </w:pPr>
            <w:r>
              <w:rPr>
                <w:rFonts w:ascii="Times New Roman" w:hAnsi="Times New Roman" w:eastAsia="宋体"/>
                <w:b w:val="0"/>
                <w:sz w:val="18"/>
              </w:rPr>
              <w:t>B4 古遗址与生产遗存类</w:t>
            </w:r>
          </w:p>
        </w:tc>
        <w:tc>
          <w:tcPr>
            <w:tcW w:w="2183" w:type="dxa"/>
            <w:vAlign w:val="center"/>
          </w:tcPr>
          <w:p w14:paraId="3D5A6C6A">
            <w:pPr>
              <w:spacing w:before="0" w:after="0" w:line="300" w:lineRule="exact"/>
              <w:jc w:val="left"/>
            </w:pPr>
            <w:r>
              <w:rPr>
                <w:rFonts w:ascii="Times New Roman" w:hAnsi="Times New Roman" w:eastAsia="宋体"/>
                <w:b w:val="0"/>
                <w:sz w:val="18"/>
              </w:rPr>
              <w:t>古窑址、聚落遗存</w:t>
            </w:r>
          </w:p>
        </w:tc>
        <w:tc>
          <w:tcPr>
            <w:tcW w:w="2183" w:type="dxa"/>
            <w:vAlign w:val="center"/>
          </w:tcPr>
          <w:p w14:paraId="3EDDBF34">
            <w:pPr>
              <w:spacing w:before="0" w:after="0" w:line="300" w:lineRule="exact"/>
              <w:jc w:val="left"/>
            </w:pPr>
            <w:r>
              <w:rPr>
                <w:rFonts w:ascii="Times New Roman" w:hAnsi="Times New Roman" w:eastAsia="宋体"/>
                <w:b w:val="0"/>
                <w:sz w:val="18"/>
              </w:rPr>
              <w:t>不可移动文物：古文化遗址</w:t>
            </w:r>
          </w:p>
        </w:tc>
      </w:tr>
      <w:tr w14:paraId="7508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E6CF0D9">
            <w:pPr>
              <w:spacing w:before="0" w:after="0" w:line="300" w:lineRule="exact"/>
              <w:jc w:val="left"/>
            </w:pPr>
            <w:r>
              <w:rPr>
                <w:rFonts w:ascii="Times New Roman" w:hAnsi="Times New Roman" w:eastAsia="宋体"/>
                <w:b w:val="0"/>
                <w:sz w:val="18"/>
              </w:rPr>
              <w:t>B 物质文化遗产体系</w:t>
            </w:r>
          </w:p>
        </w:tc>
        <w:tc>
          <w:tcPr>
            <w:tcW w:w="2183" w:type="dxa"/>
            <w:vAlign w:val="center"/>
          </w:tcPr>
          <w:p w14:paraId="1FEE0CEB">
            <w:pPr>
              <w:spacing w:before="0" w:after="0" w:line="300" w:lineRule="exact"/>
              <w:jc w:val="left"/>
            </w:pPr>
            <w:r>
              <w:rPr>
                <w:rFonts w:ascii="Times New Roman" w:hAnsi="Times New Roman" w:eastAsia="宋体"/>
                <w:b w:val="0"/>
                <w:sz w:val="18"/>
              </w:rPr>
              <w:t>B5 石刻碑记类</w:t>
            </w:r>
          </w:p>
        </w:tc>
        <w:tc>
          <w:tcPr>
            <w:tcW w:w="2183" w:type="dxa"/>
            <w:vAlign w:val="center"/>
          </w:tcPr>
          <w:p w14:paraId="479C6AF0">
            <w:pPr>
              <w:spacing w:before="0" w:after="0" w:line="300" w:lineRule="exact"/>
              <w:jc w:val="left"/>
            </w:pPr>
            <w:r>
              <w:rPr>
                <w:rFonts w:ascii="Times New Roman" w:hAnsi="Times New Roman" w:eastAsia="宋体"/>
                <w:b w:val="0"/>
                <w:sz w:val="18"/>
              </w:rPr>
              <w:t>碑刻、摩崖石刻、匾额题记</w:t>
            </w:r>
          </w:p>
        </w:tc>
        <w:tc>
          <w:tcPr>
            <w:tcW w:w="2183" w:type="dxa"/>
            <w:vAlign w:val="center"/>
          </w:tcPr>
          <w:p w14:paraId="47DF10E4">
            <w:pPr>
              <w:spacing w:before="0" w:after="0" w:line="300" w:lineRule="exact"/>
              <w:jc w:val="left"/>
            </w:pPr>
            <w:r>
              <w:rPr>
                <w:rFonts w:ascii="Times New Roman" w:hAnsi="Times New Roman" w:eastAsia="宋体"/>
                <w:b w:val="0"/>
                <w:sz w:val="18"/>
              </w:rPr>
              <w:t>不可移动文物：石窟寺及石刻；可移动文物</w:t>
            </w:r>
          </w:p>
        </w:tc>
      </w:tr>
      <w:tr w14:paraId="3DA5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35EA07DE">
            <w:pPr>
              <w:spacing w:before="0" w:after="0" w:line="300" w:lineRule="exact"/>
              <w:jc w:val="left"/>
            </w:pPr>
            <w:r>
              <w:rPr>
                <w:rFonts w:ascii="Times New Roman" w:hAnsi="Times New Roman" w:eastAsia="宋体"/>
                <w:b w:val="0"/>
                <w:sz w:val="18"/>
              </w:rPr>
              <w:t>B 物质文化遗产体系</w:t>
            </w:r>
          </w:p>
        </w:tc>
        <w:tc>
          <w:tcPr>
            <w:tcW w:w="2183" w:type="dxa"/>
            <w:vAlign w:val="center"/>
          </w:tcPr>
          <w:p w14:paraId="3F210EF8">
            <w:pPr>
              <w:spacing w:before="0" w:after="0" w:line="300" w:lineRule="exact"/>
              <w:jc w:val="left"/>
            </w:pPr>
            <w:r>
              <w:rPr>
                <w:rFonts w:ascii="Times New Roman" w:hAnsi="Times New Roman" w:eastAsia="宋体"/>
                <w:b w:val="0"/>
                <w:sz w:val="18"/>
              </w:rPr>
              <w:t>B6 古村落与聚落遗产类</w:t>
            </w:r>
          </w:p>
        </w:tc>
        <w:tc>
          <w:tcPr>
            <w:tcW w:w="2183" w:type="dxa"/>
            <w:vAlign w:val="center"/>
          </w:tcPr>
          <w:p w14:paraId="408F9A4E">
            <w:pPr>
              <w:spacing w:before="0" w:after="0" w:line="300" w:lineRule="exact"/>
              <w:jc w:val="left"/>
            </w:pPr>
            <w:r>
              <w:rPr>
                <w:rFonts w:ascii="Times New Roman" w:hAnsi="Times New Roman" w:eastAsia="宋体"/>
                <w:b w:val="0"/>
                <w:sz w:val="18"/>
              </w:rPr>
              <w:t>松塘村、烟桥村、仙岗村</w:t>
            </w:r>
          </w:p>
        </w:tc>
        <w:tc>
          <w:tcPr>
            <w:tcW w:w="2183" w:type="dxa"/>
            <w:vAlign w:val="center"/>
          </w:tcPr>
          <w:p w14:paraId="6DF2FA73">
            <w:pPr>
              <w:spacing w:before="0" w:after="0" w:line="300" w:lineRule="exact"/>
              <w:jc w:val="left"/>
            </w:pPr>
            <w:r>
              <w:rPr>
                <w:rFonts w:ascii="Times New Roman" w:hAnsi="Times New Roman" w:eastAsia="宋体"/>
                <w:b w:val="0"/>
                <w:sz w:val="18"/>
              </w:rPr>
              <w:t>历史文化名城名镇名村：历史文化名村、传统村落、历史建筑等</w:t>
            </w:r>
          </w:p>
        </w:tc>
      </w:tr>
      <w:tr w14:paraId="4FA8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72FCD6D8">
            <w:pPr>
              <w:spacing w:before="0" w:after="0" w:line="300" w:lineRule="exact"/>
              <w:jc w:val="left"/>
            </w:pPr>
            <w:r>
              <w:rPr>
                <w:rFonts w:ascii="Times New Roman" w:hAnsi="Times New Roman" w:eastAsia="宋体"/>
                <w:b w:val="0"/>
                <w:sz w:val="18"/>
              </w:rPr>
              <w:t>C 传承主体体系</w:t>
            </w:r>
          </w:p>
        </w:tc>
        <w:tc>
          <w:tcPr>
            <w:tcW w:w="2183" w:type="dxa"/>
            <w:vAlign w:val="center"/>
          </w:tcPr>
          <w:p w14:paraId="58BA134F">
            <w:pPr>
              <w:spacing w:before="0" w:after="0" w:line="300" w:lineRule="exact"/>
              <w:jc w:val="left"/>
            </w:pPr>
            <w:r>
              <w:rPr>
                <w:rFonts w:ascii="Times New Roman" w:hAnsi="Times New Roman" w:eastAsia="宋体"/>
                <w:b w:val="0"/>
                <w:sz w:val="18"/>
              </w:rPr>
              <w:t>C1 历史文化人物</w:t>
            </w:r>
          </w:p>
        </w:tc>
        <w:tc>
          <w:tcPr>
            <w:tcW w:w="2183" w:type="dxa"/>
            <w:vAlign w:val="center"/>
          </w:tcPr>
          <w:p w14:paraId="104F9BAC">
            <w:pPr>
              <w:spacing w:before="0" w:after="0" w:line="300" w:lineRule="exact"/>
              <w:jc w:val="left"/>
            </w:pPr>
            <w:r>
              <w:rPr>
                <w:rFonts w:ascii="Times New Roman" w:hAnsi="Times New Roman" w:eastAsia="宋体"/>
                <w:b w:val="0"/>
                <w:sz w:val="18"/>
              </w:rPr>
              <w:t>康有为、湛若水、黄飞鸿</w:t>
            </w:r>
          </w:p>
        </w:tc>
        <w:tc>
          <w:tcPr>
            <w:tcW w:w="2183" w:type="dxa"/>
            <w:vAlign w:val="center"/>
          </w:tcPr>
          <w:p w14:paraId="0F0B067A">
            <w:pPr>
              <w:spacing w:before="0" w:after="0" w:line="300" w:lineRule="exact"/>
              <w:jc w:val="left"/>
            </w:pPr>
            <w:r>
              <w:rPr>
                <w:rFonts w:ascii="Times New Roman" w:hAnsi="Times New Roman" w:eastAsia="宋体"/>
                <w:b w:val="0"/>
                <w:sz w:val="18"/>
              </w:rPr>
              <w:t>无直接官方管理分类，作为文化记忆实体保留</w:t>
            </w:r>
          </w:p>
        </w:tc>
      </w:tr>
      <w:tr w14:paraId="5ACB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6691DA26">
            <w:pPr>
              <w:spacing w:before="0" w:after="0" w:line="300" w:lineRule="exact"/>
              <w:jc w:val="left"/>
            </w:pPr>
            <w:r>
              <w:rPr>
                <w:rFonts w:ascii="Times New Roman" w:hAnsi="Times New Roman" w:eastAsia="宋体"/>
                <w:b w:val="0"/>
                <w:sz w:val="18"/>
              </w:rPr>
              <w:t>C 传承主体体系</w:t>
            </w:r>
          </w:p>
        </w:tc>
        <w:tc>
          <w:tcPr>
            <w:tcW w:w="2183" w:type="dxa"/>
            <w:vAlign w:val="center"/>
          </w:tcPr>
          <w:p w14:paraId="7AFAB010">
            <w:pPr>
              <w:spacing w:before="0" w:after="0" w:line="300" w:lineRule="exact"/>
              <w:jc w:val="left"/>
            </w:pPr>
            <w:r>
              <w:rPr>
                <w:rFonts w:ascii="Times New Roman" w:hAnsi="Times New Roman" w:eastAsia="宋体"/>
                <w:b w:val="0"/>
                <w:sz w:val="18"/>
              </w:rPr>
              <w:t>C2 非遗传承人及技艺人物</w:t>
            </w:r>
          </w:p>
        </w:tc>
        <w:tc>
          <w:tcPr>
            <w:tcW w:w="2183" w:type="dxa"/>
            <w:vAlign w:val="center"/>
          </w:tcPr>
          <w:p w14:paraId="7C42528D">
            <w:pPr>
              <w:spacing w:before="0" w:after="0" w:line="300" w:lineRule="exact"/>
              <w:jc w:val="left"/>
            </w:pPr>
            <w:r>
              <w:rPr>
                <w:rFonts w:ascii="Times New Roman" w:hAnsi="Times New Roman" w:eastAsia="宋体"/>
                <w:b w:val="0"/>
                <w:sz w:val="18"/>
              </w:rPr>
              <w:t>工匠、艺师、传承人</w:t>
            </w:r>
          </w:p>
        </w:tc>
        <w:tc>
          <w:tcPr>
            <w:tcW w:w="2183" w:type="dxa"/>
            <w:vAlign w:val="center"/>
          </w:tcPr>
          <w:p w14:paraId="7891FFA2">
            <w:pPr>
              <w:spacing w:before="0" w:after="0" w:line="300" w:lineRule="exact"/>
              <w:jc w:val="left"/>
            </w:pPr>
            <w:r>
              <w:rPr>
                <w:rFonts w:ascii="Times New Roman" w:hAnsi="Times New Roman" w:eastAsia="宋体"/>
                <w:b w:val="0"/>
                <w:sz w:val="18"/>
              </w:rPr>
              <w:t>非遗传承主体：传承人</w:t>
            </w:r>
          </w:p>
        </w:tc>
      </w:tr>
      <w:tr w14:paraId="49BC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03E6A8B3">
            <w:pPr>
              <w:spacing w:before="0" w:after="0" w:line="300" w:lineRule="exact"/>
              <w:jc w:val="left"/>
            </w:pPr>
            <w:r>
              <w:rPr>
                <w:rFonts w:ascii="Times New Roman" w:hAnsi="Times New Roman" w:eastAsia="宋体"/>
                <w:b w:val="0"/>
                <w:sz w:val="18"/>
              </w:rPr>
              <w:t>C 传承主体体系</w:t>
            </w:r>
          </w:p>
        </w:tc>
        <w:tc>
          <w:tcPr>
            <w:tcW w:w="2183" w:type="dxa"/>
            <w:vAlign w:val="center"/>
          </w:tcPr>
          <w:p w14:paraId="4C77E0E0">
            <w:pPr>
              <w:spacing w:before="0" w:after="0" w:line="300" w:lineRule="exact"/>
              <w:jc w:val="left"/>
            </w:pPr>
            <w:r>
              <w:rPr>
                <w:rFonts w:ascii="Times New Roman" w:hAnsi="Times New Roman" w:eastAsia="宋体"/>
                <w:b w:val="0"/>
                <w:sz w:val="18"/>
              </w:rPr>
              <w:t>C3 文物营建与守护人物</w:t>
            </w:r>
          </w:p>
        </w:tc>
        <w:tc>
          <w:tcPr>
            <w:tcW w:w="2183" w:type="dxa"/>
            <w:vAlign w:val="center"/>
          </w:tcPr>
          <w:p w14:paraId="35FB8BFA">
            <w:pPr>
              <w:spacing w:before="0" w:after="0" w:line="300" w:lineRule="exact"/>
              <w:jc w:val="left"/>
            </w:pPr>
            <w:r>
              <w:rPr>
                <w:rFonts w:ascii="Times New Roman" w:hAnsi="Times New Roman" w:eastAsia="宋体"/>
                <w:b w:val="0"/>
                <w:sz w:val="18"/>
              </w:rPr>
              <w:t>创建者、修建者、捐建者、守护者</w:t>
            </w:r>
          </w:p>
        </w:tc>
        <w:tc>
          <w:tcPr>
            <w:tcW w:w="2183" w:type="dxa"/>
            <w:vAlign w:val="center"/>
          </w:tcPr>
          <w:p w14:paraId="44A9AC53">
            <w:pPr>
              <w:spacing w:before="0" w:after="0" w:line="300" w:lineRule="exact"/>
              <w:jc w:val="left"/>
            </w:pPr>
            <w:r>
              <w:rPr>
                <w:rFonts w:ascii="Times New Roman" w:hAnsi="Times New Roman" w:eastAsia="宋体"/>
                <w:b w:val="0"/>
                <w:sz w:val="18"/>
              </w:rPr>
              <w:t>无直接官方管理分类，作为营建与保护关系实体保留</w:t>
            </w:r>
          </w:p>
        </w:tc>
      </w:tr>
      <w:tr w14:paraId="12322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02CC9B1">
            <w:pPr>
              <w:spacing w:before="0" w:after="0" w:line="300" w:lineRule="exact"/>
              <w:jc w:val="left"/>
            </w:pPr>
            <w:r>
              <w:rPr>
                <w:rFonts w:ascii="Times New Roman" w:hAnsi="Times New Roman" w:eastAsia="宋体"/>
                <w:b w:val="0"/>
                <w:sz w:val="18"/>
              </w:rPr>
              <w:t>C 传承主体体系</w:t>
            </w:r>
          </w:p>
        </w:tc>
        <w:tc>
          <w:tcPr>
            <w:tcW w:w="2183" w:type="dxa"/>
            <w:vAlign w:val="center"/>
          </w:tcPr>
          <w:p w14:paraId="2017B246">
            <w:pPr>
              <w:spacing w:before="0" w:after="0" w:line="300" w:lineRule="exact"/>
              <w:jc w:val="left"/>
            </w:pPr>
            <w:r>
              <w:rPr>
                <w:rFonts w:ascii="Times New Roman" w:hAnsi="Times New Roman" w:eastAsia="宋体"/>
                <w:b w:val="0"/>
                <w:sz w:val="18"/>
              </w:rPr>
              <w:t>C4 宗族姓氏与地方社群</w:t>
            </w:r>
          </w:p>
        </w:tc>
        <w:tc>
          <w:tcPr>
            <w:tcW w:w="2183" w:type="dxa"/>
            <w:vAlign w:val="center"/>
          </w:tcPr>
          <w:p w14:paraId="6989D2F1">
            <w:pPr>
              <w:spacing w:before="0" w:after="0" w:line="300" w:lineRule="exact"/>
              <w:jc w:val="left"/>
            </w:pPr>
            <w:r>
              <w:rPr>
                <w:rFonts w:ascii="Times New Roman" w:hAnsi="Times New Roman" w:eastAsia="宋体"/>
                <w:b w:val="0"/>
                <w:sz w:val="18"/>
              </w:rPr>
              <w:t>九江关氏、松塘区氏、地方社群</w:t>
            </w:r>
          </w:p>
        </w:tc>
        <w:tc>
          <w:tcPr>
            <w:tcW w:w="2183" w:type="dxa"/>
            <w:vAlign w:val="center"/>
          </w:tcPr>
          <w:p w14:paraId="1CA2477A">
            <w:pPr>
              <w:spacing w:before="0" w:after="0" w:line="300" w:lineRule="exact"/>
              <w:jc w:val="left"/>
            </w:pPr>
            <w:r>
              <w:rPr>
                <w:rFonts w:ascii="Times New Roman" w:hAnsi="Times New Roman" w:eastAsia="宋体"/>
                <w:b w:val="0"/>
                <w:sz w:val="18"/>
              </w:rPr>
              <w:t>非遗传承主体：传承群体</w:t>
            </w:r>
          </w:p>
        </w:tc>
      </w:tr>
      <w:tr w14:paraId="3D55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5FF8A98A">
            <w:pPr>
              <w:spacing w:before="0" w:after="0" w:line="300" w:lineRule="exact"/>
              <w:jc w:val="left"/>
            </w:pPr>
            <w:r>
              <w:rPr>
                <w:rFonts w:ascii="Times New Roman" w:hAnsi="Times New Roman" w:eastAsia="宋体"/>
                <w:b w:val="0"/>
                <w:sz w:val="18"/>
              </w:rPr>
              <w:t>D 文化空间体系</w:t>
            </w:r>
          </w:p>
        </w:tc>
        <w:tc>
          <w:tcPr>
            <w:tcW w:w="2183" w:type="dxa"/>
            <w:vAlign w:val="center"/>
          </w:tcPr>
          <w:p w14:paraId="79DF02B1">
            <w:pPr>
              <w:spacing w:before="0" w:after="0" w:line="300" w:lineRule="exact"/>
              <w:jc w:val="left"/>
            </w:pPr>
            <w:r>
              <w:rPr>
                <w:rFonts w:ascii="Times New Roman" w:hAnsi="Times New Roman" w:eastAsia="宋体"/>
                <w:b w:val="0"/>
                <w:sz w:val="18"/>
              </w:rPr>
              <w:t>D1 山川水系空间</w:t>
            </w:r>
          </w:p>
        </w:tc>
        <w:tc>
          <w:tcPr>
            <w:tcW w:w="2183" w:type="dxa"/>
            <w:vAlign w:val="center"/>
          </w:tcPr>
          <w:p w14:paraId="35004DCD">
            <w:pPr>
              <w:spacing w:before="0" w:after="0" w:line="300" w:lineRule="exact"/>
              <w:jc w:val="left"/>
            </w:pPr>
            <w:r>
              <w:rPr>
                <w:rFonts w:ascii="Times New Roman" w:hAnsi="Times New Roman" w:eastAsia="宋体"/>
                <w:b w:val="0"/>
                <w:sz w:val="18"/>
              </w:rPr>
              <w:t>西樵山、西江、北江</w:t>
            </w:r>
          </w:p>
        </w:tc>
        <w:tc>
          <w:tcPr>
            <w:tcW w:w="2183" w:type="dxa"/>
            <w:vAlign w:val="center"/>
          </w:tcPr>
          <w:p w14:paraId="132088C1">
            <w:pPr>
              <w:spacing w:before="0" w:after="0" w:line="300" w:lineRule="exact"/>
              <w:jc w:val="left"/>
            </w:pPr>
            <w:r>
              <w:rPr>
                <w:rFonts w:ascii="Times New Roman" w:hAnsi="Times New Roman" w:eastAsia="宋体"/>
                <w:b w:val="0"/>
                <w:sz w:val="18"/>
              </w:rPr>
              <w:t>自然保护地：自然公园等</w:t>
            </w:r>
          </w:p>
        </w:tc>
      </w:tr>
      <w:tr w14:paraId="4D05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5DD257B1">
            <w:pPr>
              <w:spacing w:before="0" w:after="0" w:line="300" w:lineRule="exact"/>
              <w:jc w:val="left"/>
            </w:pPr>
            <w:r>
              <w:rPr>
                <w:rFonts w:ascii="Times New Roman" w:hAnsi="Times New Roman" w:eastAsia="宋体"/>
                <w:b w:val="0"/>
                <w:sz w:val="18"/>
              </w:rPr>
              <w:t>D 文化空间体系</w:t>
            </w:r>
          </w:p>
        </w:tc>
        <w:tc>
          <w:tcPr>
            <w:tcW w:w="2183" w:type="dxa"/>
            <w:vAlign w:val="center"/>
          </w:tcPr>
          <w:p w14:paraId="4E0A5E9C">
            <w:pPr>
              <w:spacing w:before="0" w:after="0" w:line="300" w:lineRule="exact"/>
              <w:jc w:val="left"/>
            </w:pPr>
            <w:r>
              <w:rPr>
                <w:rFonts w:ascii="Times New Roman" w:hAnsi="Times New Roman" w:eastAsia="宋体"/>
                <w:b w:val="0"/>
                <w:sz w:val="18"/>
              </w:rPr>
              <w:t>D2 镇街圩市空间</w:t>
            </w:r>
          </w:p>
        </w:tc>
        <w:tc>
          <w:tcPr>
            <w:tcW w:w="2183" w:type="dxa"/>
            <w:vAlign w:val="center"/>
          </w:tcPr>
          <w:p w14:paraId="75CA9246">
            <w:pPr>
              <w:spacing w:before="0" w:after="0" w:line="300" w:lineRule="exact"/>
              <w:jc w:val="left"/>
            </w:pPr>
            <w:r>
              <w:rPr>
                <w:rFonts w:ascii="Times New Roman" w:hAnsi="Times New Roman" w:eastAsia="宋体"/>
                <w:b w:val="0"/>
                <w:sz w:val="18"/>
              </w:rPr>
              <w:t>九江镇、丹灶镇、西樵镇、传统圩市</w:t>
            </w:r>
          </w:p>
        </w:tc>
        <w:tc>
          <w:tcPr>
            <w:tcW w:w="2183" w:type="dxa"/>
            <w:vAlign w:val="center"/>
          </w:tcPr>
          <w:p w14:paraId="3E96E886">
            <w:pPr>
              <w:spacing w:before="0" w:after="0" w:line="300" w:lineRule="exact"/>
              <w:jc w:val="left"/>
            </w:pPr>
            <w:r>
              <w:rPr>
                <w:rFonts w:ascii="Times New Roman" w:hAnsi="Times New Roman" w:eastAsia="宋体"/>
                <w:b w:val="0"/>
                <w:sz w:val="18"/>
              </w:rPr>
              <w:t>历史文化名城名镇名村：历史文化名镇等</w:t>
            </w:r>
          </w:p>
        </w:tc>
      </w:tr>
      <w:tr w14:paraId="7C10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C802B8C">
            <w:pPr>
              <w:spacing w:before="0" w:after="0" w:line="300" w:lineRule="exact"/>
              <w:jc w:val="left"/>
            </w:pPr>
            <w:r>
              <w:rPr>
                <w:rFonts w:ascii="Times New Roman" w:hAnsi="Times New Roman" w:eastAsia="宋体"/>
                <w:b w:val="0"/>
                <w:sz w:val="18"/>
              </w:rPr>
              <w:t>D 文化空间体系</w:t>
            </w:r>
          </w:p>
        </w:tc>
        <w:tc>
          <w:tcPr>
            <w:tcW w:w="2183" w:type="dxa"/>
            <w:vAlign w:val="center"/>
          </w:tcPr>
          <w:p w14:paraId="09E49191">
            <w:pPr>
              <w:spacing w:before="0" w:after="0" w:line="300" w:lineRule="exact"/>
              <w:jc w:val="left"/>
            </w:pPr>
            <w:r>
              <w:rPr>
                <w:rFonts w:ascii="Times New Roman" w:hAnsi="Times New Roman" w:eastAsia="宋体"/>
                <w:b w:val="0"/>
                <w:sz w:val="18"/>
              </w:rPr>
              <w:t>D3 历史街区与传统片区</w:t>
            </w:r>
          </w:p>
        </w:tc>
        <w:tc>
          <w:tcPr>
            <w:tcW w:w="2183" w:type="dxa"/>
            <w:vAlign w:val="center"/>
          </w:tcPr>
          <w:p w14:paraId="2C93F29A">
            <w:pPr>
              <w:spacing w:before="0" w:after="0" w:line="300" w:lineRule="exact"/>
              <w:jc w:val="left"/>
            </w:pPr>
            <w:r>
              <w:rPr>
                <w:rFonts w:ascii="Times New Roman" w:hAnsi="Times New Roman" w:eastAsia="宋体"/>
                <w:b w:val="0"/>
                <w:sz w:val="18"/>
              </w:rPr>
              <w:t>历史街区、传统片区、老街区</w:t>
            </w:r>
          </w:p>
        </w:tc>
        <w:tc>
          <w:tcPr>
            <w:tcW w:w="2183" w:type="dxa"/>
            <w:vAlign w:val="center"/>
          </w:tcPr>
          <w:p w14:paraId="3B97C492">
            <w:pPr>
              <w:spacing w:before="0" w:after="0" w:line="300" w:lineRule="exact"/>
              <w:jc w:val="left"/>
            </w:pPr>
            <w:r>
              <w:rPr>
                <w:rFonts w:ascii="Times New Roman" w:hAnsi="Times New Roman" w:eastAsia="宋体"/>
                <w:b w:val="0"/>
                <w:sz w:val="18"/>
              </w:rPr>
              <w:t>历史文化名城名镇名村：历史文化街区、历史建筑</w:t>
            </w:r>
          </w:p>
        </w:tc>
      </w:tr>
      <w:tr w14:paraId="64FF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56D86B16">
            <w:pPr>
              <w:spacing w:before="0" w:after="0" w:line="300" w:lineRule="exact"/>
              <w:jc w:val="left"/>
            </w:pPr>
            <w:r>
              <w:rPr>
                <w:rFonts w:ascii="Times New Roman" w:hAnsi="Times New Roman" w:eastAsia="宋体"/>
                <w:b w:val="0"/>
                <w:sz w:val="18"/>
              </w:rPr>
              <w:t>D 文化空间体系</w:t>
            </w:r>
          </w:p>
        </w:tc>
        <w:tc>
          <w:tcPr>
            <w:tcW w:w="2183" w:type="dxa"/>
            <w:vAlign w:val="center"/>
          </w:tcPr>
          <w:p w14:paraId="3A3CEEEA">
            <w:pPr>
              <w:spacing w:before="0" w:after="0" w:line="300" w:lineRule="exact"/>
              <w:jc w:val="left"/>
            </w:pPr>
            <w:r>
              <w:rPr>
                <w:rFonts w:ascii="Times New Roman" w:hAnsi="Times New Roman" w:eastAsia="宋体"/>
                <w:b w:val="0"/>
                <w:sz w:val="18"/>
              </w:rPr>
              <w:t>D4 传承场所与活动场地</w:t>
            </w:r>
          </w:p>
        </w:tc>
        <w:tc>
          <w:tcPr>
            <w:tcW w:w="2183" w:type="dxa"/>
            <w:vAlign w:val="center"/>
          </w:tcPr>
          <w:p w14:paraId="5CBF5987">
            <w:pPr>
              <w:spacing w:before="0" w:after="0" w:line="300" w:lineRule="exact"/>
              <w:jc w:val="left"/>
            </w:pPr>
            <w:r>
              <w:rPr>
                <w:rFonts w:ascii="Times New Roman" w:hAnsi="Times New Roman" w:eastAsia="宋体"/>
                <w:b w:val="0"/>
                <w:sz w:val="18"/>
              </w:rPr>
              <w:t>传习所、武馆、训练场、活动场地</w:t>
            </w:r>
          </w:p>
        </w:tc>
        <w:tc>
          <w:tcPr>
            <w:tcW w:w="2183" w:type="dxa"/>
            <w:vAlign w:val="center"/>
          </w:tcPr>
          <w:p w14:paraId="53FCC529">
            <w:pPr>
              <w:spacing w:before="0" w:after="0" w:line="300" w:lineRule="exact"/>
              <w:jc w:val="left"/>
            </w:pPr>
            <w:r>
              <w:rPr>
                <w:rFonts w:ascii="Times New Roman" w:hAnsi="Times New Roman" w:eastAsia="宋体"/>
                <w:b w:val="0"/>
                <w:sz w:val="18"/>
              </w:rPr>
              <w:t>公共文化资源：公共文化设施、公共文化活动</w:t>
            </w:r>
          </w:p>
        </w:tc>
      </w:tr>
      <w:tr w14:paraId="1383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3A8C8C70">
            <w:pPr>
              <w:spacing w:before="0" w:after="0" w:line="300" w:lineRule="exact"/>
              <w:jc w:val="left"/>
            </w:pPr>
            <w:r>
              <w:rPr>
                <w:rFonts w:ascii="Times New Roman" w:hAnsi="Times New Roman" w:eastAsia="宋体"/>
                <w:b w:val="0"/>
                <w:sz w:val="18"/>
              </w:rPr>
              <w:t>E 文献记忆体系</w:t>
            </w:r>
          </w:p>
        </w:tc>
        <w:tc>
          <w:tcPr>
            <w:tcW w:w="2183" w:type="dxa"/>
            <w:vAlign w:val="center"/>
          </w:tcPr>
          <w:p w14:paraId="310CCD3A">
            <w:pPr>
              <w:spacing w:before="0" w:after="0" w:line="300" w:lineRule="exact"/>
              <w:jc w:val="left"/>
            </w:pPr>
            <w:r>
              <w:rPr>
                <w:rFonts w:ascii="Times New Roman" w:hAnsi="Times New Roman" w:eastAsia="宋体"/>
                <w:b w:val="0"/>
                <w:sz w:val="18"/>
              </w:rPr>
              <w:t>E1 地方志类</w:t>
            </w:r>
          </w:p>
        </w:tc>
        <w:tc>
          <w:tcPr>
            <w:tcW w:w="2183" w:type="dxa"/>
            <w:vAlign w:val="center"/>
          </w:tcPr>
          <w:p w14:paraId="3A53D82A">
            <w:pPr>
              <w:spacing w:before="0" w:after="0" w:line="300" w:lineRule="exact"/>
              <w:jc w:val="left"/>
            </w:pPr>
            <w:r>
              <w:rPr>
                <w:rFonts w:ascii="Times New Roman" w:hAnsi="Times New Roman" w:eastAsia="宋体"/>
                <w:b w:val="0"/>
                <w:sz w:val="18"/>
              </w:rPr>
              <w:t>《南海县志》《大德南海志》等</w:t>
            </w:r>
          </w:p>
        </w:tc>
        <w:tc>
          <w:tcPr>
            <w:tcW w:w="2183" w:type="dxa"/>
            <w:vAlign w:val="center"/>
          </w:tcPr>
          <w:p w14:paraId="2C8E866D">
            <w:pPr>
              <w:spacing w:before="0" w:after="0" w:line="300" w:lineRule="exact"/>
              <w:jc w:val="left"/>
            </w:pPr>
            <w:r>
              <w:rPr>
                <w:rFonts w:ascii="Times New Roman" w:hAnsi="Times New Roman" w:eastAsia="宋体"/>
                <w:b w:val="0"/>
                <w:sz w:val="18"/>
              </w:rPr>
              <w:t>可移动文物：古代文物、近代现代文物</w:t>
            </w:r>
          </w:p>
        </w:tc>
      </w:tr>
      <w:tr w14:paraId="050B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7C9936D">
            <w:pPr>
              <w:spacing w:before="0" w:after="0" w:line="300" w:lineRule="exact"/>
              <w:jc w:val="left"/>
            </w:pPr>
            <w:r>
              <w:rPr>
                <w:rFonts w:ascii="Times New Roman" w:hAnsi="Times New Roman" w:eastAsia="宋体"/>
                <w:b w:val="0"/>
                <w:sz w:val="18"/>
              </w:rPr>
              <w:t>E 文献记忆体系</w:t>
            </w:r>
          </w:p>
        </w:tc>
        <w:tc>
          <w:tcPr>
            <w:tcW w:w="2183" w:type="dxa"/>
            <w:vAlign w:val="center"/>
          </w:tcPr>
          <w:p w14:paraId="0B7B6E65">
            <w:pPr>
              <w:spacing w:before="0" w:after="0" w:line="300" w:lineRule="exact"/>
              <w:jc w:val="left"/>
            </w:pPr>
            <w:r>
              <w:rPr>
                <w:rFonts w:ascii="Times New Roman" w:hAnsi="Times New Roman" w:eastAsia="宋体"/>
                <w:b w:val="0"/>
                <w:sz w:val="18"/>
              </w:rPr>
              <w:t>E2 族谱家乘类</w:t>
            </w:r>
          </w:p>
        </w:tc>
        <w:tc>
          <w:tcPr>
            <w:tcW w:w="2183" w:type="dxa"/>
            <w:vAlign w:val="center"/>
          </w:tcPr>
          <w:p w14:paraId="78B50961">
            <w:pPr>
              <w:spacing w:before="0" w:after="0" w:line="300" w:lineRule="exact"/>
              <w:jc w:val="left"/>
            </w:pPr>
            <w:r>
              <w:rPr>
                <w:rFonts w:ascii="Times New Roman" w:hAnsi="Times New Roman" w:eastAsia="宋体"/>
                <w:b w:val="0"/>
                <w:sz w:val="18"/>
              </w:rPr>
              <w:t>族谱、家乘</w:t>
            </w:r>
          </w:p>
        </w:tc>
        <w:tc>
          <w:tcPr>
            <w:tcW w:w="2183" w:type="dxa"/>
            <w:vAlign w:val="center"/>
          </w:tcPr>
          <w:p w14:paraId="56EC8197">
            <w:pPr>
              <w:spacing w:before="0" w:after="0" w:line="300" w:lineRule="exact"/>
              <w:jc w:val="left"/>
            </w:pPr>
            <w:r>
              <w:rPr>
                <w:rFonts w:ascii="Times New Roman" w:hAnsi="Times New Roman" w:eastAsia="宋体"/>
                <w:b w:val="0"/>
                <w:sz w:val="18"/>
              </w:rPr>
              <w:t>可移动文物：古代文物、近代现代文物</w:t>
            </w:r>
          </w:p>
        </w:tc>
      </w:tr>
      <w:tr w14:paraId="2771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72E09C3">
            <w:pPr>
              <w:spacing w:before="0" w:after="0" w:line="300" w:lineRule="exact"/>
              <w:jc w:val="left"/>
            </w:pPr>
            <w:r>
              <w:rPr>
                <w:rFonts w:ascii="Times New Roman" w:hAnsi="Times New Roman" w:eastAsia="宋体"/>
                <w:b w:val="0"/>
                <w:sz w:val="18"/>
              </w:rPr>
              <w:t>E 文献记忆体系</w:t>
            </w:r>
          </w:p>
        </w:tc>
        <w:tc>
          <w:tcPr>
            <w:tcW w:w="2183" w:type="dxa"/>
            <w:vAlign w:val="center"/>
          </w:tcPr>
          <w:p w14:paraId="7E98A08D">
            <w:pPr>
              <w:spacing w:before="0" w:after="0" w:line="300" w:lineRule="exact"/>
              <w:jc w:val="left"/>
            </w:pPr>
            <w:r>
              <w:rPr>
                <w:rFonts w:ascii="Times New Roman" w:hAnsi="Times New Roman" w:eastAsia="宋体"/>
                <w:b w:val="0"/>
                <w:sz w:val="18"/>
              </w:rPr>
              <w:t>E3 碑记题咏类</w:t>
            </w:r>
          </w:p>
        </w:tc>
        <w:tc>
          <w:tcPr>
            <w:tcW w:w="2183" w:type="dxa"/>
            <w:vAlign w:val="center"/>
          </w:tcPr>
          <w:p w14:paraId="414B075E">
            <w:pPr>
              <w:spacing w:before="0" w:after="0" w:line="300" w:lineRule="exact"/>
              <w:jc w:val="left"/>
            </w:pPr>
            <w:r>
              <w:rPr>
                <w:rFonts w:ascii="Times New Roman" w:hAnsi="Times New Roman" w:eastAsia="宋体"/>
                <w:b w:val="0"/>
                <w:sz w:val="18"/>
              </w:rPr>
              <w:t>碑记、诗文题刻</w:t>
            </w:r>
          </w:p>
        </w:tc>
        <w:tc>
          <w:tcPr>
            <w:tcW w:w="2183" w:type="dxa"/>
            <w:vAlign w:val="center"/>
          </w:tcPr>
          <w:p w14:paraId="00D8E9AB">
            <w:pPr>
              <w:spacing w:before="0" w:after="0" w:line="300" w:lineRule="exact"/>
              <w:jc w:val="left"/>
            </w:pPr>
            <w:r>
              <w:rPr>
                <w:rFonts w:ascii="Times New Roman" w:hAnsi="Times New Roman" w:eastAsia="宋体"/>
                <w:b w:val="0"/>
                <w:sz w:val="18"/>
              </w:rPr>
              <w:t>不可移动文物；可移动文物</w:t>
            </w:r>
          </w:p>
        </w:tc>
      </w:tr>
      <w:tr w14:paraId="211D3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3207C3BF">
            <w:pPr>
              <w:spacing w:before="0" w:after="0" w:line="300" w:lineRule="exact"/>
              <w:jc w:val="left"/>
            </w:pPr>
            <w:r>
              <w:rPr>
                <w:rFonts w:ascii="Times New Roman" w:hAnsi="Times New Roman" w:eastAsia="宋体"/>
                <w:b w:val="0"/>
                <w:sz w:val="18"/>
              </w:rPr>
              <w:t>E 文献记忆体系</w:t>
            </w:r>
          </w:p>
        </w:tc>
        <w:tc>
          <w:tcPr>
            <w:tcW w:w="2183" w:type="dxa"/>
            <w:vAlign w:val="center"/>
          </w:tcPr>
          <w:p w14:paraId="6E38A81B">
            <w:pPr>
              <w:spacing w:before="0" w:after="0" w:line="300" w:lineRule="exact"/>
              <w:jc w:val="left"/>
            </w:pPr>
            <w:r>
              <w:rPr>
                <w:rFonts w:ascii="Times New Roman" w:hAnsi="Times New Roman" w:eastAsia="宋体"/>
                <w:b w:val="0"/>
                <w:sz w:val="18"/>
              </w:rPr>
              <w:t>E4 文集著述类</w:t>
            </w:r>
          </w:p>
        </w:tc>
        <w:tc>
          <w:tcPr>
            <w:tcW w:w="2183" w:type="dxa"/>
            <w:vAlign w:val="center"/>
          </w:tcPr>
          <w:p w14:paraId="562A502B">
            <w:pPr>
              <w:spacing w:before="0" w:after="0" w:line="300" w:lineRule="exact"/>
              <w:jc w:val="left"/>
            </w:pPr>
            <w:r>
              <w:rPr>
                <w:rFonts w:ascii="Times New Roman" w:hAnsi="Times New Roman" w:eastAsia="宋体"/>
                <w:b w:val="0"/>
                <w:sz w:val="18"/>
              </w:rPr>
              <w:t>文集、学术著作、地方著述</w:t>
            </w:r>
          </w:p>
        </w:tc>
        <w:tc>
          <w:tcPr>
            <w:tcW w:w="2183" w:type="dxa"/>
            <w:vAlign w:val="center"/>
          </w:tcPr>
          <w:p w14:paraId="47975F99">
            <w:pPr>
              <w:spacing w:before="0" w:after="0" w:line="300" w:lineRule="exact"/>
              <w:jc w:val="left"/>
            </w:pPr>
            <w:r>
              <w:rPr>
                <w:rFonts w:ascii="Times New Roman" w:hAnsi="Times New Roman" w:eastAsia="宋体"/>
                <w:b w:val="0"/>
                <w:sz w:val="18"/>
              </w:rPr>
              <w:t>可移动文物：古代文物、近代现代文物</w:t>
            </w:r>
          </w:p>
        </w:tc>
      </w:tr>
      <w:tr w14:paraId="709B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4A6AD892">
            <w:pPr>
              <w:spacing w:before="0" w:after="0" w:line="300" w:lineRule="exact"/>
              <w:jc w:val="left"/>
            </w:pPr>
            <w:r>
              <w:rPr>
                <w:rFonts w:ascii="Times New Roman" w:hAnsi="Times New Roman" w:eastAsia="宋体"/>
                <w:b w:val="0"/>
                <w:sz w:val="18"/>
              </w:rPr>
              <w:t>E 文献记忆体系</w:t>
            </w:r>
          </w:p>
        </w:tc>
        <w:tc>
          <w:tcPr>
            <w:tcW w:w="2183" w:type="dxa"/>
            <w:vAlign w:val="center"/>
          </w:tcPr>
          <w:p w14:paraId="6411CC6A">
            <w:pPr>
              <w:spacing w:before="0" w:after="0" w:line="300" w:lineRule="exact"/>
              <w:jc w:val="left"/>
            </w:pPr>
            <w:r>
              <w:rPr>
                <w:rFonts w:ascii="Times New Roman" w:hAnsi="Times New Roman" w:eastAsia="宋体"/>
                <w:b w:val="0"/>
                <w:sz w:val="18"/>
              </w:rPr>
              <w:t>E5 口述史与地方记忆材料</w:t>
            </w:r>
          </w:p>
        </w:tc>
        <w:tc>
          <w:tcPr>
            <w:tcW w:w="2183" w:type="dxa"/>
            <w:vAlign w:val="center"/>
          </w:tcPr>
          <w:p w14:paraId="5E840836">
            <w:pPr>
              <w:spacing w:before="0" w:after="0" w:line="300" w:lineRule="exact"/>
              <w:jc w:val="left"/>
            </w:pPr>
            <w:r>
              <w:rPr>
                <w:rFonts w:ascii="Times New Roman" w:hAnsi="Times New Roman" w:eastAsia="宋体"/>
                <w:b w:val="0"/>
                <w:sz w:val="18"/>
              </w:rPr>
              <w:t>口述史、传说、地方记忆材料</w:t>
            </w:r>
          </w:p>
        </w:tc>
        <w:tc>
          <w:tcPr>
            <w:tcW w:w="2183" w:type="dxa"/>
            <w:vAlign w:val="center"/>
          </w:tcPr>
          <w:p w14:paraId="5301B234">
            <w:pPr>
              <w:spacing w:before="0" w:after="0" w:line="300" w:lineRule="exact"/>
              <w:jc w:val="left"/>
            </w:pPr>
            <w:r>
              <w:rPr>
                <w:rFonts w:ascii="Times New Roman" w:hAnsi="Times New Roman" w:eastAsia="宋体"/>
                <w:b w:val="0"/>
                <w:sz w:val="18"/>
              </w:rPr>
              <w:t>非物质文化遗产：民间文学</w:t>
            </w:r>
          </w:p>
        </w:tc>
      </w:tr>
      <w:tr w14:paraId="7ED8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788C5D15">
            <w:pPr>
              <w:spacing w:before="0" w:after="0" w:line="300" w:lineRule="exact"/>
              <w:jc w:val="left"/>
            </w:pPr>
            <w:r>
              <w:rPr>
                <w:rFonts w:ascii="Times New Roman" w:hAnsi="Times New Roman" w:eastAsia="宋体"/>
                <w:b w:val="0"/>
                <w:sz w:val="18"/>
              </w:rPr>
              <w:t>F 历史时序体系</w:t>
            </w:r>
          </w:p>
        </w:tc>
        <w:tc>
          <w:tcPr>
            <w:tcW w:w="2183" w:type="dxa"/>
            <w:vAlign w:val="center"/>
          </w:tcPr>
          <w:p w14:paraId="6570F582">
            <w:pPr>
              <w:spacing w:before="0" w:after="0" w:line="300" w:lineRule="exact"/>
              <w:jc w:val="left"/>
            </w:pPr>
            <w:r>
              <w:rPr>
                <w:rFonts w:ascii="Times New Roman" w:hAnsi="Times New Roman" w:eastAsia="宋体"/>
                <w:b w:val="0"/>
                <w:sz w:val="18"/>
              </w:rPr>
              <w:t>F1 朝代年号类</w:t>
            </w:r>
          </w:p>
        </w:tc>
        <w:tc>
          <w:tcPr>
            <w:tcW w:w="2183" w:type="dxa"/>
            <w:vAlign w:val="center"/>
          </w:tcPr>
          <w:p w14:paraId="382BE5D3">
            <w:pPr>
              <w:spacing w:before="0" w:after="0" w:line="300" w:lineRule="exact"/>
              <w:jc w:val="left"/>
            </w:pPr>
            <w:r>
              <w:rPr>
                <w:rFonts w:ascii="Times New Roman" w:hAnsi="Times New Roman" w:eastAsia="宋体"/>
                <w:b w:val="0"/>
                <w:sz w:val="18"/>
              </w:rPr>
              <w:t>明代、清代、民国、光绪二十四年</w:t>
            </w:r>
          </w:p>
        </w:tc>
        <w:tc>
          <w:tcPr>
            <w:tcW w:w="2183" w:type="dxa"/>
            <w:vAlign w:val="center"/>
          </w:tcPr>
          <w:p w14:paraId="1515DE45">
            <w:pPr>
              <w:spacing w:before="0" w:after="0" w:line="300" w:lineRule="exact"/>
              <w:jc w:val="left"/>
            </w:pPr>
            <w:r>
              <w:rPr>
                <w:rFonts w:ascii="Times New Roman" w:hAnsi="Times New Roman" w:eastAsia="宋体"/>
                <w:b w:val="0"/>
                <w:sz w:val="18"/>
              </w:rPr>
              <w:t>无直接官方管理分类，作为时序标注实体保留</w:t>
            </w:r>
          </w:p>
        </w:tc>
      </w:tr>
      <w:tr w14:paraId="3BFF3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40E13531">
            <w:pPr>
              <w:spacing w:before="0" w:after="0" w:line="300" w:lineRule="exact"/>
              <w:jc w:val="left"/>
            </w:pPr>
            <w:r>
              <w:rPr>
                <w:rFonts w:ascii="Times New Roman" w:hAnsi="Times New Roman" w:eastAsia="宋体"/>
                <w:b w:val="0"/>
                <w:sz w:val="18"/>
              </w:rPr>
              <w:t>F 历史时序体系</w:t>
            </w:r>
          </w:p>
        </w:tc>
        <w:tc>
          <w:tcPr>
            <w:tcW w:w="2183" w:type="dxa"/>
            <w:vAlign w:val="center"/>
          </w:tcPr>
          <w:p w14:paraId="285E2DC9">
            <w:pPr>
              <w:spacing w:before="0" w:after="0" w:line="300" w:lineRule="exact"/>
              <w:jc w:val="left"/>
            </w:pPr>
            <w:r>
              <w:rPr>
                <w:rFonts w:ascii="Times New Roman" w:hAnsi="Times New Roman" w:eastAsia="宋体"/>
                <w:b w:val="0"/>
                <w:sz w:val="18"/>
              </w:rPr>
              <w:t>F2 历史事件类</w:t>
            </w:r>
          </w:p>
        </w:tc>
        <w:tc>
          <w:tcPr>
            <w:tcW w:w="2183" w:type="dxa"/>
            <w:vAlign w:val="center"/>
          </w:tcPr>
          <w:p w14:paraId="0C491D6C">
            <w:pPr>
              <w:spacing w:before="0" w:after="0" w:line="300" w:lineRule="exact"/>
              <w:jc w:val="left"/>
            </w:pPr>
            <w:r>
              <w:rPr>
                <w:rFonts w:ascii="Times New Roman" w:hAnsi="Times New Roman" w:eastAsia="宋体"/>
                <w:b w:val="0"/>
                <w:sz w:val="18"/>
              </w:rPr>
              <w:t>公车上书、戊戌变法、地方历史事件</w:t>
            </w:r>
          </w:p>
        </w:tc>
        <w:tc>
          <w:tcPr>
            <w:tcW w:w="2183" w:type="dxa"/>
            <w:vAlign w:val="center"/>
          </w:tcPr>
          <w:p w14:paraId="609042C6">
            <w:pPr>
              <w:spacing w:before="0" w:after="0" w:line="300" w:lineRule="exact"/>
              <w:jc w:val="left"/>
            </w:pPr>
            <w:r>
              <w:rPr>
                <w:rFonts w:ascii="Times New Roman" w:hAnsi="Times New Roman" w:eastAsia="宋体"/>
                <w:b w:val="0"/>
                <w:sz w:val="18"/>
              </w:rPr>
              <w:t>无直接官方管理分类，作为事件实体保留</w:t>
            </w:r>
          </w:p>
        </w:tc>
      </w:tr>
      <w:tr w14:paraId="775E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183" w:type="dxa"/>
            <w:vAlign w:val="center"/>
          </w:tcPr>
          <w:p w14:paraId="2BE3CA27">
            <w:pPr>
              <w:spacing w:before="0" w:after="0" w:line="300" w:lineRule="exact"/>
              <w:jc w:val="left"/>
            </w:pPr>
            <w:r>
              <w:rPr>
                <w:rFonts w:ascii="Times New Roman" w:hAnsi="Times New Roman" w:eastAsia="宋体"/>
                <w:b w:val="0"/>
                <w:sz w:val="18"/>
              </w:rPr>
              <w:t>F 历史时序体系</w:t>
            </w:r>
          </w:p>
        </w:tc>
        <w:tc>
          <w:tcPr>
            <w:tcW w:w="2183" w:type="dxa"/>
            <w:vAlign w:val="center"/>
          </w:tcPr>
          <w:p w14:paraId="5AF2D779">
            <w:pPr>
              <w:spacing w:before="0" w:after="0" w:line="300" w:lineRule="exact"/>
              <w:jc w:val="left"/>
            </w:pPr>
            <w:r>
              <w:rPr>
                <w:rFonts w:ascii="Times New Roman" w:hAnsi="Times New Roman" w:eastAsia="宋体"/>
                <w:b w:val="0"/>
                <w:sz w:val="18"/>
              </w:rPr>
              <w:t>F3 发展阶段类</w:t>
            </w:r>
          </w:p>
        </w:tc>
        <w:tc>
          <w:tcPr>
            <w:tcW w:w="2183" w:type="dxa"/>
            <w:vAlign w:val="center"/>
          </w:tcPr>
          <w:p w14:paraId="580D5EF4">
            <w:pPr>
              <w:spacing w:before="0" w:after="0" w:line="300" w:lineRule="exact"/>
              <w:jc w:val="left"/>
            </w:pPr>
            <w:r>
              <w:rPr>
                <w:rFonts w:ascii="Times New Roman" w:hAnsi="Times New Roman" w:eastAsia="宋体"/>
                <w:b w:val="0"/>
                <w:sz w:val="18"/>
              </w:rPr>
              <w:t>形成期、兴盛期、转型期等阶段表述</w:t>
            </w:r>
          </w:p>
        </w:tc>
        <w:tc>
          <w:tcPr>
            <w:tcW w:w="2183" w:type="dxa"/>
            <w:vAlign w:val="center"/>
          </w:tcPr>
          <w:p w14:paraId="005E2BBD">
            <w:pPr>
              <w:spacing w:before="0" w:after="0" w:line="300" w:lineRule="exact"/>
              <w:jc w:val="left"/>
            </w:pPr>
            <w:r>
              <w:rPr>
                <w:rFonts w:ascii="Times New Roman" w:hAnsi="Times New Roman" w:eastAsia="宋体"/>
                <w:b w:val="0"/>
                <w:sz w:val="18"/>
              </w:rPr>
              <w:t>无直接官方管理分类，作为阶段判断实体保留</w:t>
            </w:r>
          </w:p>
        </w:tc>
      </w:tr>
    </w:tbl>
    <w:p w14:paraId="2ED3A05D">
      <w:pPr>
        <w:spacing w:before="0" w:after="0" w:line="400" w:lineRule="exact"/>
        <w:ind w:firstLine="480"/>
        <w:jc w:val="left"/>
      </w:pPr>
      <w:r>
        <w:rPr>
          <w:rFonts w:ascii="Times New Roman" w:hAnsi="Times New Roman" w:eastAsia="宋体"/>
          <w:b w:val="0"/>
          <w:sz w:val="24"/>
        </w:rPr>
        <w:t>*注：官方分类只在实体能够与管理名录发生合理对应时填写；C1、C3 和 F 类实体主要承担文化记忆、人物关系和历史时序标注功能，不强行映射到官方资源类型。*</w:t>
      </w:r>
    </w:p>
    <w:p w14:paraId="057C2B74">
      <w:r>
        <w:br w:type="page"/>
      </w:r>
    </w:p>
    <w:p w14:paraId="3058CA0A">
      <w:pPr>
        <w:spacing w:before="240" w:after="120" w:line="400" w:lineRule="exact"/>
        <w:jc w:val="left"/>
        <w:outlineLvl w:val="0"/>
      </w:pPr>
      <w:bookmarkStart w:id="98" w:name="_Toc24778"/>
      <w:r>
        <w:rPr>
          <w:rFonts w:ascii="Times New Roman" w:hAnsi="Times New Roman" w:eastAsia="黑体"/>
          <w:b/>
          <w:sz w:val="28"/>
        </w:rPr>
        <w:t>附录 B　165 条文化载体样本分类与镇街分布统计</w:t>
      </w:r>
      <w:bookmarkEnd w:id="98"/>
    </w:p>
    <w:p w14:paraId="13A319CE">
      <w:pPr>
        <w:spacing w:before="0" w:after="0" w:line="400" w:lineRule="exact"/>
        <w:ind w:firstLine="480"/>
        <w:jc w:val="left"/>
      </w:pPr>
      <w:r>
        <w:rPr>
          <w:rFonts w:ascii="Times New Roman" w:hAnsi="Times New Roman" w:eastAsia="宋体"/>
          <w:b w:val="0"/>
          <w:sz w:val="24"/>
        </w:rPr>
        <w:t>按类型：不可移动文物保护单位 / 空间锚点 80、非遗空间锚点 36、文化景观 19、圩市街区 18、历史文化名村/传统村落 12。</w:t>
      </w:r>
    </w:p>
    <w:p w14:paraId="63ECE4C6">
      <w:pPr>
        <w:spacing w:before="0" w:after="0" w:line="400" w:lineRule="exact"/>
        <w:ind w:firstLine="480"/>
        <w:jc w:val="left"/>
      </w:pPr>
      <w:r>
        <w:rPr>
          <w:rFonts w:ascii="Times New Roman" w:hAnsi="Times New Roman" w:eastAsia="宋体"/>
          <w:b w:val="0"/>
          <w:sz w:val="24"/>
        </w:rPr>
        <w:t>按镇街（含明确 town 字段）：西樵镇 26、九江镇 15、丹灶镇 11、狮山镇 3、桂城街道 3、里水镇 1，其余 80 条不可移动文物在原始锚点库中镇街字段缺失，另有 18 条为村级单位（松塘村、烟桥村、仙岗村、棋盘村等）。</w:t>
      </w:r>
    </w:p>
    <w:p w14:paraId="6FBDB1DE">
      <w:pPr>
        <w:spacing w:before="0" w:after="0" w:line="400" w:lineRule="exact"/>
        <w:ind w:firstLine="480"/>
        <w:jc w:val="left"/>
      </w:pPr>
      <w:r>
        <w:rPr>
          <w:rFonts w:ascii="Times New Roman" w:hAnsi="Times New Roman" w:eastAsia="宋体"/>
          <w:b w:val="0"/>
          <w:sz w:val="24"/>
        </w:rPr>
        <w:t>完整清单作为载体级指数附表留存，正文仅摘录类型分布、镇街分布和典型样本。</w:t>
      </w:r>
    </w:p>
    <w:p w14:paraId="37A803F6">
      <w:pPr>
        <w:spacing w:before="0" w:after="0" w:line="400" w:lineRule="exact"/>
        <w:ind w:firstLine="480"/>
        <w:jc w:val="left"/>
      </w:pPr>
      <w:r>
        <w:rPr>
          <w:rFonts w:ascii="Times New Roman" w:hAnsi="Times New Roman" w:eastAsia="宋体"/>
          <w:b w:val="0"/>
          <w:sz w:val="24"/>
        </w:rPr>
        <w:t>官方资源扩展候选库总量为 709 条，其中保留原锚点 219 条，新增去重后的官方候选锚点 490 条。该库用于附加诊断和后续人工校核，不直接替代本论文 165 条指数计算样本。</w:t>
      </w:r>
    </w:p>
    <w:p w14:paraId="46EAE492">
      <w:r>
        <w:br w:type="page"/>
      </w:r>
    </w:p>
    <w:p w14:paraId="6E8DFF59">
      <w:pPr>
        <w:spacing w:before="240" w:after="120" w:line="400" w:lineRule="exact"/>
        <w:jc w:val="left"/>
        <w:outlineLvl w:val="0"/>
      </w:pPr>
      <w:bookmarkStart w:id="99" w:name="_Toc7707"/>
      <w:r>
        <w:rPr>
          <w:rFonts w:ascii="Times New Roman" w:hAnsi="Times New Roman" w:eastAsia="黑体"/>
          <w:b/>
          <w:sz w:val="28"/>
        </w:rPr>
        <w:t>附录 C　载体级指数与错位分类样例</w:t>
      </w:r>
      <w:bookmarkEnd w:id="99"/>
    </w:p>
    <w:p w14:paraId="3CDD35DE">
      <w:pPr>
        <w:spacing w:before="0" w:after="0" w:line="400" w:lineRule="exact"/>
        <w:ind w:firstLine="480"/>
        <w:jc w:val="left"/>
      </w:pPr>
      <w:r>
        <w:rPr>
          <w:rFonts w:ascii="Times New Roman" w:hAnsi="Times New Roman" w:eastAsia="宋体"/>
          <w:b w:val="0"/>
          <w:sz w:val="24"/>
        </w:rPr>
        <w:t>（全量 165 条载体级指数结果作为补充附表留存；下表仅列出每一象限的代表样本。）</w:t>
      </w:r>
    </w:p>
    <w:p w14:paraId="3108B8F2">
      <w:pPr>
        <w:spacing w:before="40" w:after="0" w:line="400" w:lineRule="exact"/>
        <w:jc w:val="center"/>
        <w:outlineLvl w:val="1"/>
      </w:pPr>
      <w:bookmarkStart w:id="100" w:name="_Toc30698"/>
      <w:r>
        <w:rPr>
          <w:rFonts w:ascii="Times New Roman" w:hAnsi="Times New Roman" w:eastAsia="宋体"/>
          <w:b/>
          <w:sz w:val="24"/>
        </w:rPr>
        <w:t>C.1 沉睡潜力区（MI 最负 Top 10）</w:t>
      </w:r>
      <w:bookmarkEnd w:id="100"/>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55"/>
        <w:gridCol w:w="1455"/>
        <w:gridCol w:w="1455"/>
        <w:gridCol w:w="1455"/>
        <w:gridCol w:w="1455"/>
        <w:gridCol w:w="1455"/>
      </w:tblGrid>
      <w:tr w14:paraId="4305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0ABF77E">
            <w:pPr>
              <w:spacing w:before="0" w:after="0" w:line="320" w:lineRule="exact"/>
              <w:jc w:val="center"/>
            </w:pPr>
            <w:r>
              <w:rPr>
                <w:rFonts w:ascii="Times New Roman" w:hAnsi="Times New Roman" w:eastAsia="宋体"/>
                <w:b/>
                <w:sz w:val="21"/>
              </w:rPr>
              <w:t>名称</w:t>
            </w:r>
          </w:p>
        </w:tc>
        <w:tc>
          <w:tcPr>
            <w:tcW w:w="1455" w:type="dxa"/>
            <w:vAlign w:val="center"/>
          </w:tcPr>
          <w:p w14:paraId="5DDA664E">
            <w:pPr>
              <w:spacing w:before="0" w:after="0" w:line="320" w:lineRule="exact"/>
              <w:jc w:val="center"/>
            </w:pPr>
            <w:r>
              <w:rPr>
                <w:rFonts w:ascii="Times New Roman" w:hAnsi="Times New Roman" w:eastAsia="宋体"/>
                <w:b/>
                <w:sz w:val="21"/>
              </w:rPr>
              <w:t>镇街</w:t>
            </w:r>
          </w:p>
        </w:tc>
        <w:tc>
          <w:tcPr>
            <w:tcW w:w="1455" w:type="dxa"/>
            <w:vAlign w:val="center"/>
          </w:tcPr>
          <w:p w14:paraId="167FD951">
            <w:pPr>
              <w:spacing w:before="0" w:after="0" w:line="320" w:lineRule="exact"/>
              <w:jc w:val="center"/>
            </w:pPr>
            <w:r>
              <w:rPr>
                <w:rFonts w:ascii="Times New Roman" w:hAnsi="Times New Roman" w:eastAsia="宋体"/>
                <w:b/>
                <w:sz w:val="21"/>
              </w:rPr>
              <w:t>CMI</w:t>
            </w:r>
          </w:p>
        </w:tc>
        <w:tc>
          <w:tcPr>
            <w:tcW w:w="1455" w:type="dxa"/>
            <w:vAlign w:val="center"/>
          </w:tcPr>
          <w:p w14:paraId="794532AE">
            <w:pPr>
              <w:spacing w:before="0" w:after="0" w:line="320" w:lineRule="exact"/>
              <w:jc w:val="center"/>
            </w:pPr>
            <w:r>
              <w:rPr>
                <w:rFonts w:ascii="Times New Roman" w:hAnsi="Times New Roman" w:eastAsia="宋体"/>
                <w:b/>
                <w:sz w:val="21"/>
              </w:rPr>
              <w:t>OAI</w:t>
            </w:r>
          </w:p>
        </w:tc>
        <w:tc>
          <w:tcPr>
            <w:tcW w:w="1455" w:type="dxa"/>
            <w:vAlign w:val="center"/>
          </w:tcPr>
          <w:p w14:paraId="447588DE">
            <w:pPr>
              <w:spacing w:before="0" w:after="0" w:line="320" w:lineRule="exact"/>
              <w:jc w:val="center"/>
            </w:pPr>
            <w:r>
              <w:rPr>
                <w:rFonts w:ascii="Times New Roman" w:hAnsi="Times New Roman" w:eastAsia="宋体"/>
                <w:b/>
                <w:sz w:val="21"/>
              </w:rPr>
              <w:t>THI</w:t>
            </w:r>
          </w:p>
        </w:tc>
        <w:tc>
          <w:tcPr>
            <w:tcW w:w="1455" w:type="dxa"/>
            <w:vAlign w:val="center"/>
          </w:tcPr>
          <w:p w14:paraId="11BE0EF1">
            <w:pPr>
              <w:spacing w:before="0" w:after="0" w:line="320" w:lineRule="exact"/>
              <w:jc w:val="center"/>
            </w:pPr>
            <w:r>
              <w:rPr>
                <w:rFonts w:ascii="Times New Roman" w:hAnsi="Times New Roman" w:eastAsia="宋体"/>
                <w:b/>
                <w:sz w:val="21"/>
              </w:rPr>
              <w:t>MI</w:t>
            </w:r>
          </w:p>
        </w:tc>
      </w:tr>
      <w:tr w14:paraId="6602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5548489F">
            <w:pPr>
              <w:spacing w:before="0" w:after="0" w:line="320" w:lineRule="exact"/>
              <w:jc w:val="left"/>
            </w:pPr>
            <w:r>
              <w:rPr>
                <w:rFonts w:ascii="Times New Roman" w:hAnsi="Times New Roman" w:eastAsia="宋体"/>
                <w:b w:val="0"/>
                <w:sz w:val="21"/>
              </w:rPr>
              <w:t>西樵镇松塘村</w:t>
            </w:r>
          </w:p>
        </w:tc>
        <w:tc>
          <w:tcPr>
            <w:tcW w:w="1455" w:type="dxa"/>
            <w:vAlign w:val="center"/>
          </w:tcPr>
          <w:p w14:paraId="71EAE385">
            <w:pPr>
              <w:spacing w:before="0" w:after="0" w:line="320" w:lineRule="exact"/>
              <w:jc w:val="left"/>
            </w:pPr>
            <w:r>
              <w:rPr>
                <w:rFonts w:ascii="Times New Roman" w:hAnsi="Times New Roman" w:eastAsia="宋体"/>
                <w:b w:val="0"/>
                <w:sz w:val="21"/>
              </w:rPr>
              <w:t>松塘村</w:t>
            </w:r>
          </w:p>
        </w:tc>
        <w:tc>
          <w:tcPr>
            <w:tcW w:w="1455" w:type="dxa"/>
            <w:vAlign w:val="center"/>
          </w:tcPr>
          <w:p w14:paraId="08FCB65E">
            <w:pPr>
              <w:spacing w:before="0" w:after="0" w:line="320" w:lineRule="exact"/>
              <w:jc w:val="left"/>
            </w:pPr>
            <w:r>
              <w:rPr>
                <w:rFonts w:ascii="Times New Roman" w:hAnsi="Times New Roman" w:eastAsia="宋体"/>
                <w:b w:val="0"/>
                <w:sz w:val="21"/>
              </w:rPr>
              <w:t>71.81</w:t>
            </w:r>
          </w:p>
        </w:tc>
        <w:tc>
          <w:tcPr>
            <w:tcW w:w="1455" w:type="dxa"/>
            <w:vAlign w:val="center"/>
          </w:tcPr>
          <w:p w14:paraId="25D038C8">
            <w:pPr>
              <w:spacing w:before="0" w:after="0" w:line="320" w:lineRule="exact"/>
              <w:jc w:val="left"/>
            </w:pPr>
            <w:r>
              <w:rPr>
                <w:rFonts w:ascii="Times New Roman" w:hAnsi="Times New Roman" w:eastAsia="宋体"/>
                <w:b w:val="0"/>
                <w:sz w:val="21"/>
              </w:rPr>
              <w:t>100.0</w:t>
            </w:r>
          </w:p>
        </w:tc>
        <w:tc>
          <w:tcPr>
            <w:tcW w:w="1455" w:type="dxa"/>
            <w:vAlign w:val="center"/>
          </w:tcPr>
          <w:p w14:paraId="635A005B">
            <w:pPr>
              <w:spacing w:before="0" w:after="0" w:line="320" w:lineRule="exact"/>
              <w:jc w:val="left"/>
            </w:pPr>
            <w:r>
              <w:rPr>
                <w:rFonts w:ascii="Times New Roman" w:hAnsi="Times New Roman" w:eastAsia="宋体"/>
                <w:b w:val="0"/>
                <w:sz w:val="21"/>
              </w:rPr>
              <w:t>5.73</w:t>
            </w:r>
          </w:p>
        </w:tc>
        <w:tc>
          <w:tcPr>
            <w:tcW w:w="1455" w:type="dxa"/>
            <w:vAlign w:val="center"/>
          </w:tcPr>
          <w:p w14:paraId="541EC2F8">
            <w:pPr>
              <w:spacing w:before="0" w:after="0" w:line="320" w:lineRule="exact"/>
              <w:jc w:val="left"/>
            </w:pPr>
            <w:r>
              <w:rPr>
                <w:rFonts w:ascii="Times New Roman" w:hAnsi="Times New Roman" w:eastAsia="宋体"/>
                <w:b w:val="0"/>
                <w:sz w:val="21"/>
              </w:rPr>
              <w:t>−80.17</w:t>
            </w:r>
          </w:p>
        </w:tc>
      </w:tr>
      <w:tr w14:paraId="50AD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78CD9C30">
            <w:pPr>
              <w:spacing w:before="0" w:after="0" w:line="320" w:lineRule="exact"/>
              <w:jc w:val="left"/>
            </w:pPr>
            <w:r>
              <w:rPr>
                <w:rFonts w:ascii="Times New Roman" w:hAnsi="Times New Roman" w:eastAsia="宋体"/>
                <w:b w:val="0"/>
                <w:sz w:val="21"/>
              </w:rPr>
              <w:t>九江镇烟桥烟南村</w:t>
            </w:r>
          </w:p>
        </w:tc>
        <w:tc>
          <w:tcPr>
            <w:tcW w:w="1455" w:type="dxa"/>
            <w:vAlign w:val="center"/>
          </w:tcPr>
          <w:p w14:paraId="22F2EF9B">
            <w:pPr>
              <w:spacing w:before="0" w:after="0" w:line="320" w:lineRule="exact"/>
              <w:jc w:val="left"/>
            </w:pPr>
            <w:r>
              <w:rPr>
                <w:rFonts w:ascii="Times New Roman" w:hAnsi="Times New Roman" w:eastAsia="宋体"/>
                <w:b w:val="0"/>
                <w:sz w:val="21"/>
              </w:rPr>
              <w:t>九江（无 town 字段）</w:t>
            </w:r>
          </w:p>
        </w:tc>
        <w:tc>
          <w:tcPr>
            <w:tcW w:w="1455" w:type="dxa"/>
            <w:vAlign w:val="center"/>
          </w:tcPr>
          <w:p w14:paraId="2F4CF5C3">
            <w:pPr>
              <w:spacing w:before="0" w:after="0" w:line="320" w:lineRule="exact"/>
              <w:jc w:val="left"/>
            </w:pPr>
            <w:r>
              <w:rPr>
                <w:rFonts w:ascii="Times New Roman" w:hAnsi="Times New Roman" w:eastAsia="宋体"/>
                <w:b w:val="0"/>
                <w:sz w:val="21"/>
              </w:rPr>
              <w:t>77.57</w:t>
            </w:r>
          </w:p>
        </w:tc>
        <w:tc>
          <w:tcPr>
            <w:tcW w:w="1455" w:type="dxa"/>
            <w:vAlign w:val="center"/>
          </w:tcPr>
          <w:p w14:paraId="1D8EB884">
            <w:pPr>
              <w:spacing w:before="0" w:after="0" w:line="320" w:lineRule="exact"/>
              <w:jc w:val="left"/>
            </w:pPr>
            <w:r>
              <w:rPr>
                <w:rFonts w:ascii="Times New Roman" w:hAnsi="Times New Roman" w:eastAsia="宋体"/>
                <w:b w:val="0"/>
                <w:sz w:val="21"/>
              </w:rPr>
              <w:t>100.0</w:t>
            </w:r>
          </w:p>
        </w:tc>
        <w:tc>
          <w:tcPr>
            <w:tcW w:w="1455" w:type="dxa"/>
            <w:vAlign w:val="center"/>
          </w:tcPr>
          <w:p w14:paraId="1D8E5146">
            <w:pPr>
              <w:spacing w:before="0" w:after="0" w:line="320" w:lineRule="exact"/>
              <w:jc w:val="left"/>
            </w:pPr>
            <w:r>
              <w:rPr>
                <w:rFonts w:ascii="Times New Roman" w:hAnsi="Times New Roman" w:eastAsia="宋体"/>
                <w:b w:val="0"/>
                <w:sz w:val="21"/>
              </w:rPr>
              <w:t>9.09</w:t>
            </w:r>
          </w:p>
        </w:tc>
        <w:tc>
          <w:tcPr>
            <w:tcW w:w="1455" w:type="dxa"/>
            <w:vAlign w:val="center"/>
          </w:tcPr>
          <w:p w14:paraId="7A636631">
            <w:pPr>
              <w:spacing w:before="0" w:after="0" w:line="320" w:lineRule="exact"/>
              <w:jc w:val="left"/>
            </w:pPr>
            <w:r>
              <w:rPr>
                <w:rFonts w:ascii="Times New Roman" w:hAnsi="Times New Roman" w:eastAsia="宋体"/>
                <w:b w:val="0"/>
                <w:sz w:val="21"/>
              </w:rPr>
              <w:t>−79.70</w:t>
            </w:r>
          </w:p>
        </w:tc>
      </w:tr>
      <w:tr w14:paraId="2513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442B3ED8">
            <w:pPr>
              <w:spacing w:before="0" w:after="0" w:line="320" w:lineRule="exact"/>
              <w:jc w:val="left"/>
            </w:pPr>
            <w:r>
              <w:rPr>
                <w:rFonts w:ascii="Times New Roman" w:hAnsi="Times New Roman" w:eastAsia="宋体"/>
                <w:b w:val="0"/>
                <w:sz w:val="21"/>
              </w:rPr>
              <w:t>丹灶镇仙岗社区</w:t>
            </w:r>
          </w:p>
        </w:tc>
        <w:tc>
          <w:tcPr>
            <w:tcW w:w="1455" w:type="dxa"/>
            <w:vAlign w:val="center"/>
          </w:tcPr>
          <w:p w14:paraId="062286EE">
            <w:pPr>
              <w:spacing w:before="0" w:after="0" w:line="320" w:lineRule="exact"/>
              <w:jc w:val="left"/>
            </w:pPr>
            <w:r>
              <w:rPr>
                <w:rFonts w:ascii="Times New Roman" w:hAnsi="Times New Roman" w:eastAsia="宋体"/>
                <w:b w:val="0"/>
                <w:sz w:val="21"/>
              </w:rPr>
              <w:t>仙岗社区</w:t>
            </w:r>
          </w:p>
        </w:tc>
        <w:tc>
          <w:tcPr>
            <w:tcW w:w="1455" w:type="dxa"/>
            <w:vAlign w:val="center"/>
          </w:tcPr>
          <w:p w14:paraId="64855E02">
            <w:pPr>
              <w:spacing w:before="0" w:after="0" w:line="320" w:lineRule="exact"/>
              <w:jc w:val="left"/>
            </w:pPr>
            <w:r>
              <w:rPr>
                <w:rFonts w:ascii="Times New Roman" w:hAnsi="Times New Roman" w:eastAsia="宋体"/>
                <w:b w:val="0"/>
                <w:sz w:val="21"/>
              </w:rPr>
              <w:t>57.28</w:t>
            </w:r>
          </w:p>
        </w:tc>
        <w:tc>
          <w:tcPr>
            <w:tcW w:w="1455" w:type="dxa"/>
            <w:vAlign w:val="center"/>
          </w:tcPr>
          <w:p w14:paraId="028BF834">
            <w:pPr>
              <w:spacing w:before="0" w:after="0" w:line="320" w:lineRule="exact"/>
              <w:jc w:val="left"/>
            </w:pPr>
            <w:r>
              <w:rPr>
                <w:rFonts w:ascii="Times New Roman" w:hAnsi="Times New Roman" w:eastAsia="宋体"/>
                <w:b w:val="0"/>
                <w:sz w:val="21"/>
              </w:rPr>
              <w:t>100.0</w:t>
            </w:r>
          </w:p>
        </w:tc>
        <w:tc>
          <w:tcPr>
            <w:tcW w:w="1455" w:type="dxa"/>
            <w:vAlign w:val="center"/>
          </w:tcPr>
          <w:p w14:paraId="7A5F9700">
            <w:pPr>
              <w:spacing w:before="0" w:after="0" w:line="320" w:lineRule="exact"/>
              <w:jc w:val="left"/>
            </w:pPr>
            <w:r>
              <w:rPr>
                <w:rFonts w:ascii="Times New Roman" w:hAnsi="Times New Roman" w:eastAsia="宋体"/>
                <w:b w:val="0"/>
                <w:sz w:val="21"/>
              </w:rPr>
              <w:t>5.73</w:t>
            </w:r>
          </w:p>
        </w:tc>
        <w:tc>
          <w:tcPr>
            <w:tcW w:w="1455" w:type="dxa"/>
            <w:vAlign w:val="center"/>
          </w:tcPr>
          <w:p w14:paraId="5100C80C">
            <w:pPr>
              <w:spacing w:before="0" w:after="0" w:line="320" w:lineRule="exact"/>
              <w:jc w:val="left"/>
            </w:pPr>
            <w:r>
              <w:rPr>
                <w:rFonts w:ascii="Times New Roman" w:hAnsi="Times New Roman" w:eastAsia="宋体"/>
                <w:b w:val="0"/>
                <w:sz w:val="21"/>
              </w:rPr>
              <w:t>−72.91</w:t>
            </w:r>
          </w:p>
        </w:tc>
      </w:tr>
      <w:tr w14:paraId="3F81A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68A52BDE">
            <w:pPr>
              <w:spacing w:before="0" w:after="0" w:line="320" w:lineRule="exact"/>
              <w:jc w:val="left"/>
            </w:pPr>
            <w:r>
              <w:rPr>
                <w:rFonts w:ascii="Times New Roman" w:hAnsi="Times New Roman" w:eastAsia="宋体"/>
                <w:b w:val="0"/>
                <w:sz w:val="21"/>
              </w:rPr>
              <w:t>西樵山仙姑亭</w:t>
            </w:r>
          </w:p>
        </w:tc>
        <w:tc>
          <w:tcPr>
            <w:tcW w:w="1455" w:type="dxa"/>
            <w:vAlign w:val="center"/>
          </w:tcPr>
          <w:p w14:paraId="1E8E46C4">
            <w:pPr>
              <w:spacing w:before="0" w:after="0" w:line="320" w:lineRule="exact"/>
              <w:jc w:val="left"/>
            </w:pPr>
            <w:r>
              <w:rPr>
                <w:rFonts w:ascii="Times New Roman" w:hAnsi="Times New Roman" w:eastAsia="宋体"/>
                <w:b w:val="0"/>
                <w:sz w:val="21"/>
              </w:rPr>
              <w:t>西樵（无 town 字段）</w:t>
            </w:r>
          </w:p>
        </w:tc>
        <w:tc>
          <w:tcPr>
            <w:tcW w:w="1455" w:type="dxa"/>
            <w:vAlign w:val="center"/>
          </w:tcPr>
          <w:p w14:paraId="6F661C7D">
            <w:pPr>
              <w:spacing w:before="0" w:after="0" w:line="320" w:lineRule="exact"/>
              <w:jc w:val="left"/>
            </w:pPr>
            <w:r>
              <w:rPr>
                <w:rFonts w:ascii="Times New Roman" w:hAnsi="Times New Roman" w:eastAsia="宋体"/>
                <w:b w:val="0"/>
                <w:sz w:val="21"/>
              </w:rPr>
              <w:t>91.60</w:t>
            </w:r>
          </w:p>
        </w:tc>
        <w:tc>
          <w:tcPr>
            <w:tcW w:w="1455" w:type="dxa"/>
            <w:vAlign w:val="center"/>
          </w:tcPr>
          <w:p w14:paraId="7B855665">
            <w:pPr>
              <w:spacing w:before="0" w:after="0" w:line="320" w:lineRule="exact"/>
              <w:jc w:val="left"/>
            </w:pPr>
            <w:r>
              <w:rPr>
                <w:rFonts w:ascii="Times New Roman" w:hAnsi="Times New Roman" w:eastAsia="宋体"/>
                <w:b w:val="0"/>
                <w:sz w:val="21"/>
              </w:rPr>
              <w:t>50.0</w:t>
            </w:r>
          </w:p>
        </w:tc>
        <w:tc>
          <w:tcPr>
            <w:tcW w:w="1455" w:type="dxa"/>
            <w:vAlign w:val="center"/>
          </w:tcPr>
          <w:p w14:paraId="3C22EC7E">
            <w:pPr>
              <w:spacing w:before="0" w:after="0" w:line="320" w:lineRule="exact"/>
              <w:jc w:val="left"/>
            </w:pPr>
            <w:r>
              <w:rPr>
                <w:rFonts w:ascii="Times New Roman" w:hAnsi="Times New Roman" w:eastAsia="宋体"/>
                <w:b w:val="0"/>
                <w:sz w:val="21"/>
              </w:rPr>
              <w:t>0.00</w:t>
            </w:r>
          </w:p>
        </w:tc>
        <w:tc>
          <w:tcPr>
            <w:tcW w:w="1455" w:type="dxa"/>
            <w:vAlign w:val="center"/>
          </w:tcPr>
          <w:p w14:paraId="5FE882DA">
            <w:pPr>
              <w:spacing w:before="0" w:after="0" w:line="320" w:lineRule="exact"/>
              <w:jc w:val="left"/>
            </w:pPr>
            <w:r>
              <w:rPr>
                <w:rFonts w:ascii="Times New Roman" w:hAnsi="Times New Roman" w:eastAsia="宋体"/>
                <w:b w:val="0"/>
                <w:sz w:val="21"/>
              </w:rPr>
              <w:t>−70.80</w:t>
            </w:r>
          </w:p>
        </w:tc>
      </w:tr>
      <w:tr w14:paraId="7E17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504BEC3E">
            <w:pPr>
              <w:spacing w:before="0" w:after="0" w:line="320" w:lineRule="exact"/>
              <w:jc w:val="left"/>
            </w:pPr>
            <w:r>
              <w:rPr>
                <w:rFonts w:ascii="Times New Roman" w:hAnsi="Times New Roman" w:eastAsia="宋体"/>
                <w:b w:val="0"/>
                <w:sz w:val="21"/>
              </w:rPr>
              <w:t>九江镇烟桥村</w:t>
            </w:r>
          </w:p>
        </w:tc>
        <w:tc>
          <w:tcPr>
            <w:tcW w:w="1455" w:type="dxa"/>
            <w:vAlign w:val="center"/>
          </w:tcPr>
          <w:p w14:paraId="55ABB9F6">
            <w:pPr>
              <w:spacing w:before="0" w:after="0" w:line="320" w:lineRule="exact"/>
              <w:jc w:val="left"/>
            </w:pPr>
            <w:r>
              <w:rPr>
                <w:rFonts w:ascii="Times New Roman" w:hAnsi="Times New Roman" w:eastAsia="宋体"/>
                <w:b w:val="0"/>
                <w:sz w:val="21"/>
              </w:rPr>
              <w:t>九江（无 town 字段）</w:t>
            </w:r>
          </w:p>
        </w:tc>
        <w:tc>
          <w:tcPr>
            <w:tcW w:w="1455" w:type="dxa"/>
            <w:vAlign w:val="center"/>
          </w:tcPr>
          <w:p w14:paraId="5C7784C1">
            <w:pPr>
              <w:spacing w:before="0" w:after="0" w:line="320" w:lineRule="exact"/>
              <w:jc w:val="left"/>
            </w:pPr>
            <w:r>
              <w:rPr>
                <w:rFonts w:ascii="Times New Roman" w:hAnsi="Times New Roman" w:eastAsia="宋体"/>
                <w:b w:val="0"/>
                <w:sz w:val="21"/>
              </w:rPr>
              <w:t>77.76</w:t>
            </w:r>
          </w:p>
        </w:tc>
        <w:tc>
          <w:tcPr>
            <w:tcW w:w="1455" w:type="dxa"/>
            <w:vAlign w:val="center"/>
          </w:tcPr>
          <w:p w14:paraId="7D00AB9F">
            <w:pPr>
              <w:spacing w:before="0" w:after="0" w:line="320" w:lineRule="exact"/>
              <w:jc w:val="left"/>
            </w:pPr>
            <w:r>
              <w:rPr>
                <w:rFonts w:ascii="Times New Roman" w:hAnsi="Times New Roman" w:eastAsia="宋体"/>
                <w:b w:val="0"/>
                <w:sz w:val="21"/>
              </w:rPr>
              <w:t>75.0</w:t>
            </w:r>
          </w:p>
        </w:tc>
        <w:tc>
          <w:tcPr>
            <w:tcW w:w="1455" w:type="dxa"/>
            <w:vAlign w:val="center"/>
          </w:tcPr>
          <w:p w14:paraId="7D44DE80">
            <w:pPr>
              <w:spacing w:before="0" w:after="0" w:line="320" w:lineRule="exact"/>
              <w:jc w:val="left"/>
            </w:pPr>
            <w:r>
              <w:rPr>
                <w:rFonts w:ascii="Times New Roman" w:hAnsi="Times New Roman" w:eastAsia="宋体"/>
                <w:b w:val="0"/>
                <w:sz w:val="21"/>
              </w:rPr>
              <w:t>9.09</w:t>
            </w:r>
          </w:p>
        </w:tc>
        <w:tc>
          <w:tcPr>
            <w:tcW w:w="1455" w:type="dxa"/>
            <w:vAlign w:val="center"/>
          </w:tcPr>
          <w:p w14:paraId="172DDC41">
            <w:pPr>
              <w:spacing w:before="0" w:after="0" w:line="320" w:lineRule="exact"/>
              <w:jc w:val="left"/>
            </w:pPr>
            <w:r>
              <w:rPr>
                <w:rFonts w:ascii="Times New Roman" w:hAnsi="Times New Roman" w:eastAsia="宋体"/>
                <w:b w:val="0"/>
                <w:sz w:val="21"/>
              </w:rPr>
              <w:t>−67.29</w:t>
            </w:r>
          </w:p>
        </w:tc>
      </w:tr>
      <w:tr w14:paraId="57F8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5D8F9FB4">
            <w:pPr>
              <w:spacing w:before="0" w:after="0" w:line="320" w:lineRule="exact"/>
              <w:jc w:val="left"/>
            </w:pPr>
            <w:r>
              <w:rPr>
                <w:rFonts w:ascii="Times New Roman" w:hAnsi="Times New Roman" w:eastAsia="宋体"/>
                <w:b w:val="0"/>
                <w:sz w:val="21"/>
              </w:rPr>
              <w:t>丹灶镇南沙棋盘村</w:t>
            </w:r>
          </w:p>
        </w:tc>
        <w:tc>
          <w:tcPr>
            <w:tcW w:w="1455" w:type="dxa"/>
            <w:vAlign w:val="center"/>
          </w:tcPr>
          <w:p w14:paraId="0DD3566B">
            <w:pPr>
              <w:spacing w:before="0" w:after="0" w:line="320" w:lineRule="exact"/>
              <w:jc w:val="left"/>
            </w:pPr>
            <w:r>
              <w:rPr>
                <w:rFonts w:ascii="Times New Roman" w:hAnsi="Times New Roman" w:eastAsia="宋体"/>
                <w:b w:val="0"/>
                <w:sz w:val="21"/>
              </w:rPr>
              <w:t>棋盘村</w:t>
            </w:r>
          </w:p>
        </w:tc>
        <w:tc>
          <w:tcPr>
            <w:tcW w:w="1455" w:type="dxa"/>
            <w:vAlign w:val="center"/>
          </w:tcPr>
          <w:p w14:paraId="42C71A7B">
            <w:pPr>
              <w:spacing w:before="0" w:after="0" w:line="320" w:lineRule="exact"/>
              <w:jc w:val="left"/>
            </w:pPr>
            <w:r>
              <w:rPr>
                <w:rFonts w:ascii="Times New Roman" w:hAnsi="Times New Roman" w:eastAsia="宋体"/>
                <w:b w:val="0"/>
                <w:sz w:val="21"/>
              </w:rPr>
              <w:t>58.47</w:t>
            </w:r>
          </w:p>
        </w:tc>
        <w:tc>
          <w:tcPr>
            <w:tcW w:w="1455" w:type="dxa"/>
            <w:vAlign w:val="center"/>
          </w:tcPr>
          <w:p w14:paraId="36AAFE2E">
            <w:pPr>
              <w:spacing w:before="0" w:after="0" w:line="320" w:lineRule="exact"/>
              <w:jc w:val="left"/>
            </w:pPr>
            <w:r>
              <w:rPr>
                <w:rFonts w:ascii="Times New Roman" w:hAnsi="Times New Roman" w:eastAsia="宋体"/>
                <w:b w:val="0"/>
                <w:sz w:val="21"/>
              </w:rPr>
              <w:t>75.0</w:t>
            </w:r>
          </w:p>
        </w:tc>
        <w:tc>
          <w:tcPr>
            <w:tcW w:w="1455" w:type="dxa"/>
            <w:vAlign w:val="center"/>
          </w:tcPr>
          <w:p w14:paraId="04778193">
            <w:pPr>
              <w:spacing w:before="0" w:after="0" w:line="320" w:lineRule="exact"/>
              <w:jc w:val="left"/>
            </w:pPr>
            <w:r>
              <w:rPr>
                <w:rFonts w:ascii="Times New Roman" w:hAnsi="Times New Roman" w:eastAsia="宋体"/>
                <w:b w:val="0"/>
                <w:sz w:val="21"/>
              </w:rPr>
              <w:t>0.00</w:t>
            </w:r>
          </w:p>
        </w:tc>
        <w:tc>
          <w:tcPr>
            <w:tcW w:w="1455" w:type="dxa"/>
            <w:vAlign w:val="center"/>
          </w:tcPr>
          <w:p w14:paraId="439FAE4A">
            <w:pPr>
              <w:spacing w:before="0" w:after="0" w:line="320" w:lineRule="exact"/>
              <w:jc w:val="left"/>
            </w:pPr>
            <w:r>
              <w:rPr>
                <w:rFonts w:ascii="Times New Roman" w:hAnsi="Times New Roman" w:eastAsia="宋体"/>
                <w:b w:val="0"/>
                <w:sz w:val="21"/>
              </w:rPr>
              <w:t>−66.74</w:t>
            </w:r>
          </w:p>
        </w:tc>
      </w:tr>
      <w:tr w14:paraId="7D80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19200A55">
            <w:pPr>
              <w:spacing w:before="0" w:after="0" w:line="320" w:lineRule="exact"/>
              <w:jc w:val="left"/>
            </w:pPr>
            <w:r>
              <w:rPr>
                <w:rFonts w:ascii="Times New Roman" w:hAnsi="Times New Roman" w:eastAsia="宋体"/>
                <w:b w:val="0"/>
                <w:sz w:val="21"/>
              </w:rPr>
              <w:t>丹灶镇棋盘村</w:t>
            </w:r>
          </w:p>
        </w:tc>
        <w:tc>
          <w:tcPr>
            <w:tcW w:w="1455" w:type="dxa"/>
            <w:vAlign w:val="center"/>
          </w:tcPr>
          <w:p w14:paraId="79D703E4">
            <w:pPr>
              <w:spacing w:before="0" w:after="0" w:line="320" w:lineRule="exact"/>
              <w:jc w:val="left"/>
            </w:pPr>
            <w:r>
              <w:rPr>
                <w:rFonts w:ascii="Times New Roman" w:hAnsi="Times New Roman" w:eastAsia="宋体"/>
                <w:b w:val="0"/>
                <w:sz w:val="21"/>
              </w:rPr>
              <w:t>棋盘村（无 town 字段）</w:t>
            </w:r>
          </w:p>
        </w:tc>
        <w:tc>
          <w:tcPr>
            <w:tcW w:w="1455" w:type="dxa"/>
            <w:vAlign w:val="center"/>
          </w:tcPr>
          <w:p w14:paraId="023A199A">
            <w:pPr>
              <w:spacing w:before="0" w:after="0" w:line="320" w:lineRule="exact"/>
              <w:jc w:val="left"/>
            </w:pPr>
            <w:r>
              <w:rPr>
                <w:rFonts w:ascii="Times New Roman" w:hAnsi="Times New Roman" w:eastAsia="宋体"/>
                <w:b w:val="0"/>
                <w:sz w:val="21"/>
              </w:rPr>
              <w:t>58.09</w:t>
            </w:r>
          </w:p>
        </w:tc>
        <w:tc>
          <w:tcPr>
            <w:tcW w:w="1455" w:type="dxa"/>
            <w:vAlign w:val="center"/>
          </w:tcPr>
          <w:p w14:paraId="5A6D9604">
            <w:pPr>
              <w:spacing w:before="0" w:after="0" w:line="320" w:lineRule="exact"/>
              <w:jc w:val="left"/>
            </w:pPr>
            <w:r>
              <w:rPr>
                <w:rFonts w:ascii="Times New Roman" w:hAnsi="Times New Roman" w:eastAsia="宋体"/>
                <w:b w:val="0"/>
                <w:sz w:val="21"/>
              </w:rPr>
              <w:t>75.0</w:t>
            </w:r>
          </w:p>
        </w:tc>
        <w:tc>
          <w:tcPr>
            <w:tcW w:w="1455" w:type="dxa"/>
            <w:vAlign w:val="center"/>
          </w:tcPr>
          <w:p w14:paraId="2150B324">
            <w:pPr>
              <w:spacing w:before="0" w:after="0" w:line="320" w:lineRule="exact"/>
              <w:jc w:val="left"/>
            </w:pPr>
            <w:r>
              <w:rPr>
                <w:rFonts w:ascii="Times New Roman" w:hAnsi="Times New Roman" w:eastAsia="宋体"/>
                <w:b w:val="0"/>
                <w:sz w:val="21"/>
              </w:rPr>
              <w:t>0.00</w:t>
            </w:r>
          </w:p>
        </w:tc>
        <w:tc>
          <w:tcPr>
            <w:tcW w:w="1455" w:type="dxa"/>
            <w:vAlign w:val="center"/>
          </w:tcPr>
          <w:p w14:paraId="1DDB8E25">
            <w:pPr>
              <w:spacing w:before="0" w:after="0" w:line="320" w:lineRule="exact"/>
              <w:jc w:val="left"/>
            </w:pPr>
            <w:r>
              <w:rPr>
                <w:rFonts w:ascii="Times New Roman" w:hAnsi="Times New Roman" w:eastAsia="宋体"/>
                <w:b w:val="0"/>
                <w:sz w:val="21"/>
              </w:rPr>
              <w:t>−66.54</w:t>
            </w:r>
          </w:p>
        </w:tc>
      </w:tr>
      <w:tr w14:paraId="5E48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D37E296">
            <w:pPr>
              <w:spacing w:before="0" w:after="0" w:line="320" w:lineRule="exact"/>
              <w:jc w:val="left"/>
            </w:pPr>
            <w:r>
              <w:rPr>
                <w:rFonts w:ascii="Times New Roman" w:hAnsi="Times New Roman" w:eastAsia="宋体"/>
                <w:b w:val="0"/>
                <w:sz w:val="21"/>
              </w:rPr>
              <w:t>西樵镇百西村头村</w:t>
            </w:r>
          </w:p>
        </w:tc>
        <w:tc>
          <w:tcPr>
            <w:tcW w:w="1455" w:type="dxa"/>
            <w:vAlign w:val="center"/>
          </w:tcPr>
          <w:p w14:paraId="171DC270">
            <w:pPr>
              <w:spacing w:before="0" w:after="0" w:line="320" w:lineRule="exact"/>
              <w:jc w:val="left"/>
            </w:pPr>
            <w:r>
              <w:rPr>
                <w:rFonts w:ascii="Times New Roman" w:hAnsi="Times New Roman" w:eastAsia="宋体"/>
                <w:b w:val="0"/>
                <w:sz w:val="21"/>
              </w:rPr>
              <w:t>村头村</w:t>
            </w:r>
          </w:p>
        </w:tc>
        <w:tc>
          <w:tcPr>
            <w:tcW w:w="1455" w:type="dxa"/>
            <w:vAlign w:val="center"/>
          </w:tcPr>
          <w:p w14:paraId="5E946C12">
            <w:pPr>
              <w:spacing w:before="0" w:after="0" w:line="320" w:lineRule="exact"/>
              <w:jc w:val="left"/>
            </w:pPr>
            <w:r>
              <w:rPr>
                <w:rFonts w:ascii="Times New Roman" w:hAnsi="Times New Roman" w:eastAsia="宋体"/>
                <w:b w:val="0"/>
                <w:sz w:val="21"/>
              </w:rPr>
              <w:t>69.39</w:t>
            </w:r>
          </w:p>
        </w:tc>
        <w:tc>
          <w:tcPr>
            <w:tcW w:w="1455" w:type="dxa"/>
            <w:vAlign w:val="center"/>
          </w:tcPr>
          <w:p w14:paraId="021EBDCE">
            <w:pPr>
              <w:spacing w:before="0" w:after="0" w:line="320" w:lineRule="exact"/>
              <w:jc w:val="left"/>
            </w:pPr>
            <w:r>
              <w:rPr>
                <w:rFonts w:ascii="Times New Roman" w:hAnsi="Times New Roman" w:eastAsia="宋体"/>
                <w:b w:val="0"/>
                <w:sz w:val="21"/>
              </w:rPr>
              <w:t>75.0</w:t>
            </w:r>
          </w:p>
        </w:tc>
        <w:tc>
          <w:tcPr>
            <w:tcW w:w="1455" w:type="dxa"/>
            <w:vAlign w:val="center"/>
          </w:tcPr>
          <w:p w14:paraId="1B8FF492">
            <w:pPr>
              <w:spacing w:before="0" w:after="0" w:line="320" w:lineRule="exact"/>
              <w:jc w:val="left"/>
            </w:pPr>
            <w:r>
              <w:rPr>
                <w:rFonts w:ascii="Times New Roman" w:hAnsi="Times New Roman" w:eastAsia="宋体"/>
                <w:b w:val="0"/>
                <w:sz w:val="21"/>
              </w:rPr>
              <w:t>9.09</w:t>
            </w:r>
          </w:p>
        </w:tc>
        <w:tc>
          <w:tcPr>
            <w:tcW w:w="1455" w:type="dxa"/>
            <w:vAlign w:val="center"/>
          </w:tcPr>
          <w:p w14:paraId="1502324C">
            <w:pPr>
              <w:spacing w:before="0" w:after="0" w:line="320" w:lineRule="exact"/>
              <w:jc w:val="left"/>
            </w:pPr>
            <w:r>
              <w:rPr>
                <w:rFonts w:ascii="Times New Roman" w:hAnsi="Times New Roman" w:eastAsia="宋体"/>
                <w:b w:val="0"/>
                <w:sz w:val="21"/>
              </w:rPr>
              <w:t>−63.11</w:t>
            </w:r>
          </w:p>
        </w:tc>
      </w:tr>
      <w:tr w14:paraId="6A9A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67F8B610">
            <w:pPr>
              <w:spacing w:before="0" w:after="0" w:line="320" w:lineRule="exact"/>
              <w:jc w:val="left"/>
            </w:pPr>
            <w:r>
              <w:rPr>
                <w:rFonts w:ascii="Times New Roman" w:hAnsi="Times New Roman" w:eastAsia="宋体"/>
                <w:b w:val="0"/>
                <w:sz w:val="21"/>
              </w:rPr>
              <w:t>丹灶镇仙岗村</w:t>
            </w:r>
          </w:p>
        </w:tc>
        <w:tc>
          <w:tcPr>
            <w:tcW w:w="1455" w:type="dxa"/>
            <w:vAlign w:val="center"/>
          </w:tcPr>
          <w:p w14:paraId="5301AD5F">
            <w:pPr>
              <w:spacing w:before="0" w:after="0" w:line="320" w:lineRule="exact"/>
              <w:jc w:val="left"/>
            </w:pPr>
            <w:r>
              <w:rPr>
                <w:rFonts w:ascii="Times New Roman" w:hAnsi="Times New Roman" w:eastAsia="宋体"/>
                <w:b w:val="0"/>
                <w:sz w:val="21"/>
              </w:rPr>
              <w:t>仙岗村</w:t>
            </w:r>
          </w:p>
        </w:tc>
        <w:tc>
          <w:tcPr>
            <w:tcW w:w="1455" w:type="dxa"/>
            <w:vAlign w:val="center"/>
          </w:tcPr>
          <w:p w14:paraId="5ADDFCE3">
            <w:pPr>
              <w:spacing w:before="0" w:after="0" w:line="320" w:lineRule="exact"/>
              <w:jc w:val="left"/>
            </w:pPr>
            <w:r>
              <w:rPr>
                <w:rFonts w:ascii="Times New Roman" w:hAnsi="Times New Roman" w:eastAsia="宋体"/>
                <w:b w:val="0"/>
                <w:sz w:val="21"/>
              </w:rPr>
              <w:t>57.69</w:t>
            </w:r>
          </w:p>
        </w:tc>
        <w:tc>
          <w:tcPr>
            <w:tcW w:w="1455" w:type="dxa"/>
            <w:vAlign w:val="center"/>
          </w:tcPr>
          <w:p w14:paraId="3A07901D">
            <w:pPr>
              <w:spacing w:before="0" w:after="0" w:line="320" w:lineRule="exact"/>
              <w:jc w:val="left"/>
            </w:pPr>
            <w:r>
              <w:rPr>
                <w:rFonts w:ascii="Times New Roman" w:hAnsi="Times New Roman" w:eastAsia="宋体"/>
                <w:b w:val="0"/>
                <w:sz w:val="21"/>
              </w:rPr>
              <w:t>75.0</w:t>
            </w:r>
          </w:p>
        </w:tc>
        <w:tc>
          <w:tcPr>
            <w:tcW w:w="1455" w:type="dxa"/>
            <w:vAlign w:val="center"/>
          </w:tcPr>
          <w:p w14:paraId="6F4561AC">
            <w:pPr>
              <w:spacing w:before="0" w:after="0" w:line="320" w:lineRule="exact"/>
              <w:jc w:val="left"/>
            </w:pPr>
            <w:r>
              <w:rPr>
                <w:rFonts w:ascii="Times New Roman" w:hAnsi="Times New Roman" w:eastAsia="宋体"/>
                <w:b w:val="0"/>
                <w:sz w:val="21"/>
              </w:rPr>
              <w:t>5.73</w:t>
            </w:r>
          </w:p>
        </w:tc>
        <w:tc>
          <w:tcPr>
            <w:tcW w:w="1455" w:type="dxa"/>
            <w:vAlign w:val="center"/>
          </w:tcPr>
          <w:p w14:paraId="6790105A">
            <w:pPr>
              <w:spacing w:before="0" w:after="0" w:line="320" w:lineRule="exact"/>
              <w:jc w:val="left"/>
            </w:pPr>
            <w:r>
              <w:rPr>
                <w:rFonts w:ascii="Times New Roman" w:hAnsi="Times New Roman" w:eastAsia="宋体"/>
                <w:b w:val="0"/>
                <w:sz w:val="21"/>
              </w:rPr>
              <w:t>−60.61</w:t>
            </w:r>
          </w:p>
        </w:tc>
      </w:tr>
      <w:tr w14:paraId="42E4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6C891685">
            <w:pPr>
              <w:spacing w:before="0" w:after="0" w:line="320" w:lineRule="exact"/>
              <w:jc w:val="left"/>
            </w:pPr>
            <w:r>
              <w:rPr>
                <w:rFonts w:ascii="Times New Roman" w:hAnsi="Times New Roman" w:eastAsia="宋体"/>
                <w:b w:val="0"/>
                <w:sz w:val="21"/>
              </w:rPr>
              <w:t>南海竹编</w:t>
            </w:r>
          </w:p>
        </w:tc>
        <w:tc>
          <w:tcPr>
            <w:tcW w:w="1455" w:type="dxa"/>
            <w:vAlign w:val="center"/>
          </w:tcPr>
          <w:p w14:paraId="6690BD48">
            <w:pPr>
              <w:spacing w:before="0" w:after="0" w:line="320" w:lineRule="exact"/>
              <w:jc w:val="left"/>
            </w:pPr>
            <w:r>
              <w:rPr>
                <w:rFonts w:ascii="Times New Roman" w:hAnsi="Times New Roman" w:eastAsia="宋体"/>
                <w:b w:val="0"/>
                <w:sz w:val="21"/>
              </w:rPr>
              <w:t>西樵镇</w:t>
            </w:r>
          </w:p>
        </w:tc>
        <w:tc>
          <w:tcPr>
            <w:tcW w:w="1455" w:type="dxa"/>
            <w:vAlign w:val="center"/>
          </w:tcPr>
          <w:p w14:paraId="127E29AC">
            <w:pPr>
              <w:spacing w:before="0" w:after="0" w:line="320" w:lineRule="exact"/>
              <w:jc w:val="left"/>
            </w:pPr>
            <w:r>
              <w:rPr>
                <w:rFonts w:ascii="Times New Roman" w:hAnsi="Times New Roman" w:eastAsia="宋体"/>
                <w:b w:val="0"/>
                <w:sz w:val="21"/>
              </w:rPr>
              <w:t>69.39</w:t>
            </w:r>
          </w:p>
        </w:tc>
        <w:tc>
          <w:tcPr>
            <w:tcW w:w="1455" w:type="dxa"/>
            <w:vAlign w:val="center"/>
          </w:tcPr>
          <w:p w14:paraId="22424202">
            <w:pPr>
              <w:spacing w:before="0" w:after="0" w:line="320" w:lineRule="exact"/>
              <w:jc w:val="left"/>
            </w:pPr>
            <w:r>
              <w:rPr>
                <w:rFonts w:ascii="Times New Roman" w:hAnsi="Times New Roman" w:eastAsia="宋体"/>
                <w:b w:val="0"/>
                <w:sz w:val="21"/>
              </w:rPr>
              <w:t>50.0</w:t>
            </w:r>
          </w:p>
        </w:tc>
        <w:tc>
          <w:tcPr>
            <w:tcW w:w="1455" w:type="dxa"/>
            <w:vAlign w:val="center"/>
          </w:tcPr>
          <w:p w14:paraId="0F9867F5">
            <w:pPr>
              <w:spacing w:before="0" w:after="0" w:line="320" w:lineRule="exact"/>
              <w:jc w:val="left"/>
            </w:pPr>
            <w:r>
              <w:rPr>
                <w:rFonts w:ascii="Times New Roman" w:hAnsi="Times New Roman" w:eastAsia="宋体"/>
                <w:b w:val="0"/>
                <w:sz w:val="21"/>
              </w:rPr>
              <w:t>0.00</w:t>
            </w:r>
          </w:p>
        </w:tc>
        <w:tc>
          <w:tcPr>
            <w:tcW w:w="1455" w:type="dxa"/>
            <w:vAlign w:val="center"/>
          </w:tcPr>
          <w:p w14:paraId="0B4BD705">
            <w:pPr>
              <w:spacing w:before="0" w:after="0" w:line="320" w:lineRule="exact"/>
              <w:jc w:val="left"/>
            </w:pPr>
            <w:r>
              <w:rPr>
                <w:rFonts w:ascii="Times New Roman" w:hAnsi="Times New Roman" w:eastAsia="宋体"/>
                <w:b w:val="0"/>
                <w:sz w:val="21"/>
              </w:rPr>
              <w:t>−59.70</w:t>
            </w:r>
          </w:p>
        </w:tc>
      </w:tr>
    </w:tbl>
    <w:p w14:paraId="70CA4509">
      <w:pPr>
        <w:spacing w:before="40" w:after="0" w:line="400" w:lineRule="exact"/>
        <w:jc w:val="center"/>
        <w:outlineLvl w:val="1"/>
      </w:pPr>
      <w:bookmarkStart w:id="101" w:name="_Toc19688"/>
      <w:r>
        <w:rPr>
          <w:rFonts w:ascii="Times New Roman" w:hAnsi="Times New Roman" w:eastAsia="宋体"/>
          <w:b/>
          <w:sz w:val="24"/>
        </w:rPr>
        <w:t>C.2 空心景点区（MI 最正 Top 10）</w:t>
      </w:r>
      <w:bookmarkEnd w:id="101"/>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55"/>
        <w:gridCol w:w="1455"/>
        <w:gridCol w:w="1455"/>
        <w:gridCol w:w="1455"/>
        <w:gridCol w:w="1455"/>
        <w:gridCol w:w="1455"/>
      </w:tblGrid>
      <w:tr w14:paraId="0A60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182BBEDA">
            <w:pPr>
              <w:spacing w:before="0" w:after="0" w:line="320" w:lineRule="exact"/>
              <w:jc w:val="center"/>
            </w:pPr>
            <w:r>
              <w:rPr>
                <w:rFonts w:ascii="Times New Roman" w:hAnsi="Times New Roman" w:eastAsia="宋体"/>
                <w:b/>
                <w:sz w:val="21"/>
              </w:rPr>
              <w:t>名称</w:t>
            </w:r>
          </w:p>
        </w:tc>
        <w:tc>
          <w:tcPr>
            <w:tcW w:w="1455" w:type="dxa"/>
            <w:vAlign w:val="center"/>
          </w:tcPr>
          <w:p w14:paraId="307951E6">
            <w:pPr>
              <w:spacing w:before="0" w:after="0" w:line="320" w:lineRule="exact"/>
              <w:jc w:val="center"/>
            </w:pPr>
            <w:r>
              <w:rPr>
                <w:rFonts w:ascii="Times New Roman" w:hAnsi="Times New Roman" w:eastAsia="宋体"/>
                <w:b/>
                <w:sz w:val="21"/>
              </w:rPr>
              <w:t>镇街</w:t>
            </w:r>
          </w:p>
        </w:tc>
        <w:tc>
          <w:tcPr>
            <w:tcW w:w="1455" w:type="dxa"/>
            <w:vAlign w:val="center"/>
          </w:tcPr>
          <w:p w14:paraId="552BCB64">
            <w:pPr>
              <w:spacing w:before="0" w:after="0" w:line="320" w:lineRule="exact"/>
              <w:jc w:val="center"/>
            </w:pPr>
            <w:r>
              <w:rPr>
                <w:rFonts w:ascii="Times New Roman" w:hAnsi="Times New Roman" w:eastAsia="宋体"/>
                <w:b/>
                <w:sz w:val="21"/>
              </w:rPr>
              <w:t>CMI</w:t>
            </w:r>
          </w:p>
        </w:tc>
        <w:tc>
          <w:tcPr>
            <w:tcW w:w="1455" w:type="dxa"/>
            <w:vAlign w:val="center"/>
          </w:tcPr>
          <w:p w14:paraId="7613470B">
            <w:pPr>
              <w:spacing w:before="0" w:after="0" w:line="320" w:lineRule="exact"/>
              <w:jc w:val="center"/>
            </w:pPr>
            <w:r>
              <w:rPr>
                <w:rFonts w:ascii="Times New Roman" w:hAnsi="Times New Roman" w:eastAsia="宋体"/>
                <w:b/>
                <w:sz w:val="21"/>
              </w:rPr>
              <w:t>OAI</w:t>
            </w:r>
          </w:p>
        </w:tc>
        <w:tc>
          <w:tcPr>
            <w:tcW w:w="1455" w:type="dxa"/>
            <w:vAlign w:val="center"/>
          </w:tcPr>
          <w:p w14:paraId="736A9108">
            <w:pPr>
              <w:spacing w:before="0" w:after="0" w:line="320" w:lineRule="exact"/>
              <w:jc w:val="center"/>
            </w:pPr>
            <w:r>
              <w:rPr>
                <w:rFonts w:ascii="Times New Roman" w:hAnsi="Times New Roman" w:eastAsia="宋体"/>
                <w:b/>
                <w:sz w:val="21"/>
              </w:rPr>
              <w:t>THI</w:t>
            </w:r>
          </w:p>
        </w:tc>
        <w:tc>
          <w:tcPr>
            <w:tcW w:w="1455" w:type="dxa"/>
            <w:vAlign w:val="center"/>
          </w:tcPr>
          <w:p w14:paraId="3CA9556C">
            <w:pPr>
              <w:spacing w:before="0" w:after="0" w:line="320" w:lineRule="exact"/>
              <w:jc w:val="center"/>
            </w:pPr>
            <w:r>
              <w:rPr>
                <w:rFonts w:ascii="Times New Roman" w:hAnsi="Times New Roman" w:eastAsia="宋体"/>
                <w:b/>
                <w:sz w:val="21"/>
              </w:rPr>
              <w:t>MI</w:t>
            </w:r>
          </w:p>
        </w:tc>
      </w:tr>
      <w:tr w14:paraId="52C0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3748301">
            <w:pPr>
              <w:spacing w:before="0" w:after="0" w:line="320" w:lineRule="exact"/>
              <w:jc w:val="left"/>
            </w:pPr>
            <w:r>
              <w:rPr>
                <w:rFonts w:ascii="Times New Roman" w:hAnsi="Times New Roman" w:eastAsia="宋体"/>
                <w:b w:val="0"/>
                <w:sz w:val="21"/>
              </w:rPr>
              <w:t>大伸市</w:t>
            </w:r>
          </w:p>
        </w:tc>
        <w:tc>
          <w:tcPr>
            <w:tcW w:w="1455" w:type="dxa"/>
            <w:vAlign w:val="center"/>
          </w:tcPr>
          <w:p w14:paraId="0B6AA1B0">
            <w:pPr>
              <w:spacing w:before="0" w:after="0" w:line="320" w:lineRule="exact"/>
              <w:jc w:val="left"/>
            </w:pPr>
            <w:r>
              <w:rPr>
                <w:rFonts w:ascii="Times New Roman" w:hAnsi="Times New Roman" w:eastAsia="宋体"/>
                <w:b w:val="0"/>
                <w:sz w:val="21"/>
              </w:rPr>
              <w:t>未标注</w:t>
            </w:r>
          </w:p>
        </w:tc>
        <w:tc>
          <w:tcPr>
            <w:tcW w:w="1455" w:type="dxa"/>
            <w:vAlign w:val="center"/>
          </w:tcPr>
          <w:p w14:paraId="0AE2718D">
            <w:pPr>
              <w:spacing w:before="0" w:after="0" w:line="320" w:lineRule="exact"/>
              <w:jc w:val="left"/>
            </w:pPr>
            <w:r>
              <w:rPr>
                <w:rFonts w:ascii="Times New Roman" w:hAnsi="Times New Roman" w:eastAsia="宋体"/>
                <w:b w:val="0"/>
                <w:sz w:val="21"/>
              </w:rPr>
              <w:t>0.00</w:t>
            </w:r>
          </w:p>
        </w:tc>
        <w:tc>
          <w:tcPr>
            <w:tcW w:w="1455" w:type="dxa"/>
            <w:vAlign w:val="center"/>
          </w:tcPr>
          <w:p w14:paraId="5721785A">
            <w:pPr>
              <w:spacing w:before="0" w:after="0" w:line="320" w:lineRule="exact"/>
              <w:jc w:val="left"/>
            </w:pPr>
            <w:r>
              <w:rPr>
                <w:rFonts w:ascii="Times New Roman" w:hAnsi="Times New Roman" w:eastAsia="宋体"/>
                <w:b w:val="0"/>
                <w:sz w:val="21"/>
              </w:rPr>
              <w:t>0.0</w:t>
            </w:r>
          </w:p>
        </w:tc>
        <w:tc>
          <w:tcPr>
            <w:tcW w:w="1455" w:type="dxa"/>
            <w:vAlign w:val="center"/>
          </w:tcPr>
          <w:p w14:paraId="564BE43B">
            <w:pPr>
              <w:spacing w:before="0" w:after="0" w:line="320" w:lineRule="exact"/>
              <w:jc w:val="left"/>
            </w:pPr>
            <w:r>
              <w:rPr>
                <w:rFonts w:ascii="Times New Roman" w:hAnsi="Times New Roman" w:eastAsia="宋体"/>
                <w:b w:val="0"/>
                <w:sz w:val="21"/>
              </w:rPr>
              <w:t>61.00</w:t>
            </w:r>
          </w:p>
        </w:tc>
        <w:tc>
          <w:tcPr>
            <w:tcW w:w="1455" w:type="dxa"/>
            <w:vAlign w:val="center"/>
          </w:tcPr>
          <w:p w14:paraId="1E01070E">
            <w:pPr>
              <w:spacing w:before="0" w:after="0" w:line="320" w:lineRule="exact"/>
              <w:jc w:val="left"/>
            </w:pPr>
            <w:r>
              <w:rPr>
                <w:rFonts w:ascii="Times New Roman" w:hAnsi="Times New Roman" w:eastAsia="宋体"/>
                <w:b w:val="0"/>
                <w:sz w:val="21"/>
              </w:rPr>
              <w:t>61.00</w:t>
            </w:r>
          </w:p>
        </w:tc>
      </w:tr>
      <w:tr w14:paraId="77D43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AF0B169">
            <w:pPr>
              <w:spacing w:before="0" w:after="0" w:line="320" w:lineRule="exact"/>
              <w:jc w:val="left"/>
            </w:pPr>
            <w:r>
              <w:rPr>
                <w:rFonts w:ascii="Times New Roman" w:hAnsi="Times New Roman" w:eastAsia="宋体"/>
                <w:b w:val="0"/>
                <w:sz w:val="21"/>
              </w:rPr>
              <w:t>光分亭</w:t>
            </w:r>
          </w:p>
        </w:tc>
        <w:tc>
          <w:tcPr>
            <w:tcW w:w="1455" w:type="dxa"/>
            <w:vAlign w:val="center"/>
          </w:tcPr>
          <w:p w14:paraId="535618FA">
            <w:pPr>
              <w:spacing w:before="0" w:after="0" w:line="320" w:lineRule="exact"/>
              <w:jc w:val="left"/>
            </w:pPr>
            <w:r>
              <w:rPr>
                <w:rFonts w:ascii="Times New Roman" w:hAnsi="Times New Roman" w:eastAsia="宋体"/>
                <w:b w:val="0"/>
                <w:sz w:val="21"/>
              </w:rPr>
              <w:t>未标注</w:t>
            </w:r>
          </w:p>
        </w:tc>
        <w:tc>
          <w:tcPr>
            <w:tcW w:w="1455" w:type="dxa"/>
            <w:vAlign w:val="center"/>
          </w:tcPr>
          <w:p w14:paraId="5C734CBD">
            <w:pPr>
              <w:spacing w:before="0" w:after="0" w:line="320" w:lineRule="exact"/>
              <w:jc w:val="left"/>
            </w:pPr>
            <w:r>
              <w:rPr>
                <w:rFonts w:ascii="Times New Roman" w:hAnsi="Times New Roman" w:eastAsia="宋体"/>
                <w:b w:val="0"/>
                <w:sz w:val="21"/>
              </w:rPr>
              <w:t>0.00</w:t>
            </w:r>
          </w:p>
        </w:tc>
        <w:tc>
          <w:tcPr>
            <w:tcW w:w="1455" w:type="dxa"/>
            <w:vAlign w:val="center"/>
          </w:tcPr>
          <w:p w14:paraId="34BA98A5">
            <w:pPr>
              <w:spacing w:before="0" w:after="0" w:line="320" w:lineRule="exact"/>
              <w:jc w:val="left"/>
            </w:pPr>
            <w:r>
              <w:rPr>
                <w:rFonts w:ascii="Times New Roman" w:hAnsi="Times New Roman" w:eastAsia="宋体"/>
                <w:b w:val="0"/>
                <w:sz w:val="21"/>
              </w:rPr>
              <w:t>50.0</w:t>
            </w:r>
          </w:p>
        </w:tc>
        <w:tc>
          <w:tcPr>
            <w:tcW w:w="1455" w:type="dxa"/>
            <w:vAlign w:val="center"/>
          </w:tcPr>
          <w:p w14:paraId="7A5ACF3F">
            <w:pPr>
              <w:spacing w:before="0" w:after="0" w:line="320" w:lineRule="exact"/>
              <w:jc w:val="left"/>
            </w:pPr>
            <w:r>
              <w:rPr>
                <w:rFonts w:ascii="Times New Roman" w:hAnsi="Times New Roman" w:eastAsia="宋体"/>
                <w:b w:val="0"/>
                <w:sz w:val="21"/>
              </w:rPr>
              <w:t>77.74</w:t>
            </w:r>
          </w:p>
        </w:tc>
        <w:tc>
          <w:tcPr>
            <w:tcW w:w="1455" w:type="dxa"/>
            <w:vAlign w:val="center"/>
          </w:tcPr>
          <w:p w14:paraId="2E878D8B">
            <w:pPr>
              <w:spacing w:before="0" w:after="0" w:line="320" w:lineRule="exact"/>
              <w:jc w:val="left"/>
            </w:pPr>
            <w:r>
              <w:rPr>
                <w:rFonts w:ascii="Times New Roman" w:hAnsi="Times New Roman" w:eastAsia="宋体"/>
                <w:b w:val="0"/>
                <w:sz w:val="21"/>
              </w:rPr>
              <w:t>52.74</w:t>
            </w:r>
          </w:p>
        </w:tc>
      </w:tr>
      <w:tr w14:paraId="2917D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908F185">
            <w:pPr>
              <w:spacing w:before="0" w:after="0" w:line="320" w:lineRule="exact"/>
              <w:jc w:val="left"/>
            </w:pPr>
            <w:r>
              <w:rPr>
                <w:rFonts w:ascii="Times New Roman" w:hAnsi="Times New Roman" w:eastAsia="宋体"/>
                <w:b w:val="0"/>
                <w:sz w:val="21"/>
              </w:rPr>
              <w:t>西联村神诞</w:t>
            </w:r>
          </w:p>
        </w:tc>
        <w:tc>
          <w:tcPr>
            <w:tcW w:w="1455" w:type="dxa"/>
            <w:vAlign w:val="center"/>
          </w:tcPr>
          <w:p w14:paraId="31402F19">
            <w:pPr>
              <w:spacing w:before="0" w:after="0" w:line="320" w:lineRule="exact"/>
              <w:jc w:val="left"/>
            </w:pPr>
            <w:r>
              <w:rPr>
                <w:rFonts w:ascii="Times New Roman" w:hAnsi="Times New Roman" w:eastAsia="宋体"/>
                <w:b w:val="0"/>
                <w:sz w:val="21"/>
              </w:rPr>
              <w:t>丹灶镇</w:t>
            </w:r>
          </w:p>
        </w:tc>
        <w:tc>
          <w:tcPr>
            <w:tcW w:w="1455" w:type="dxa"/>
            <w:vAlign w:val="center"/>
          </w:tcPr>
          <w:p w14:paraId="508EEE2A">
            <w:pPr>
              <w:spacing w:before="0" w:after="0" w:line="320" w:lineRule="exact"/>
              <w:jc w:val="left"/>
            </w:pPr>
            <w:r>
              <w:rPr>
                <w:rFonts w:ascii="Times New Roman" w:hAnsi="Times New Roman" w:eastAsia="宋体"/>
                <w:b w:val="0"/>
                <w:sz w:val="21"/>
              </w:rPr>
              <w:t>0.00</w:t>
            </w:r>
          </w:p>
        </w:tc>
        <w:tc>
          <w:tcPr>
            <w:tcW w:w="1455" w:type="dxa"/>
            <w:vAlign w:val="center"/>
          </w:tcPr>
          <w:p w14:paraId="71194DD6">
            <w:pPr>
              <w:spacing w:before="0" w:after="0" w:line="320" w:lineRule="exact"/>
              <w:jc w:val="left"/>
            </w:pPr>
            <w:r>
              <w:rPr>
                <w:rFonts w:ascii="Times New Roman" w:hAnsi="Times New Roman" w:eastAsia="宋体"/>
                <w:b w:val="0"/>
                <w:sz w:val="21"/>
              </w:rPr>
              <w:t>25.0</w:t>
            </w:r>
          </w:p>
        </w:tc>
        <w:tc>
          <w:tcPr>
            <w:tcW w:w="1455" w:type="dxa"/>
            <w:vAlign w:val="center"/>
          </w:tcPr>
          <w:p w14:paraId="4073FFF7">
            <w:pPr>
              <w:spacing w:before="0" w:after="0" w:line="320" w:lineRule="exact"/>
              <w:jc w:val="left"/>
            </w:pPr>
            <w:r>
              <w:rPr>
                <w:rFonts w:ascii="Times New Roman" w:hAnsi="Times New Roman" w:eastAsia="宋体"/>
                <w:b w:val="0"/>
                <w:sz w:val="21"/>
              </w:rPr>
              <w:t>57.88</w:t>
            </w:r>
          </w:p>
        </w:tc>
        <w:tc>
          <w:tcPr>
            <w:tcW w:w="1455" w:type="dxa"/>
            <w:vAlign w:val="center"/>
          </w:tcPr>
          <w:p w14:paraId="0CBDACFA">
            <w:pPr>
              <w:spacing w:before="0" w:after="0" w:line="320" w:lineRule="exact"/>
              <w:jc w:val="left"/>
            </w:pPr>
            <w:r>
              <w:rPr>
                <w:rFonts w:ascii="Times New Roman" w:hAnsi="Times New Roman" w:eastAsia="宋体"/>
                <w:b w:val="0"/>
                <w:sz w:val="21"/>
              </w:rPr>
              <w:t>45.38</w:t>
            </w:r>
          </w:p>
        </w:tc>
      </w:tr>
      <w:tr w14:paraId="61F0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59AB4C6D">
            <w:pPr>
              <w:spacing w:before="0" w:after="0" w:line="320" w:lineRule="exact"/>
              <w:jc w:val="left"/>
            </w:pPr>
            <w:r>
              <w:rPr>
                <w:rFonts w:ascii="Times New Roman" w:hAnsi="Times New Roman" w:eastAsia="宋体"/>
                <w:b w:val="0"/>
                <w:sz w:val="21"/>
              </w:rPr>
              <w:t>唢呐制作技艺</w:t>
            </w:r>
          </w:p>
        </w:tc>
        <w:tc>
          <w:tcPr>
            <w:tcW w:w="1455" w:type="dxa"/>
            <w:vAlign w:val="center"/>
          </w:tcPr>
          <w:p w14:paraId="162321FC">
            <w:pPr>
              <w:spacing w:before="0" w:after="0" w:line="320" w:lineRule="exact"/>
              <w:jc w:val="left"/>
            </w:pPr>
            <w:r>
              <w:rPr>
                <w:rFonts w:ascii="Times New Roman" w:hAnsi="Times New Roman" w:eastAsia="宋体"/>
                <w:b w:val="0"/>
                <w:sz w:val="21"/>
              </w:rPr>
              <w:t>桂城街道</w:t>
            </w:r>
          </w:p>
        </w:tc>
        <w:tc>
          <w:tcPr>
            <w:tcW w:w="1455" w:type="dxa"/>
            <w:vAlign w:val="center"/>
          </w:tcPr>
          <w:p w14:paraId="5D2246C6">
            <w:pPr>
              <w:spacing w:before="0" w:after="0" w:line="320" w:lineRule="exact"/>
              <w:jc w:val="left"/>
            </w:pPr>
            <w:r>
              <w:rPr>
                <w:rFonts w:ascii="Times New Roman" w:hAnsi="Times New Roman" w:eastAsia="宋体"/>
                <w:b w:val="0"/>
                <w:sz w:val="21"/>
              </w:rPr>
              <w:t>0.00</w:t>
            </w:r>
          </w:p>
        </w:tc>
        <w:tc>
          <w:tcPr>
            <w:tcW w:w="1455" w:type="dxa"/>
            <w:vAlign w:val="center"/>
          </w:tcPr>
          <w:p w14:paraId="733FBF72">
            <w:pPr>
              <w:spacing w:before="0" w:after="0" w:line="320" w:lineRule="exact"/>
              <w:jc w:val="left"/>
            </w:pPr>
            <w:r>
              <w:rPr>
                <w:rFonts w:ascii="Times New Roman" w:hAnsi="Times New Roman" w:eastAsia="宋体"/>
                <w:b w:val="0"/>
                <w:sz w:val="21"/>
              </w:rPr>
              <w:t>50.0</w:t>
            </w:r>
          </w:p>
        </w:tc>
        <w:tc>
          <w:tcPr>
            <w:tcW w:w="1455" w:type="dxa"/>
            <w:vAlign w:val="center"/>
          </w:tcPr>
          <w:p w14:paraId="275C33AC">
            <w:pPr>
              <w:spacing w:before="0" w:after="0" w:line="320" w:lineRule="exact"/>
              <w:jc w:val="left"/>
            </w:pPr>
            <w:r>
              <w:rPr>
                <w:rFonts w:ascii="Times New Roman" w:hAnsi="Times New Roman" w:eastAsia="宋体"/>
                <w:b w:val="0"/>
                <w:sz w:val="21"/>
              </w:rPr>
              <w:t>68.81</w:t>
            </w:r>
          </w:p>
        </w:tc>
        <w:tc>
          <w:tcPr>
            <w:tcW w:w="1455" w:type="dxa"/>
            <w:vAlign w:val="center"/>
          </w:tcPr>
          <w:p w14:paraId="56BC226C">
            <w:pPr>
              <w:spacing w:before="0" w:after="0" w:line="320" w:lineRule="exact"/>
              <w:jc w:val="left"/>
            </w:pPr>
            <w:r>
              <w:rPr>
                <w:rFonts w:ascii="Times New Roman" w:hAnsi="Times New Roman" w:eastAsia="宋体"/>
                <w:b w:val="0"/>
                <w:sz w:val="21"/>
              </w:rPr>
              <w:t>43.81</w:t>
            </w:r>
          </w:p>
        </w:tc>
      </w:tr>
      <w:tr w14:paraId="4D30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4AA5A5DA">
            <w:pPr>
              <w:spacing w:before="0" w:after="0" w:line="320" w:lineRule="exact"/>
              <w:jc w:val="left"/>
            </w:pPr>
            <w:r>
              <w:rPr>
                <w:rFonts w:ascii="Times New Roman" w:hAnsi="Times New Roman" w:eastAsia="宋体"/>
                <w:b w:val="0"/>
                <w:sz w:val="21"/>
              </w:rPr>
              <w:t>南海农谚</w:t>
            </w:r>
          </w:p>
        </w:tc>
        <w:tc>
          <w:tcPr>
            <w:tcW w:w="1455" w:type="dxa"/>
            <w:vAlign w:val="center"/>
          </w:tcPr>
          <w:p w14:paraId="02F9DBDB">
            <w:pPr>
              <w:spacing w:before="0" w:after="0" w:line="320" w:lineRule="exact"/>
              <w:jc w:val="left"/>
            </w:pPr>
            <w:r>
              <w:rPr>
                <w:rFonts w:ascii="Times New Roman" w:hAnsi="Times New Roman" w:eastAsia="宋体"/>
                <w:b w:val="0"/>
                <w:sz w:val="21"/>
              </w:rPr>
              <w:t>西樵镇</w:t>
            </w:r>
          </w:p>
        </w:tc>
        <w:tc>
          <w:tcPr>
            <w:tcW w:w="1455" w:type="dxa"/>
            <w:vAlign w:val="center"/>
          </w:tcPr>
          <w:p w14:paraId="4D82050B">
            <w:pPr>
              <w:spacing w:before="0" w:after="0" w:line="320" w:lineRule="exact"/>
              <w:jc w:val="left"/>
            </w:pPr>
            <w:r>
              <w:rPr>
                <w:rFonts w:ascii="Times New Roman" w:hAnsi="Times New Roman" w:eastAsia="宋体"/>
                <w:b w:val="0"/>
                <w:sz w:val="21"/>
              </w:rPr>
              <w:t>69.39</w:t>
            </w:r>
          </w:p>
        </w:tc>
        <w:tc>
          <w:tcPr>
            <w:tcW w:w="1455" w:type="dxa"/>
            <w:vAlign w:val="center"/>
          </w:tcPr>
          <w:p w14:paraId="6BD06265">
            <w:pPr>
              <w:spacing w:before="0" w:after="0" w:line="320" w:lineRule="exact"/>
              <w:jc w:val="left"/>
            </w:pPr>
            <w:r>
              <w:rPr>
                <w:rFonts w:ascii="Times New Roman" w:hAnsi="Times New Roman" w:eastAsia="宋体"/>
                <w:b w:val="0"/>
                <w:sz w:val="21"/>
              </w:rPr>
              <w:t>25.0</w:t>
            </w:r>
          </w:p>
        </w:tc>
        <w:tc>
          <w:tcPr>
            <w:tcW w:w="1455" w:type="dxa"/>
            <w:vAlign w:val="center"/>
          </w:tcPr>
          <w:p w14:paraId="16E9563A">
            <w:pPr>
              <w:spacing w:before="0" w:after="0" w:line="320" w:lineRule="exact"/>
              <w:jc w:val="left"/>
            </w:pPr>
            <w:r>
              <w:rPr>
                <w:rFonts w:ascii="Times New Roman" w:hAnsi="Times New Roman" w:eastAsia="宋体"/>
                <w:b w:val="0"/>
                <w:sz w:val="21"/>
              </w:rPr>
              <w:t>90.88</w:t>
            </w:r>
          </w:p>
        </w:tc>
        <w:tc>
          <w:tcPr>
            <w:tcW w:w="1455" w:type="dxa"/>
            <w:vAlign w:val="center"/>
          </w:tcPr>
          <w:p w14:paraId="0EBBDDD9">
            <w:pPr>
              <w:spacing w:before="0" w:after="0" w:line="320" w:lineRule="exact"/>
              <w:jc w:val="left"/>
            </w:pPr>
            <w:r>
              <w:rPr>
                <w:rFonts w:ascii="Times New Roman" w:hAnsi="Times New Roman" w:eastAsia="宋体"/>
                <w:b w:val="0"/>
                <w:sz w:val="21"/>
              </w:rPr>
              <w:t>43.68</w:t>
            </w:r>
          </w:p>
        </w:tc>
      </w:tr>
      <w:tr w14:paraId="7274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071CC7C">
            <w:pPr>
              <w:spacing w:before="0" w:after="0" w:line="320" w:lineRule="exact"/>
              <w:jc w:val="left"/>
            </w:pPr>
            <w:r>
              <w:rPr>
                <w:rFonts w:ascii="Times New Roman" w:hAnsi="Times New Roman" w:eastAsia="宋体"/>
                <w:b w:val="0"/>
                <w:sz w:val="21"/>
              </w:rPr>
              <w:t>沙基圩</w:t>
            </w:r>
          </w:p>
        </w:tc>
        <w:tc>
          <w:tcPr>
            <w:tcW w:w="1455" w:type="dxa"/>
            <w:vAlign w:val="center"/>
          </w:tcPr>
          <w:p w14:paraId="71320717">
            <w:pPr>
              <w:spacing w:before="0" w:after="0" w:line="320" w:lineRule="exact"/>
              <w:jc w:val="left"/>
            </w:pPr>
            <w:r>
              <w:rPr>
                <w:rFonts w:ascii="Times New Roman" w:hAnsi="Times New Roman" w:eastAsia="宋体"/>
                <w:b w:val="0"/>
                <w:sz w:val="21"/>
              </w:rPr>
              <w:t>未标注</w:t>
            </w:r>
          </w:p>
        </w:tc>
        <w:tc>
          <w:tcPr>
            <w:tcW w:w="1455" w:type="dxa"/>
            <w:vAlign w:val="center"/>
          </w:tcPr>
          <w:p w14:paraId="744865E2">
            <w:pPr>
              <w:spacing w:before="0" w:after="0" w:line="320" w:lineRule="exact"/>
              <w:jc w:val="left"/>
            </w:pPr>
            <w:r>
              <w:rPr>
                <w:rFonts w:ascii="Times New Roman" w:hAnsi="Times New Roman" w:eastAsia="宋体"/>
                <w:b w:val="0"/>
                <w:sz w:val="21"/>
              </w:rPr>
              <w:t>9.48</w:t>
            </w:r>
          </w:p>
        </w:tc>
        <w:tc>
          <w:tcPr>
            <w:tcW w:w="1455" w:type="dxa"/>
            <w:vAlign w:val="center"/>
          </w:tcPr>
          <w:p w14:paraId="5E0670EA">
            <w:pPr>
              <w:spacing w:before="0" w:after="0" w:line="320" w:lineRule="exact"/>
              <w:jc w:val="left"/>
            </w:pPr>
            <w:r>
              <w:rPr>
                <w:rFonts w:ascii="Times New Roman" w:hAnsi="Times New Roman" w:eastAsia="宋体"/>
                <w:b w:val="0"/>
                <w:sz w:val="21"/>
              </w:rPr>
              <w:t>0.0</w:t>
            </w:r>
          </w:p>
        </w:tc>
        <w:tc>
          <w:tcPr>
            <w:tcW w:w="1455" w:type="dxa"/>
            <w:vAlign w:val="center"/>
          </w:tcPr>
          <w:p w14:paraId="51EF25C4">
            <w:pPr>
              <w:spacing w:before="0" w:after="0" w:line="320" w:lineRule="exact"/>
              <w:jc w:val="left"/>
            </w:pPr>
            <w:r>
              <w:rPr>
                <w:rFonts w:ascii="Times New Roman" w:hAnsi="Times New Roman" w:eastAsia="宋体"/>
                <w:b w:val="0"/>
                <w:sz w:val="21"/>
              </w:rPr>
              <w:t>46.77</w:t>
            </w:r>
          </w:p>
        </w:tc>
        <w:tc>
          <w:tcPr>
            <w:tcW w:w="1455" w:type="dxa"/>
            <w:vAlign w:val="center"/>
          </w:tcPr>
          <w:p w14:paraId="1BEDD297">
            <w:pPr>
              <w:spacing w:before="0" w:after="0" w:line="320" w:lineRule="exact"/>
              <w:jc w:val="left"/>
            </w:pPr>
            <w:r>
              <w:rPr>
                <w:rFonts w:ascii="Times New Roman" w:hAnsi="Times New Roman" w:eastAsia="宋体"/>
                <w:b w:val="0"/>
                <w:sz w:val="21"/>
              </w:rPr>
              <w:t>42.03</w:t>
            </w:r>
          </w:p>
        </w:tc>
      </w:tr>
      <w:tr w14:paraId="6D45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50045076">
            <w:pPr>
              <w:spacing w:before="0" w:after="0" w:line="320" w:lineRule="exact"/>
              <w:jc w:val="left"/>
            </w:pPr>
            <w:r>
              <w:rPr>
                <w:rFonts w:ascii="Times New Roman" w:hAnsi="Times New Roman" w:eastAsia="宋体"/>
                <w:b w:val="0"/>
                <w:sz w:val="21"/>
              </w:rPr>
              <w:t>枕流亭</w:t>
            </w:r>
          </w:p>
        </w:tc>
        <w:tc>
          <w:tcPr>
            <w:tcW w:w="1455" w:type="dxa"/>
            <w:vAlign w:val="center"/>
          </w:tcPr>
          <w:p w14:paraId="7CBBFEA5">
            <w:pPr>
              <w:spacing w:before="0" w:after="0" w:line="320" w:lineRule="exact"/>
              <w:jc w:val="left"/>
            </w:pPr>
            <w:r>
              <w:rPr>
                <w:rFonts w:ascii="Times New Roman" w:hAnsi="Times New Roman" w:eastAsia="宋体"/>
                <w:b w:val="0"/>
                <w:sz w:val="21"/>
              </w:rPr>
              <w:t>未标注</w:t>
            </w:r>
          </w:p>
        </w:tc>
        <w:tc>
          <w:tcPr>
            <w:tcW w:w="1455" w:type="dxa"/>
            <w:vAlign w:val="center"/>
          </w:tcPr>
          <w:p w14:paraId="53AEC016">
            <w:pPr>
              <w:spacing w:before="0" w:after="0" w:line="320" w:lineRule="exact"/>
              <w:jc w:val="left"/>
            </w:pPr>
            <w:r>
              <w:rPr>
                <w:rFonts w:ascii="Times New Roman" w:hAnsi="Times New Roman" w:eastAsia="宋体"/>
                <w:b w:val="0"/>
                <w:sz w:val="21"/>
              </w:rPr>
              <w:t>18.95</w:t>
            </w:r>
          </w:p>
        </w:tc>
        <w:tc>
          <w:tcPr>
            <w:tcW w:w="1455" w:type="dxa"/>
            <w:vAlign w:val="center"/>
          </w:tcPr>
          <w:p w14:paraId="3C1BC5C3">
            <w:pPr>
              <w:spacing w:before="0" w:after="0" w:line="320" w:lineRule="exact"/>
              <w:jc w:val="left"/>
            </w:pPr>
            <w:r>
              <w:rPr>
                <w:rFonts w:ascii="Times New Roman" w:hAnsi="Times New Roman" w:eastAsia="宋体"/>
                <w:b w:val="0"/>
                <w:sz w:val="21"/>
              </w:rPr>
              <w:t>50.0</w:t>
            </w:r>
          </w:p>
        </w:tc>
        <w:tc>
          <w:tcPr>
            <w:tcW w:w="1455" w:type="dxa"/>
            <w:vAlign w:val="center"/>
          </w:tcPr>
          <w:p w14:paraId="531BD9DC">
            <w:pPr>
              <w:spacing w:before="0" w:after="0" w:line="320" w:lineRule="exact"/>
              <w:jc w:val="left"/>
            </w:pPr>
            <w:r>
              <w:rPr>
                <w:rFonts w:ascii="Times New Roman" w:hAnsi="Times New Roman" w:eastAsia="宋体"/>
                <w:b w:val="0"/>
                <w:sz w:val="21"/>
              </w:rPr>
              <w:t>74.96</w:t>
            </w:r>
          </w:p>
        </w:tc>
        <w:tc>
          <w:tcPr>
            <w:tcW w:w="1455" w:type="dxa"/>
            <w:vAlign w:val="center"/>
          </w:tcPr>
          <w:p w14:paraId="24AA5781">
            <w:pPr>
              <w:spacing w:before="0" w:after="0" w:line="320" w:lineRule="exact"/>
              <w:jc w:val="left"/>
            </w:pPr>
            <w:r>
              <w:rPr>
                <w:rFonts w:ascii="Times New Roman" w:hAnsi="Times New Roman" w:eastAsia="宋体"/>
                <w:b w:val="0"/>
                <w:sz w:val="21"/>
              </w:rPr>
              <w:t>40.48</w:t>
            </w:r>
          </w:p>
        </w:tc>
      </w:tr>
      <w:tr w14:paraId="3CC8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DFD4EDB">
            <w:pPr>
              <w:spacing w:before="0" w:after="0" w:line="320" w:lineRule="exact"/>
              <w:jc w:val="left"/>
            </w:pPr>
            <w:r>
              <w:rPr>
                <w:rFonts w:ascii="Times New Roman" w:hAnsi="Times New Roman" w:eastAsia="宋体"/>
                <w:b w:val="0"/>
                <w:sz w:val="21"/>
              </w:rPr>
              <w:t>象林塔</w:t>
            </w:r>
          </w:p>
        </w:tc>
        <w:tc>
          <w:tcPr>
            <w:tcW w:w="1455" w:type="dxa"/>
            <w:vAlign w:val="center"/>
          </w:tcPr>
          <w:p w14:paraId="18191519">
            <w:pPr>
              <w:spacing w:before="0" w:after="0" w:line="320" w:lineRule="exact"/>
              <w:jc w:val="left"/>
            </w:pPr>
            <w:r>
              <w:rPr>
                <w:rFonts w:ascii="Times New Roman" w:hAnsi="Times New Roman" w:eastAsia="宋体"/>
                <w:b w:val="0"/>
                <w:sz w:val="21"/>
              </w:rPr>
              <w:t>未标注</w:t>
            </w:r>
          </w:p>
        </w:tc>
        <w:tc>
          <w:tcPr>
            <w:tcW w:w="1455" w:type="dxa"/>
            <w:vAlign w:val="center"/>
          </w:tcPr>
          <w:p w14:paraId="207FB8C4">
            <w:pPr>
              <w:spacing w:before="0" w:after="0" w:line="320" w:lineRule="exact"/>
              <w:jc w:val="left"/>
            </w:pPr>
            <w:r>
              <w:rPr>
                <w:rFonts w:ascii="Times New Roman" w:hAnsi="Times New Roman" w:eastAsia="宋体"/>
                <w:b w:val="0"/>
                <w:sz w:val="21"/>
              </w:rPr>
              <w:t>0.00</w:t>
            </w:r>
          </w:p>
        </w:tc>
        <w:tc>
          <w:tcPr>
            <w:tcW w:w="1455" w:type="dxa"/>
            <w:vAlign w:val="center"/>
          </w:tcPr>
          <w:p w14:paraId="7FDA357D">
            <w:pPr>
              <w:spacing w:before="0" w:after="0" w:line="320" w:lineRule="exact"/>
              <w:jc w:val="left"/>
            </w:pPr>
            <w:r>
              <w:rPr>
                <w:rFonts w:ascii="Times New Roman" w:hAnsi="Times New Roman" w:eastAsia="宋体"/>
                <w:b w:val="0"/>
                <w:sz w:val="21"/>
              </w:rPr>
              <w:t>75.0</w:t>
            </w:r>
          </w:p>
        </w:tc>
        <w:tc>
          <w:tcPr>
            <w:tcW w:w="1455" w:type="dxa"/>
            <w:vAlign w:val="center"/>
          </w:tcPr>
          <w:p w14:paraId="410BA592">
            <w:pPr>
              <w:spacing w:before="0" w:after="0" w:line="320" w:lineRule="exact"/>
              <w:jc w:val="left"/>
            </w:pPr>
            <w:r>
              <w:rPr>
                <w:rFonts w:ascii="Times New Roman" w:hAnsi="Times New Roman" w:eastAsia="宋体"/>
                <w:b w:val="0"/>
                <w:sz w:val="21"/>
              </w:rPr>
              <w:t>77.53</w:t>
            </w:r>
          </w:p>
        </w:tc>
        <w:tc>
          <w:tcPr>
            <w:tcW w:w="1455" w:type="dxa"/>
            <w:vAlign w:val="center"/>
          </w:tcPr>
          <w:p w14:paraId="081B7A0C">
            <w:pPr>
              <w:spacing w:before="0" w:after="0" w:line="320" w:lineRule="exact"/>
              <w:jc w:val="left"/>
            </w:pPr>
            <w:r>
              <w:rPr>
                <w:rFonts w:ascii="Times New Roman" w:hAnsi="Times New Roman" w:eastAsia="宋体"/>
                <w:b w:val="0"/>
                <w:sz w:val="21"/>
              </w:rPr>
              <w:t>40.03</w:t>
            </w:r>
          </w:p>
        </w:tc>
      </w:tr>
      <w:tr w14:paraId="6EBE9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410A3E04">
            <w:pPr>
              <w:spacing w:before="0" w:after="0" w:line="320" w:lineRule="exact"/>
              <w:jc w:val="left"/>
            </w:pPr>
            <w:r>
              <w:rPr>
                <w:rFonts w:ascii="Times New Roman" w:hAnsi="Times New Roman" w:eastAsia="宋体"/>
                <w:b w:val="0"/>
                <w:sz w:val="21"/>
              </w:rPr>
              <w:t>湖山胜迹门楼</w:t>
            </w:r>
          </w:p>
        </w:tc>
        <w:tc>
          <w:tcPr>
            <w:tcW w:w="1455" w:type="dxa"/>
            <w:vAlign w:val="center"/>
          </w:tcPr>
          <w:p w14:paraId="2C37F372">
            <w:pPr>
              <w:spacing w:before="0" w:after="0" w:line="320" w:lineRule="exact"/>
              <w:jc w:val="left"/>
            </w:pPr>
            <w:r>
              <w:rPr>
                <w:rFonts w:ascii="Times New Roman" w:hAnsi="Times New Roman" w:eastAsia="宋体"/>
                <w:b w:val="0"/>
                <w:sz w:val="21"/>
              </w:rPr>
              <w:t>未标注</w:t>
            </w:r>
          </w:p>
        </w:tc>
        <w:tc>
          <w:tcPr>
            <w:tcW w:w="1455" w:type="dxa"/>
            <w:vAlign w:val="center"/>
          </w:tcPr>
          <w:p w14:paraId="338E5B59">
            <w:pPr>
              <w:spacing w:before="0" w:after="0" w:line="320" w:lineRule="exact"/>
              <w:jc w:val="left"/>
            </w:pPr>
            <w:r>
              <w:rPr>
                <w:rFonts w:ascii="Times New Roman" w:hAnsi="Times New Roman" w:eastAsia="宋体"/>
                <w:b w:val="0"/>
                <w:sz w:val="21"/>
              </w:rPr>
              <w:t>24.50</w:t>
            </w:r>
          </w:p>
        </w:tc>
        <w:tc>
          <w:tcPr>
            <w:tcW w:w="1455" w:type="dxa"/>
            <w:vAlign w:val="center"/>
          </w:tcPr>
          <w:p w14:paraId="247D501D">
            <w:pPr>
              <w:spacing w:before="0" w:after="0" w:line="320" w:lineRule="exact"/>
              <w:jc w:val="left"/>
            </w:pPr>
            <w:r>
              <w:rPr>
                <w:rFonts w:ascii="Times New Roman" w:hAnsi="Times New Roman" w:eastAsia="宋体"/>
                <w:b w:val="0"/>
                <w:sz w:val="21"/>
              </w:rPr>
              <w:t>50.0</w:t>
            </w:r>
          </w:p>
        </w:tc>
        <w:tc>
          <w:tcPr>
            <w:tcW w:w="1455" w:type="dxa"/>
            <w:vAlign w:val="center"/>
          </w:tcPr>
          <w:p w14:paraId="27A80014">
            <w:pPr>
              <w:spacing w:before="0" w:after="0" w:line="320" w:lineRule="exact"/>
              <w:jc w:val="left"/>
            </w:pPr>
            <w:r>
              <w:rPr>
                <w:rFonts w:ascii="Times New Roman" w:hAnsi="Times New Roman" w:eastAsia="宋体"/>
                <w:b w:val="0"/>
                <w:sz w:val="21"/>
              </w:rPr>
              <w:t>75.88</w:t>
            </w:r>
          </w:p>
        </w:tc>
        <w:tc>
          <w:tcPr>
            <w:tcW w:w="1455" w:type="dxa"/>
            <w:vAlign w:val="center"/>
          </w:tcPr>
          <w:p w14:paraId="606F353E">
            <w:pPr>
              <w:spacing w:before="0" w:after="0" w:line="320" w:lineRule="exact"/>
              <w:jc w:val="left"/>
            </w:pPr>
            <w:r>
              <w:rPr>
                <w:rFonts w:ascii="Times New Roman" w:hAnsi="Times New Roman" w:eastAsia="宋体"/>
                <w:b w:val="0"/>
                <w:sz w:val="21"/>
              </w:rPr>
              <w:t>38.63</w:t>
            </w:r>
          </w:p>
        </w:tc>
      </w:tr>
      <w:tr w14:paraId="7DC4B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5D0281BA">
            <w:pPr>
              <w:spacing w:before="0" w:after="0" w:line="320" w:lineRule="exact"/>
              <w:jc w:val="left"/>
            </w:pPr>
            <w:r>
              <w:rPr>
                <w:rFonts w:ascii="Times New Roman" w:hAnsi="Times New Roman" w:eastAsia="宋体"/>
                <w:b w:val="0"/>
                <w:sz w:val="21"/>
              </w:rPr>
              <w:t>小云亭</w:t>
            </w:r>
          </w:p>
        </w:tc>
        <w:tc>
          <w:tcPr>
            <w:tcW w:w="1455" w:type="dxa"/>
            <w:vAlign w:val="center"/>
          </w:tcPr>
          <w:p w14:paraId="72F3F0C7">
            <w:pPr>
              <w:spacing w:before="0" w:after="0" w:line="320" w:lineRule="exact"/>
              <w:jc w:val="left"/>
            </w:pPr>
            <w:r>
              <w:rPr>
                <w:rFonts w:ascii="Times New Roman" w:hAnsi="Times New Roman" w:eastAsia="宋体"/>
                <w:b w:val="0"/>
                <w:sz w:val="21"/>
              </w:rPr>
              <w:t>未标注</w:t>
            </w:r>
          </w:p>
        </w:tc>
        <w:tc>
          <w:tcPr>
            <w:tcW w:w="1455" w:type="dxa"/>
            <w:vAlign w:val="center"/>
          </w:tcPr>
          <w:p w14:paraId="0627DE36">
            <w:pPr>
              <w:spacing w:before="0" w:after="0" w:line="320" w:lineRule="exact"/>
              <w:jc w:val="left"/>
            </w:pPr>
            <w:r>
              <w:rPr>
                <w:rFonts w:ascii="Times New Roman" w:hAnsi="Times New Roman" w:eastAsia="宋体"/>
                <w:b w:val="0"/>
                <w:sz w:val="21"/>
              </w:rPr>
              <w:t>26.61</w:t>
            </w:r>
          </w:p>
        </w:tc>
        <w:tc>
          <w:tcPr>
            <w:tcW w:w="1455" w:type="dxa"/>
            <w:vAlign w:val="center"/>
          </w:tcPr>
          <w:p w14:paraId="2D29E6B9">
            <w:pPr>
              <w:spacing w:before="0" w:after="0" w:line="320" w:lineRule="exact"/>
              <w:jc w:val="left"/>
            </w:pPr>
            <w:r>
              <w:rPr>
                <w:rFonts w:ascii="Times New Roman" w:hAnsi="Times New Roman" w:eastAsia="宋体"/>
                <w:b w:val="0"/>
                <w:sz w:val="21"/>
              </w:rPr>
              <w:t>50.0</w:t>
            </w:r>
          </w:p>
        </w:tc>
        <w:tc>
          <w:tcPr>
            <w:tcW w:w="1455" w:type="dxa"/>
            <w:vAlign w:val="center"/>
          </w:tcPr>
          <w:p w14:paraId="49446FCE">
            <w:pPr>
              <w:spacing w:before="0" w:after="0" w:line="320" w:lineRule="exact"/>
              <w:jc w:val="left"/>
            </w:pPr>
            <w:r>
              <w:rPr>
                <w:rFonts w:ascii="Times New Roman" w:hAnsi="Times New Roman" w:eastAsia="宋体"/>
                <w:b w:val="0"/>
                <w:sz w:val="21"/>
              </w:rPr>
              <w:t>75.26</w:t>
            </w:r>
          </w:p>
        </w:tc>
        <w:tc>
          <w:tcPr>
            <w:tcW w:w="1455" w:type="dxa"/>
            <w:vAlign w:val="center"/>
          </w:tcPr>
          <w:p w14:paraId="70899E13">
            <w:pPr>
              <w:spacing w:before="0" w:after="0" w:line="320" w:lineRule="exact"/>
              <w:jc w:val="left"/>
            </w:pPr>
            <w:r>
              <w:rPr>
                <w:rFonts w:ascii="Times New Roman" w:hAnsi="Times New Roman" w:eastAsia="宋体"/>
                <w:b w:val="0"/>
                <w:sz w:val="21"/>
              </w:rPr>
              <w:t>36.95</w:t>
            </w:r>
          </w:p>
        </w:tc>
      </w:tr>
    </w:tbl>
    <w:p w14:paraId="1FCBBAFF">
      <w:pPr>
        <w:spacing w:before="40" w:after="0" w:line="400" w:lineRule="exact"/>
        <w:jc w:val="center"/>
        <w:outlineLvl w:val="1"/>
      </w:pPr>
      <w:bookmarkStart w:id="102" w:name="_Toc8095"/>
      <w:r>
        <w:rPr>
          <w:rFonts w:ascii="Times New Roman" w:hAnsi="Times New Roman" w:eastAsia="宋体"/>
          <w:b/>
          <w:sz w:val="24"/>
        </w:rPr>
        <w:t>C.3 核心耦合区（|MI| 最小 Top 10）</w:t>
      </w:r>
      <w:bookmarkEnd w:id="102"/>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55"/>
        <w:gridCol w:w="1455"/>
        <w:gridCol w:w="1455"/>
        <w:gridCol w:w="1455"/>
        <w:gridCol w:w="1455"/>
        <w:gridCol w:w="1455"/>
      </w:tblGrid>
      <w:tr w14:paraId="74EEB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34E14C5">
            <w:pPr>
              <w:spacing w:before="0" w:after="0" w:line="320" w:lineRule="exact"/>
              <w:jc w:val="center"/>
            </w:pPr>
            <w:r>
              <w:rPr>
                <w:rFonts w:ascii="Times New Roman" w:hAnsi="Times New Roman" w:eastAsia="宋体"/>
                <w:b/>
                <w:sz w:val="21"/>
              </w:rPr>
              <w:t>名称</w:t>
            </w:r>
          </w:p>
        </w:tc>
        <w:tc>
          <w:tcPr>
            <w:tcW w:w="1455" w:type="dxa"/>
            <w:vAlign w:val="center"/>
          </w:tcPr>
          <w:p w14:paraId="0F2023E8">
            <w:pPr>
              <w:spacing w:before="0" w:after="0" w:line="320" w:lineRule="exact"/>
              <w:jc w:val="center"/>
            </w:pPr>
            <w:r>
              <w:rPr>
                <w:rFonts w:ascii="Times New Roman" w:hAnsi="Times New Roman" w:eastAsia="宋体"/>
                <w:b/>
                <w:sz w:val="21"/>
              </w:rPr>
              <w:t>镇街</w:t>
            </w:r>
          </w:p>
        </w:tc>
        <w:tc>
          <w:tcPr>
            <w:tcW w:w="1455" w:type="dxa"/>
            <w:vAlign w:val="center"/>
          </w:tcPr>
          <w:p w14:paraId="44AD521B">
            <w:pPr>
              <w:spacing w:before="0" w:after="0" w:line="320" w:lineRule="exact"/>
              <w:jc w:val="center"/>
            </w:pPr>
            <w:r>
              <w:rPr>
                <w:rFonts w:ascii="Times New Roman" w:hAnsi="Times New Roman" w:eastAsia="宋体"/>
                <w:b/>
                <w:sz w:val="21"/>
              </w:rPr>
              <w:t>CMI</w:t>
            </w:r>
          </w:p>
        </w:tc>
        <w:tc>
          <w:tcPr>
            <w:tcW w:w="1455" w:type="dxa"/>
            <w:vAlign w:val="center"/>
          </w:tcPr>
          <w:p w14:paraId="7A83E241">
            <w:pPr>
              <w:spacing w:before="0" w:after="0" w:line="320" w:lineRule="exact"/>
              <w:jc w:val="center"/>
            </w:pPr>
            <w:r>
              <w:rPr>
                <w:rFonts w:ascii="Times New Roman" w:hAnsi="Times New Roman" w:eastAsia="宋体"/>
                <w:b/>
                <w:sz w:val="21"/>
              </w:rPr>
              <w:t>OAI</w:t>
            </w:r>
          </w:p>
        </w:tc>
        <w:tc>
          <w:tcPr>
            <w:tcW w:w="1455" w:type="dxa"/>
            <w:vAlign w:val="center"/>
          </w:tcPr>
          <w:p w14:paraId="7539DB6B">
            <w:pPr>
              <w:spacing w:before="0" w:after="0" w:line="320" w:lineRule="exact"/>
              <w:jc w:val="center"/>
            </w:pPr>
            <w:r>
              <w:rPr>
                <w:rFonts w:ascii="Times New Roman" w:hAnsi="Times New Roman" w:eastAsia="宋体"/>
                <w:b/>
                <w:sz w:val="21"/>
              </w:rPr>
              <w:t>THI</w:t>
            </w:r>
          </w:p>
        </w:tc>
        <w:tc>
          <w:tcPr>
            <w:tcW w:w="1455" w:type="dxa"/>
            <w:vAlign w:val="center"/>
          </w:tcPr>
          <w:p w14:paraId="1C61A486">
            <w:pPr>
              <w:spacing w:before="0" w:after="0" w:line="320" w:lineRule="exact"/>
              <w:jc w:val="center"/>
            </w:pPr>
            <w:r>
              <w:rPr>
                <w:rFonts w:ascii="Times New Roman" w:hAnsi="Times New Roman" w:eastAsia="宋体"/>
                <w:b/>
                <w:sz w:val="21"/>
              </w:rPr>
              <w:t>MI</w:t>
            </w:r>
          </w:p>
        </w:tc>
      </w:tr>
      <w:tr w14:paraId="3A40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2262B60">
            <w:pPr>
              <w:spacing w:before="0" w:after="0" w:line="320" w:lineRule="exact"/>
              <w:jc w:val="left"/>
            </w:pPr>
            <w:r>
              <w:rPr>
                <w:rFonts w:ascii="Times New Roman" w:hAnsi="Times New Roman" w:eastAsia="宋体"/>
                <w:b w:val="0"/>
                <w:sz w:val="21"/>
              </w:rPr>
              <w:t>风水百足桥</w:t>
            </w:r>
          </w:p>
        </w:tc>
        <w:tc>
          <w:tcPr>
            <w:tcW w:w="1455" w:type="dxa"/>
            <w:vAlign w:val="center"/>
          </w:tcPr>
          <w:p w14:paraId="762A5D3E">
            <w:pPr>
              <w:spacing w:before="0" w:after="0" w:line="320" w:lineRule="exact"/>
              <w:jc w:val="left"/>
            </w:pPr>
            <w:r>
              <w:rPr>
                <w:rFonts w:ascii="Times New Roman" w:hAnsi="Times New Roman" w:eastAsia="宋体"/>
                <w:b w:val="0"/>
                <w:sz w:val="21"/>
              </w:rPr>
              <w:t>九江镇</w:t>
            </w:r>
          </w:p>
        </w:tc>
        <w:tc>
          <w:tcPr>
            <w:tcW w:w="1455" w:type="dxa"/>
            <w:vAlign w:val="center"/>
          </w:tcPr>
          <w:p w14:paraId="666D6757">
            <w:pPr>
              <w:spacing w:before="0" w:after="0" w:line="320" w:lineRule="exact"/>
              <w:jc w:val="left"/>
            </w:pPr>
            <w:r>
              <w:rPr>
                <w:rFonts w:ascii="Times New Roman" w:hAnsi="Times New Roman" w:eastAsia="宋体"/>
                <w:b w:val="0"/>
                <w:sz w:val="21"/>
              </w:rPr>
              <w:t>0.00</w:t>
            </w:r>
          </w:p>
        </w:tc>
        <w:tc>
          <w:tcPr>
            <w:tcW w:w="1455" w:type="dxa"/>
            <w:vAlign w:val="center"/>
          </w:tcPr>
          <w:p w14:paraId="0C1FBCAC">
            <w:pPr>
              <w:spacing w:before="0" w:after="0" w:line="320" w:lineRule="exact"/>
              <w:jc w:val="left"/>
            </w:pPr>
            <w:r>
              <w:rPr>
                <w:rFonts w:ascii="Times New Roman" w:hAnsi="Times New Roman" w:eastAsia="宋体"/>
                <w:b w:val="0"/>
                <w:sz w:val="21"/>
              </w:rPr>
              <w:t>0.0</w:t>
            </w:r>
          </w:p>
        </w:tc>
        <w:tc>
          <w:tcPr>
            <w:tcW w:w="1455" w:type="dxa"/>
            <w:vAlign w:val="center"/>
          </w:tcPr>
          <w:p w14:paraId="0B9536CA">
            <w:pPr>
              <w:spacing w:before="0" w:after="0" w:line="320" w:lineRule="exact"/>
              <w:jc w:val="left"/>
            </w:pPr>
            <w:r>
              <w:rPr>
                <w:rFonts w:ascii="Times New Roman" w:hAnsi="Times New Roman" w:eastAsia="宋体"/>
                <w:b w:val="0"/>
                <w:sz w:val="21"/>
              </w:rPr>
              <w:t>0.00</w:t>
            </w:r>
          </w:p>
        </w:tc>
        <w:tc>
          <w:tcPr>
            <w:tcW w:w="1455" w:type="dxa"/>
            <w:vAlign w:val="center"/>
          </w:tcPr>
          <w:p w14:paraId="35C57C1B">
            <w:pPr>
              <w:spacing w:before="0" w:after="0" w:line="320" w:lineRule="exact"/>
              <w:jc w:val="left"/>
            </w:pPr>
            <w:r>
              <w:rPr>
                <w:rFonts w:ascii="Times New Roman" w:hAnsi="Times New Roman" w:eastAsia="宋体"/>
                <w:b w:val="0"/>
                <w:sz w:val="21"/>
              </w:rPr>
              <w:t>0.00</w:t>
            </w:r>
          </w:p>
        </w:tc>
      </w:tr>
      <w:tr w14:paraId="3177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C681295">
            <w:pPr>
              <w:spacing w:before="0" w:after="0" w:line="320" w:lineRule="exact"/>
              <w:jc w:val="left"/>
            </w:pPr>
            <w:r>
              <w:rPr>
                <w:rFonts w:ascii="Times New Roman" w:hAnsi="Times New Roman" w:eastAsia="宋体"/>
                <w:b w:val="0"/>
                <w:sz w:val="21"/>
              </w:rPr>
              <w:t>四峰书院遗址</w:t>
            </w:r>
          </w:p>
        </w:tc>
        <w:tc>
          <w:tcPr>
            <w:tcW w:w="1455" w:type="dxa"/>
            <w:vAlign w:val="center"/>
          </w:tcPr>
          <w:p w14:paraId="60190294">
            <w:pPr>
              <w:spacing w:before="0" w:after="0" w:line="320" w:lineRule="exact"/>
              <w:jc w:val="left"/>
            </w:pPr>
            <w:r>
              <w:rPr>
                <w:rFonts w:ascii="Times New Roman" w:hAnsi="Times New Roman" w:eastAsia="宋体"/>
                <w:b w:val="0"/>
                <w:sz w:val="21"/>
              </w:rPr>
              <w:t>未标注</w:t>
            </w:r>
          </w:p>
        </w:tc>
        <w:tc>
          <w:tcPr>
            <w:tcW w:w="1455" w:type="dxa"/>
            <w:vAlign w:val="center"/>
          </w:tcPr>
          <w:p w14:paraId="442C80F7">
            <w:pPr>
              <w:spacing w:before="0" w:after="0" w:line="320" w:lineRule="exact"/>
              <w:jc w:val="left"/>
            </w:pPr>
            <w:r>
              <w:rPr>
                <w:rFonts w:ascii="Times New Roman" w:hAnsi="Times New Roman" w:eastAsia="宋体"/>
                <w:b w:val="0"/>
                <w:sz w:val="21"/>
              </w:rPr>
              <w:t>37.91</w:t>
            </w:r>
          </w:p>
        </w:tc>
        <w:tc>
          <w:tcPr>
            <w:tcW w:w="1455" w:type="dxa"/>
            <w:vAlign w:val="center"/>
          </w:tcPr>
          <w:p w14:paraId="00C9CAC3">
            <w:pPr>
              <w:spacing w:before="0" w:after="0" w:line="320" w:lineRule="exact"/>
              <w:jc w:val="left"/>
            </w:pPr>
            <w:r>
              <w:rPr>
                <w:rFonts w:ascii="Times New Roman" w:hAnsi="Times New Roman" w:eastAsia="宋体"/>
                <w:b w:val="0"/>
                <w:sz w:val="21"/>
              </w:rPr>
              <w:t>75.0</w:t>
            </w:r>
          </w:p>
        </w:tc>
        <w:tc>
          <w:tcPr>
            <w:tcW w:w="1455" w:type="dxa"/>
            <w:vAlign w:val="center"/>
          </w:tcPr>
          <w:p w14:paraId="59112474">
            <w:pPr>
              <w:spacing w:before="0" w:after="0" w:line="320" w:lineRule="exact"/>
              <w:jc w:val="left"/>
            </w:pPr>
            <w:r>
              <w:rPr>
                <w:rFonts w:ascii="Times New Roman" w:hAnsi="Times New Roman" w:eastAsia="宋体"/>
                <w:b w:val="0"/>
                <w:sz w:val="21"/>
              </w:rPr>
              <w:t>56.72</w:t>
            </w:r>
          </w:p>
        </w:tc>
        <w:tc>
          <w:tcPr>
            <w:tcW w:w="1455" w:type="dxa"/>
            <w:vAlign w:val="center"/>
          </w:tcPr>
          <w:p w14:paraId="04A0C7DD">
            <w:pPr>
              <w:spacing w:before="0" w:after="0" w:line="320" w:lineRule="exact"/>
              <w:jc w:val="left"/>
            </w:pPr>
            <w:r>
              <w:rPr>
                <w:rFonts w:ascii="Times New Roman" w:hAnsi="Times New Roman" w:eastAsia="宋体"/>
                <w:b w:val="0"/>
                <w:sz w:val="21"/>
              </w:rPr>
              <w:t>0.26</w:t>
            </w:r>
          </w:p>
        </w:tc>
      </w:tr>
      <w:tr w14:paraId="3DEA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1A7EBF9">
            <w:pPr>
              <w:spacing w:before="0" w:after="0" w:line="320" w:lineRule="exact"/>
              <w:jc w:val="left"/>
            </w:pPr>
            <w:r>
              <w:rPr>
                <w:rFonts w:ascii="Times New Roman" w:hAnsi="Times New Roman" w:eastAsia="宋体"/>
                <w:b w:val="0"/>
                <w:sz w:val="21"/>
              </w:rPr>
              <w:t>慈悲宫牌坊</w:t>
            </w:r>
          </w:p>
        </w:tc>
        <w:tc>
          <w:tcPr>
            <w:tcW w:w="1455" w:type="dxa"/>
            <w:vAlign w:val="center"/>
          </w:tcPr>
          <w:p w14:paraId="489F88D1">
            <w:pPr>
              <w:spacing w:before="0" w:after="0" w:line="320" w:lineRule="exact"/>
              <w:jc w:val="left"/>
            </w:pPr>
            <w:r>
              <w:rPr>
                <w:rFonts w:ascii="Times New Roman" w:hAnsi="Times New Roman" w:eastAsia="宋体"/>
                <w:b w:val="0"/>
                <w:sz w:val="21"/>
              </w:rPr>
              <w:t>未标注</w:t>
            </w:r>
          </w:p>
        </w:tc>
        <w:tc>
          <w:tcPr>
            <w:tcW w:w="1455" w:type="dxa"/>
            <w:vAlign w:val="center"/>
          </w:tcPr>
          <w:p w14:paraId="46723D7E">
            <w:pPr>
              <w:spacing w:before="0" w:after="0" w:line="320" w:lineRule="exact"/>
              <w:jc w:val="left"/>
            </w:pPr>
            <w:r>
              <w:rPr>
                <w:rFonts w:ascii="Times New Roman" w:hAnsi="Times New Roman" w:eastAsia="宋体"/>
                <w:b w:val="0"/>
                <w:sz w:val="21"/>
              </w:rPr>
              <w:t>30.04</w:t>
            </w:r>
          </w:p>
        </w:tc>
        <w:tc>
          <w:tcPr>
            <w:tcW w:w="1455" w:type="dxa"/>
            <w:vAlign w:val="center"/>
          </w:tcPr>
          <w:p w14:paraId="669A5FAC">
            <w:pPr>
              <w:spacing w:before="0" w:after="0" w:line="320" w:lineRule="exact"/>
              <w:jc w:val="left"/>
            </w:pPr>
            <w:r>
              <w:rPr>
                <w:rFonts w:ascii="Times New Roman" w:hAnsi="Times New Roman" w:eastAsia="宋体"/>
                <w:b w:val="0"/>
                <w:sz w:val="21"/>
              </w:rPr>
              <w:t>75.0</w:t>
            </w:r>
          </w:p>
        </w:tc>
        <w:tc>
          <w:tcPr>
            <w:tcW w:w="1455" w:type="dxa"/>
            <w:vAlign w:val="center"/>
          </w:tcPr>
          <w:p w14:paraId="14CA5950">
            <w:pPr>
              <w:spacing w:before="0" w:after="0" w:line="320" w:lineRule="exact"/>
              <w:jc w:val="left"/>
            </w:pPr>
            <w:r>
              <w:rPr>
                <w:rFonts w:ascii="Times New Roman" w:hAnsi="Times New Roman" w:eastAsia="宋体"/>
                <w:b w:val="0"/>
                <w:sz w:val="21"/>
              </w:rPr>
              <w:t>53.36</w:t>
            </w:r>
          </w:p>
        </w:tc>
        <w:tc>
          <w:tcPr>
            <w:tcW w:w="1455" w:type="dxa"/>
            <w:vAlign w:val="center"/>
          </w:tcPr>
          <w:p w14:paraId="41B36096">
            <w:pPr>
              <w:spacing w:before="0" w:after="0" w:line="320" w:lineRule="exact"/>
              <w:jc w:val="left"/>
            </w:pPr>
            <w:r>
              <w:rPr>
                <w:rFonts w:ascii="Times New Roman" w:hAnsi="Times New Roman" w:eastAsia="宋体"/>
                <w:b w:val="0"/>
                <w:sz w:val="21"/>
              </w:rPr>
              <w:t>0.83</w:t>
            </w:r>
          </w:p>
        </w:tc>
      </w:tr>
      <w:tr w14:paraId="38A4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3625AA8">
            <w:pPr>
              <w:spacing w:before="0" w:after="0" w:line="320" w:lineRule="exact"/>
              <w:jc w:val="left"/>
            </w:pPr>
            <w:r>
              <w:rPr>
                <w:rFonts w:ascii="Times New Roman" w:hAnsi="Times New Roman" w:eastAsia="宋体"/>
                <w:b w:val="0"/>
                <w:sz w:val="21"/>
              </w:rPr>
              <w:t>丹灶葛洪炼丹传说</w:t>
            </w:r>
          </w:p>
        </w:tc>
        <w:tc>
          <w:tcPr>
            <w:tcW w:w="1455" w:type="dxa"/>
            <w:vAlign w:val="center"/>
          </w:tcPr>
          <w:p w14:paraId="1CE543FC">
            <w:pPr>
              <w:spacing w:before="0" w:after="0" w:line="320" w:lineRule="exact"/>
              <w:jc w:val="left"/>
            </w:pPr>
            <w:r>
              <w:rPr>
                <w:rFonts w:ascii="Times New Roman" w:hAnsi="Times New Roman" w:eastAsia="宋体"/>
                <w:b w:val="0"/>
                <w:sz w:val="21"/>
              </w:rPr>
              <w:t>丹灶镇</w:t>
            </w:r>
          </w:p>
        </w:tc>
        <w:tc>
          <w:tcPr>
            <w:tcW w:w="1455" w:type="dxa"/>
            <w:vAlign w:val="center"/>
          </w:tcPr>
          <w:p w14:paraId="55898010">
            <w:pPr>
              <w:spacing w:before="0" w:after="0" w:line="320" w:lineRule="exact"/>
              <w:jc w:val="left"/>
            </w:pPr>
            <w:r>
              <w:rPr>
                <w:rFonts w:ascii="Times New Roman" w:hAnsi="Times New Roman" w:eastAsia="宋体"/>
                <w:b w:val="0"/>
                <w:sz w:val="21"/>
              </w:rPr>
              <w:t>54.02</w:t>
            </w:r>
          </w:p>
        </w:tc>
        <w:tc>
          <w:tcPr>
            <w:tcW w:w="1455" w:type="dxa"/>
            <w:vAlign w:val="center"/>
          </w:tcPr>
          <w:p w14:paraId="1C7EF0EB">
            <w:pPr>
              <w:spacing w:before="0" w:after="0" w:line="320" w:lineRule="exact"/>
              <w:jc w:val="left"/>
            </w:pPr>
            <w:r>
              <w:rPr>
                <w:rFonts w:ascii="Times New Roman" w:hAnsi="Times New Roman" w:eastAsia="宋体"/>
                <w:b w:val="0"/>
                <w:sz w:val="21"/>
              </w:rPr>
              <w:t>50.0</w:t>
            </w:r>
          </w:p>
        </w:tc>
        <w:tc>
          <w:tcPr>
            <w:tcW w:w="1455" w:type="dxa"/>
            <w:vAlign w:val="center"/>
          </w:tcPr>
          <w:p w14:paraId="683F74CC">
            <w:pPr>
              <w:spacing w:before="0" w:after="0" w:line="320" w:lineRule="exact"/>
              <w:jc w:val="left"/>
            </w:pPr>
            <w:r>
              <w:rPr>
                <w:rFonts w:ascii="Times New Roman" w:hAnsi="Times New Roman" w:eastAsia="宋体"/>
                <w:b w:val="0"/>
                <w:sz w:val="21"/>
              </w:rPr>
              <w:t>52.84</w:t>
            </w:r>
          </w:p>
        </w:tc>
        <w:tc>
          <w:tcPr>
            <w:tcW w:w="1455" w:type="dxa"/>
            <w:vAlign w:val="center"/>
          </w:tcPr>
          <w:p w14:paraId="7D0BAEFC">
            <w:pPr>
              <w:spacing w:before="0" w:after="0" w:line="320" w:lineRule="exact"/>
              <w:jc w:val="left"/>
            </w:pPr>
            <w:r>
              <w:rPr>
                <w:rFonts w:ascii="Times New Roman" w:hAnsi="Times New Roman" w:eastAsia="宋体"/>
                <w:b w:val="0"/>
                <w:sz w:val="21"/>
              </w:rPr>
              <w:t>0.83</w:t>
            </w:r>
          </w:p>
        </w:tc>
      </w:tr>
      <w:tr w14:paraId="43065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31BEC916">
            <w:pPr>
              <w:spacing w:before="0" w:after="0" w:line="320" w:lineRule="exact"/>
              <w:jc w:val="left"/>
            </w:pPr>
            <w:r>
              <w:rPr>
                <w:rFonts w:ascii="Times New Roman" w:hAnsi="Times New Roman" w:eastAsia="宋体"/>
                <w:b w:val="0"/>
                <w:sz w:val="21"/>
              </w:rPr>
              <w:t>火石迳遗址</w:t>
            </w:r>
          </w:p>
        </w:tc>
        <w:tc>
          <w:tcPr>
            <w:tcW w:w="1455" w:type="dxa"/>
            <w:vAlign w:val="center"/>
          </w:tcPr>
          <w:p w14:paraId="579B7499">
            <w:pPr>
              <w:spacing w:before="0" w:after="0" w:line="320" w:lineRule="exact"/>
              <w:jc w:val="left"/>
            </w:pPr>
            <w:r>
              <w:rPr>
                <w:rFonts w:ascii="Times New Roman" w:hAnsi="Times New Roman" w:eastAsia="宋体"/>
                <w:b w:val="0"/>
                <w:sz w:val="21"/>
              </w:rPr>
              <w:t>未标注</w:t>
            </w:r>
          </w:p>
        </w:tc>
        <w:tc>
          <w:tcPr>
            <w:tcW w:w="1455" w:type="dxa"/>
            <w:vAlign w:val="center"/>
          </w:tcPr>
          <w:p w14:paraId="47C9EA7E">
            <w:pPr>
              <w:spacing w:before="0" w:after="0" w:line="320" w:lineRule="exact"/>
              <w:jc w:val="left"/>
            </w:pPr>
            <w:r>
              <w:rPr>
                <w:rFonts w:ascii="Times New Roman" w:hAnsi="Times New Roman" w:eastAsia="宋体"/>
                <w:b w:val="0"/>
                <w:sz w:val="21"/>
              </w:rPr>
              <w:t>0.00</w:t>
            </w:r>
          </w:p>
        </w:tc>
        <w:tc>
          <w:tcPr>
            <w:tcW w:w="1455" w:type="dxa"/>
            <w:vAlign w:val="center"/>
          </w:tcPr>
          <w:p w14:paraId="64D046F2">
            <w:pPr>
              <w:spacing w:before="0" w:after="0" w:line="320" w:lineRule="exact"/>
              <w:jc w:val="left"/>
            </w:pPr>
            <w:r>
              <w:rPr>
                <w:rFonts w:ascii="Times New Roman" w:hAnsi="Times New Roman" w:eastAsia="宋体"/>
                <w:b w:val="0"/>
                <w:sz w:val="21"/>
              </w:rPr>
              <w:t>75.0</w:t>
            </w:r>
          </w:p>
        </w:tc>
        <w:tc>
          <w:tcPr>
            <w:tcW w:w="1455" w:type="dxa"/>
            <w:vAlign w:val="center"/>
          </w:tcPr>
          <w:p w14:paraId="2B647B1F">
            <w:pPr>
              <w:spacing w:before="0" w:after="0" w:line="320" w:lineRule="exact"/>
              <w:jc w:val="left"/>
            </w:pPr>
            <w:r>
              <w:rPr>
                <w:rFonts w:ascii="Times New Roman" w:hAnsi="Times New Roman" w:eastAsia="宋体"/>
                <w:b w:val="0"/>
                <w:sz w:val="21"/>
              </w:rPr>
              <w:t>38.34</w:t>
            </w:r>
          </w:p>
        </w:tc>
        <w:tc>
          <w:tcPr>
            <w:tcW w:w="1455" w:type="dxa"/>
            <w:vAlign w:val="center"/>
          </w:tcPr>
          <w:p w14:paraId="5220CB1F">
            <w:pPr>
              <w:spacing w:before="0" w:after="0" w:line="320" w:lineRule="exact"/>
              <w:jc w:val="left"/>
            </w:pPr>
            <w:r>
              <w:rPr>
                <w:rFonts w:ascii="Times New Roman" w:hAnsi="Times New Roman" w:eastAsia="宋体"/>
                <w:b w:val="0"/>
                <w:sz w:val="21"/>
              </w:rPr>
              <w:t>0.84</w:t>
            </w:r>
          </w:p>
        </w:tc>
      </w:tr>
      <w:tr w14:paraId="20AC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EB17E1D">
            <w:pPr>
              <w:spacing w:before="0" w:after="0" w:line="320" w:lineRule="exact"/>
              <w:jc w:val="left"/>
            </w:pPr>
            <w:r>
              <w:rPr>
                <w:rFonts w:ascii="Times New Roman" w:hAnsi="Times New Roman" w:eastAsia="宋体"/>
                <w:b w:val="0"/>
                <w:sz w:val="21"/>
              </w:rPr>
              <w:t>沙水翰林步头</w:t>
            </w:r>
          </w:p>
        </w:tc>
        <w:tc>
          <w:tcPr>
            <w:tcW w:w="1455" w:type="dxa"/>
            <w:vAlign w:val="center"/>
          </w:tcPr>
          <w:p w14:paraId="472C9F3D">
            <w:pPr>
              <w:spacing w:before="0" w:after="0" w:line="320" w:lineRule="exact"/>
              <w:jc w:val="left"/>
            </w:pPr>
            <w:r>
              <w:rPr>
                <w:rFonts w:ascii="Times New Roman" w:hAnsi="Times New Roman" w:eastAsia="宋体"/>
                <w:b w:val="0"/>
                <w:sz w:val="21"/>
              </w:rPr>
              <w:t>未标注</w:t>
            </w:r>
          </w:p>
        </w:tc>
        <w:tc>
          <w:tcPr>
            <w:tcW w:w="1455" w:type="dxa"/>
            <w:vAlign w:val="center"/>
          </w:tcPr>
          <w:p w14:paraId="25EC79D5">
            <w:pPr>
              <w:spacing w:before="0" w:after="0" w:line="320" w:lineRule="exact"/>
              <w:jc w:val="left"/>
            </w:pPr>
            <w:r>
              <w:rPr>
                <w:rFonts w:ascii="Times New Roman" w:hAnsi="Times New Roman" w:eastAsia="宋体"/>
                <w:b w:val="0"/>
                <w:sz w:val="21"/>
              </w:rPr>
              <w:t>0.00</w:t>
            </w:r>
          </w:p>
        </w:tc>
        <w:tc>
          <w:tcPr>
            <w:tcW w:w="1455" w:type="dxa"/>
            <w:vAlign w:val="center"/>
          </w:tcPr>
          <w:p w14:paraId="682B1539">
            <w:pPr>
              <w:spacing w:before="0" w:after="0" w:line="320" w:lineRule="exact"/>
              <w:jc w:val="left"/>
            </w:pPr>
            <w:r>
              <w:rPr>
                <w:rFonts w:ascii="Times New Roman" w:hAnsi="Times New Roman" w:eastAsia="宋体"/>
                <w:b w:val="0"/>
                <w:sz w:val="21"/>
              </w:rPr>
              <w:t>50.0</w:t>
            </w:r>
          </w:p>
        </w:tc>
        <w:tc>
          <w:tcPr>
            <w:tcW w:w="1455" w:type="dxa"/>
            <w:vAlign w:val="center"/>
          </w:tcPr>
          <w:p w14:paraId="1716CB4F">
            <w:pPr>
              <w:spacing w:before="0" w:after="0" w:line="320" w:lineRule="exact"/>
              <w:jc w:val="left"/>
            </w:pPr>
            <w:r>
              <w:rPr>
                <w:rFonts w:ascii="Times New Roman" w:hAnsi="Times New Roman" w:eastAsia="宋体"/>
                <w:b w:val="0"/>
                <w:sz w:val="21"/>
              </w:rPr>
              <w:t>23.91</w:t>
            </w:r>
          </w:p>
        </w:tc>
        <w:tc>
          <w:tcPr>
            <w:tcW w:w="1455" w:type="dxa"/>
            <w:vAlign w:val="center"/>
          </w:tcPr>
          <w:p w14:paraId="3A6E506D">
            <w:pPr>
              <w:spacing w:before="0" w:after="0" w:line="320" w:lineRule="exact"/>
              <w:jc w:val="left"/>
            </w:pPr>
            <w:r>
              <w:rPr>
                <w:rFonts w:ascii="Times New Roman" w:hAnsi="Times New Roman" w:eastAsia="宋体"/>
                <w:b w:val="0"/>
                <w:sz w:val="21"/>
              </w:rPr>
              <w:t>−1.09</w:t>
            </w:r>
          </w:p>
        </w:tc>
      </w:tr>
      <w:tr w14:paraId="28FF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1E3EDD15">
            <w:pPr>
              <w:spacing w:before="0" w:after="0" w:line="320" w:lineRule="exact"/>
              <w:jc w:val="left"/>
            </w:pPr>
            <w:r>
              <w:rPr>
                <w:rFonts w:ascii="Times New Roman" w:hAnsi="Times New Roman" w:eastAsia="宋体"/>
                <w:b w:val="0"/>
                <w:sz w:val="21"/>
              </w:rPr>
              <w:t>西樵山传说</w:t>
            </w:r>
          </w:p>
        </w:tc>
        <w:tc>
          <w:tcPr>
            <w:tcW w:w="1455" w:type="dxa"/>
            <w:vAlign w:val="center"/>
          </w:tcPr>
          <w:p w14:paraId="06FB5577">
            <w:pPr>
              <w:spacing w:before="0" w:after="0" w:line="320" w:lineRule="exact"/>
              <w:jc w:val="left"/>
            </w:pPr>
            <w:r>
              <w:rPr>
                <w:rFonts w:ascii="Times New Roman" w:hAnsi="Times New Roman" w:eastAsia="宋体"/>
                <w:b w:val="0"/>
                <w:sz w:val="21"/>
              </w:rPr>
              <w:t>西樵镇</w:t>
            </w:r>
          </w:p>
        </w:tc>
        <w:tc>
          <w:tcPr>
            <w:tcW w:w="1455" w:type="dxa"/>
            <w:vAlign w:val="center"/>
          </w:tcPr>
          <w:p w14:paraId="6AFCEFAF">
            <w:pPr>
              <w:spacing w:before="0" w:after="0" w:line="320" w:lineRule="exact"/>
              <w:jc w:val="left"/>
            </w:pPr>
            <w:r>
              <w:rPr>
                <w:rFonts w:ascii="Times New Roman" w:hAnsi="Times New Roman" w:eastAsia="宋体"/>
                <w:b w:val="0"/>
                <w:sz w:val="21"/>
              </w:rPr>
              <w:t>91.60</w:t>
            </w:r>
          </w:p>
        </w:tc>
        <w:tc>
          <w:tcPr>
            <w:tcW w:w="1455" w:type="dxa"/>
            <w:vAlign w:val="center"/>
          </w:tcPr>
          <w:p w14:paraId="263B215E">
            <w:pPr>
              <w:spacing w:before="0" w:after="0" w:line="320" w:lineRule="exact"/>
              <w:jc w:val="left"/>
            </w:pPr>
            <w:r>
              <w:rPr>
                <w:rFonts w:ascii="Times New Roman" w:hAnsi="Times New Roman" w:eastAsia="宋体"/>
                <w:b w:val="0"/>
                <w:sz w:val="21"/>
              </w:rPr>
              <w:t>25.0</w:t>
            </w:r>
          </w:p>
        </w:tc>
        <w:tc>
          <w:tcPr>
            <w:tcW w:w="1455" w:type="dxa"/>
            <w:vAlign w:val="center"/>
          </w:tcPr>
          <w:p w14:paraId="0E8C15D6">
            <w:pPr>
              <w:spacing w:before="0" w:after="0" w:line="320" w:lineRule="exact"/>
              <w:jc w:val="left"/>
            </w:pPr>
            <w:r>
              <w:rPr>
                <w:rFonts w:ascii="Times New Roman" w:hAnsi="Times New Roman" w:eastAsia="宋体"/>
                <w:b w:val="0"/>
                <w:sz w:val="21"/>
              </w:rPr>
              <w:t>60.05</w:t>
            </w:r>
          </w:p>
        </w:tc>
        <w:tc>
          <w:tcPr>
            <w:tcW w:w="1455" w:type="dxa"/>
            <w:vAlign w:val="center"/>
          </w:tcPr>
          <w:p w14:paraId="2271FCDF">
            <w:pPr>
              <w:spacing w:before="0" w:after="0" w:line="320" w:lineRule="exact"/>
              <w:jc w:val="left"/>
            </w:pPr>
            <w:r>
              <w:rPr>
                <w:rFonts w:ascii="Times New Roman" w:hAnsi="Times New Roman" w:eastAsia="宋体"/>
                <w:b w:val="0"/>
                <w:sz w:val="21"/>
              </w:rPr>
              <w:t>1.75</w:t>
            </w:r>
          </w:p>
        </w:tc>
      </w:tr>
      <w:tr w14:paraId="1CCC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074CEC7B">
            <w:pPr>
              <w:spacing w:before="0" w:after="0" w:line="320" w:lineRule="exact"/>
              <w:jc w:val="left"/>
            </w:pPr>
            <w:r>
              <w:rPr>
                <w:rFonts w:ascii="Times New Roman" w:hAnsi="Times New Roman" w:eastAsia="宋体"/>
                <w:b w:val="0"/>
                <w:sz w:val="21"/>
              </w:rPr>
              <w:t>绮亭陈公祠</w:t>
            </w:r>
          </w:p>
        </w:tc>
        <w:tc>
          <w:tcPr>
            <w:tcW w:w="1455" w:type="dxa"/>
            <w:vAlign w:val="center"/>
          </w:tcPr>
          <w:p w14:paraId="12B3D7E9">
            <w:pPr>
              <w:spacing w:before="0" w:after="0" w:line="320" w:lineRule="exact"/>
              <w:jc w:val="left"/>
            </w:pPr>
            <w:r>
              <w:rPr>
                <w:rFonts w:ascii="Times New Roman" w:hAnsi="Times New Roman" w:eastAsia="宋体"/>
                <w:b w:val="0"/>
                <w:sz w:val="21"/>
              </w:rPr>
              <w:t>未标注</w:t>
            </w:r>
          </w:p>
        </w:tc>
        <w:tc>
          <w:tcPr>
            <w:tcW w:w="1455" w:type="dxa"/>
            <w:vAlign w:val="center"/>
          </w:tcPr>
          <w:p w14:paraId="07A968D0">
            <w:pPr>
              <w:spacing w:before="0" w:after="0" w:line="320" w:lineRule="exact"/>
              <w:jc w:val="left"/>
            </w:pPr>
            <w:r>
              <w:rPr>
                <w:rFonts w:ascii="Times New Roman" w:hAnsi="Times New Roman" w:eastAsia="宋体"/>
                <w:b w:val="0"/>
                <w:sz w:val="21"/>
              </w:rPr>
              <w:t>35.07</w:t>
            </w:r>
          </w:p>
        </w:tc>
        <w:tc>
          <w:tcPr>
            <w:tcW w:w="1455" w:type="dxa"/>
            <w:vAlign w:val="center"/>
          </w:tcPr>
          <w:p w14:paraId="64D35DE5">
            <w:pPr>
              <w:spacing w:before="0" w:after="0" w:line="320" w:lineRule="exact"/>
              <w:jc w:val="left"/>
            </w:pPr>
            <w:r>
              <w:rPr>
                <w:rFonts w:ascii="Times New Roman" w:hAnsi="Times New Roman" w:eastAsia="宋体"/>
                <w:b w:val="0"/>
                <w:sz w:val="21"/>
              </w:rPr>
              <w:t>75.0</w:t>
            </w:r>
          </w:p>
        </w:tc>
        <w:tc>
          <w:tcPr>
            <w:tcW w:w="1455" w:type="dxa"/>
            <w:vAlign w:val="center"/>
          </w:tcPr>
          <w:p w14:paraId="72879D4A">
            <w:pPr>
              <w:spacing w:before="0" w:after="0" w:line="320" w:lineRule="exact"/>
              <w:jc w:val="left"/>
            </w:pPr>
            <w:r>
              <w:rPr>
                <w:rFonts w:ascii="Times New Roman" w:hAnsi="Times New Roman" w:eastAsia="宋体"/>
                <w:b w:val="0"/>
                <w:sz w:val="21"/>
              </w:rPr>
              <w:t>56.78</w:t>
            </w:r>
          </w:p>
        </w:tc>
        <w:tc>
          <w:tcPr>
            <w:tcW w:w="1455" w:type="dxa"/>
            <w:vAlign w:val="center"/>
          </w:tcPr>
          <w:p w14:paraId="0EB5A296">
            <w:pPr>
              <w:spacing w:before="0" w:after="0" w:line="320" w:lineRule="exact"/>
              <w:jc w:val="left"/>
            </w:pPr>
            <w:r>
              <w:rPr>
                <w:rFonts w:ascii="Times New Roman" w:hAnsi="Times New Roman" w:eastAsia="宋体"/>
                <w:b w:val="0"/>
                <w:sz w:val="21"/>
              </w:rPr>
              <w:t>1.75</w:t>
            </w:r>
          </w:p>
        </w:tc>
      </w:tr>
      <w:tr w14:paraId="26AA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46120A61">
            <w:pPr>
              <w:spacing w:before="0" w:after="0" w:line="320" w:lineRule="exact"/>
              <w:jc w:val="left"/>
            </w:pPr>
            <w:r>
              <w:rPr>
                <w:rFonts w:ascii="Times New Roman" w:hAnsi="Times New Roman" w:eastAsia="宋体"/>
                <w:b w:val="0"/>
                <w:sz w:val="21"/>
              </w:rPr>
              <w:t>西城市</w:t>
            </w:r>
          </w:p>
        </w:tc>
        <w:tc>
          <w:tcPr>
            <w:tcW w:w="1455" w:type="dxa"/>
            <w:vAlign w:val="center"/>
          </w:tcPr>
          <w:p w14:paraId="280A0DC8">
            <w:pPr>
              <w:spacing w:before="0" w:after="0" w:line="320" w:lineRule="exact"/>
              <w:jc w:val="left"/>
            </w:pPr>
            <w:r>
              <w:rPr>
                <w:rFonts w:ascii="Times New Roman" w:hAnsi="Times New Roman" w:eastAsia="宋体"/>
                <w:b w:val="0"/>
                <w:sz w:val="21"/>
              </w:rPr>
              <w:t>未标注</w:t>
            </w:r>
          </w:p>
        </w:tc>
        <w:tc>
          <w:tcPr>
            <w:tcW w:w="1455" w:type="dxa"/>
            <w:vAlign w:val="center"/>
          </w:tcPr>
          <w:p w14:paraId="35D7C172">
            <w:pPr>
              <w:spacing w:before="0" w:after="0" w:line="320" w:lineRule="exact"/>
              <w:jc w:val="left"/>
            </w:pPr>
            <w:r>
              <w:rPr>
                <w:rFonts w:ascii="Times New Roman" w:hAnsi="Times New Roman" w:eastAsia="宋体"/>
                <w:b w:val="0"/>
                <w:sz w:val="21"/>
              </w:rPr>
              <w:t>32.79</w:t>
            </w:r>
          </w:p>
        </w:tc>
        <w:tc>
          <w:tcPr>
            <w:tcW w:w="1455" w:type="dxa"/>
            <w:vAlign w:val="center"/>
          </w:tcPr>
          <w:p w14:paraId="3EAFF5AE">
            <w:pPr>
              <w:spacing w:before="0" w:after="0" w:line="320" w:lineRule="exact"/>
              <w:jc w:val="left"/>
            </w:pPr>
            <w:r>
              <w:rPr>
                <w:rFonts w:ascii="Times New Roman" w:hAnsi="Times New Roman" w:eastAsia="宋体"/>
                <w:b w:val="0"/>
                <w:sz w:val="21"/>
              </w:rPr>
              <w:t>0.0</w:t>
            </w:r>
          </w:p>
        </w:tc>
        <w:tc>
          <w:tcPr>
            <w:tcW w:w="1455" w:type="dxa"/>
            <w:vAlign w:val="center"/>
          </w:tcPr>
          <w:p w14:paraId="5AAF5E6F">
            <w:pPr>
              <w:spacing w:before="0" w:after="0" w:line="320" w:lineRule="exact"/>
              <w:jc w:val="left"/>
            </w:pPr>
            <w:r>
              <w:rPr>
                <w:rFonts w:ascii="Times New Roman" w:hAnsi="Times New Roman" w:eastAsia="宋体"/>
                <w:b w:val="0"/>
                <w:sz w:val="21"/>
              </w:rPr>
              <w:t>18.17</w:t>
            </w:r>
          </w:p>
        </w:tc>
        <w:tc>
          <w:tcPr>
            <w:tcW w:w="1455" w:type="dxa"/>
            <w:vAlign w:val="center"/>
          </w:tcPr>
          <w:p w14:paraId="5BABE56C">
            <w:pPr>
              <w:spacing w:before="0" w:after="0" w:line="320" w:lineRule="exact"/>
              <w:jc w:val="left"/>
            </w:pPr>
            <w:r>
              <w:rPr>
                <w:rFonts w:ascii="Times New Roman" w:hAnsi="Times New Roman" w:eastAsia="宋体"/>
                <w:b w:val="0"/>
                <w:sz w:val="21"/>
              </w:rPr>
              <w:t>1.78</w:t>
            </w:r>
          </w:p>
        </w:tc>
      </w:tr>
      <w:tr w14:paraId="60E7C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55" w:type="dxa"/>
            <w:vAlign w:val="center"/>
          </w:tcPr>
          <w:p w14:paraId="240E4A74">
            <w:pPr>
              <w:spacing w:before="0" w:after="0" w:line="320" w:lineRule="exact"/>
              <w:jc w:val="left"/>
            </w:pPr>
            <w:r>
              <w:rPr>
                <w:rFonts w:ascii="Times New Roman" w:hAnsi="Times New Roman" w:eastAsia="宋体"/>
                <w:b w:val="0"/>
                <w:sz w:val="21"/>
              </w:rPr>
              <w:t>九龙岩摩崖石刻</w:t>
            </w:r>
          </w:p>
        </w:tc>
        <w:tc>
          <w:tcPr>
            <w:tcW w:w="1455" w:type="dxa"/>
            <w:vAlign w:val="center"/>
          </w:tcPr>
          <w:p w14:paraId="7C525E05">
            <w:pPr>
              <w:spacing w:before="0" w:after="0" w:line="320" w:lineRule="exact"/>
              <w:jc w:val="left"/>
            </w:pPr>
            <w:r>
              <w:rPr>
                <w:rFonts w:ascii="Times New Roman" w:hAnsi="Times New Roman" w:eastAsia="宋体"/>
                <w:b w:val="0"/>
                <w:sz w:val="21"/>
              </w:rPr>
              <w:t>未标注</w:t>
            </w:r>
          </w:p>
        </w:tc>
        <w:tc>
          <w:tcPr>
            <w:tcW w:w="1455" w:type="dxa"/>
            <w:vAlign w:val="center"/>
          </w:tcPr>
          <w:p w14:paraId="583F300D">
            <w:pPr>
              <w:spacing w:before="0" w:after="0" w:line="320" w:lineRule="exact"/>
              <w:jc w:val="left"/>
            </w:pPr>
            <w:r>
              <w:rPr>
                <w:rFonts w:ascii="Times New Roman" w:hAnsi="Times New Roman" w:eastAsia="宋体"/>
                <w:b w:val="0"/>
                <w:sz w:val="21"/>
              </w:rPr>
              <w:t>15.02</w:t>
            </w:r>
          </w:p>
        </w:tc>
        <w:tc>
          <w:tcPr>
            <w:tcW w:w="1455" w:type="dxa"/>
            <w:vAlign w:val="center"/>
          </w:tcPr>
          <w:p w14:paraId="11636BE1">
            <w:pPr>
              <w:spacing w:before="0" w:after="0" w:line="320" w:lineRule="exact"/>
              <w:jc w:val="left"/>
            </w:pPr>
            <w:r>
              <w:rPr>
                <w:rFonts w:ascii="Times New Roman" w:hAnsi="Times New Roman" w:eastAsia="宋体"/>
                <w:b w:val="0"/>
                <w:sz w:val="21"/>
              </w:rPr>
              <w:t>50.0</w:t>
            </w:r>
          </w:p>
        </w:tc>
        <w:tc>
          <w:tcPr>
            <w:tcW w:w="1455" w:type="dxa"/>
            <w:vAlign w:val="center"/>
          </w:tcPr>
          <w:p w14:paraId="304ECDDF">
            <w:pPr>
              <w:spacing w:before="0" w:after="0" w:line="320" w:lineRule="exact"/>
              <w:jc w:val="left"/>
            </w:pPr>
            <w:r>
              <w:rPr>
                <w:rFonts w:ascii="Times New Roman" w:hAnsi="Times New Roman" w:eastAsia="宋体"/>
                <w:b w:val="0"/>
                <w:sz w:val="21"/>
              </w:rPr>
              <w:t>34.68</w:t>
            </w:r>
          </w:p>
        </w:tc>
        <w:tc>
          <w:tcPr>
            <w:tcW w:w="1455" w:type="dxa"/>
            <w:vAlign w:val="center"/>
          </w:tcPr>
          <w:p w14:paraId="1CA668C8">
            <w:pPr>
              <w:spacing w:before="0" w:after="0" w:line="320" w:lineRule="exact"/>
              <w:jc w:val="left"/>
            </w:pPr>
            <w:r>
              <w:rPr>
                <w:rFonts w:ascii="Times New Roman" w:hAnsi="Times New Roman" w:eastAsia="宋体"/>
                <w:b w:val="0"/>
                <w:sz w:val="21"/>
              </w:rPr>
              <w:t>2.17</w:t>
            </w:r>
          </w:p>
        </w:tc>
      </w:tr>
    </w:tbl>
    <w:p w14:paraId="696DCC55">
      <w:r>
        <w:br w:type="page"/>
      </w:r>
    </w:p>
    <w:p w14:paraId="6572A562">
      <w:pPr>
        <w:spacing w:before="240" w:after="120" w:line="400" w:lineRule="exact"/>
        <w:jc w:val="left"/>
        <w:outlineLvl w:val="0"/>
      </w:pPr>
      <w:bookmarkStart w:id="103" w:name="_Toc1936"/>
      <w:r>
        <w:rPr>
          <w:rFonts w:ascii="Times New Roman" w:hAnsi="Times New Roman" w:eastAsia="黑体"/>
          <w:b/>
          <w:sz w:val="28"/>
        </w:rPr>
        <w:t>附录 D　潜力释放条件相关矩阵</w:t>
      </w:r>
      <w:bookmarkEnd w:id="103"/>
    </w:p>
    <w:p w14:paraId="0A5C3A5E">
      <w:pPr>
        <w:spacing w:before="0" w:after="0" w:line="400" w:lineRule="exact"/>
        <w:ind w:firstLine="480" w:firstLineChars="0"/>
        <w:jc w:val="left"/>
        <w:outlineLvl w:val="1"/>
      </w:pPr>
      <w:bookmarkStart w:id="104" w:name="_Toc28654"/>
      <w:r>
        <w:rPr>
          <w:rFonts w:ascii="Times New Roman" w:hAnsi="Times New Roman" w:eastAsia="宋体"/>
          <w:b/>
          <w:sz w:val="24"/>
        </w:rPr>
        <w:t>D.1 载体级 Pearson 矩阵（n = 165）</w:t>
      </w:r>
      <w:r>
        <w:rPr>
          <w:rFonts w:ascii="Times New Roman" w:hAnsi="Times New Roman" w:eastAsia="宋体"/>
          <w:b w:val="0"/>
          <w:sz w:val="24"/>
        </w:rPr>
        <w:t xml:space="preserve"> 见第 6.3.1 节表 6.4。</w:t>
      </w:r>
      <w:bookmarkEnd w:id="104"/>
    </w:p>
    <w:p w14:paraId="037B3FBB">
      <w:pPr>
        <w:spacing w:before="0" w:after="0" w:line="400" w:lineRule="exact"/>
        <w:ind w:firstLine="480" w:firstLineChars="0"/>
        <w:jc w:val="left"/>
        <w:outlineLvl w:val="1"/>
      </w:pPr>
      <w:bookmarkStart w:id="105" w:name="_Toc21748"/>
      <w:r>
        <w:rPr>
          <w:rFonts w:ascii="Times New Roman" w:hAnsi="Times New Roman" w:eastAsia="宋体"/>
          <w:b/>
          <w:sz w:val="24"/>
        </w:rPr>
        <w:t>D.2 镇街级 Pearson 矩阵（n = 7）</w:t>
      </w:r>
      <w:r>
        <w:rPr>
          <w:rFonts w:ascii="Times New Roman" w:hAnsi="Times New Roman" w:eastAsia="宋体"/>
          <w:b w:val="0"/>
          <w:sz w:val="24"/>
        </w:rPr>
        <w:t xml:space="preserve"> 见第 6.3.2 节表 6.5。</w:t>
      </w:r>
      <w:bookmarkEnd w:id="105"/>
    </w:p>
    <w:p w14:paraId="5EC70D7F">
      <w:pPr>
        <w:spacing w:before="0" w:after="0" w:line="400" w:lineRule="exact"/>
        <w:ind w:firstLine="480" w:firstLineChars="0"/>
        <w:jc w:val="left"/>
        <w:outlineLvl w:val="1"/>
      </w:pPr>
      <w:bookmarkStart w:id="106" w:name="_Toc3954"/>
      <w:r>
        <w:rPr>
          <w:rFonts w:ascii="Times New Roman" w:hAnsi="Times New Roman" w:eastAsia="宋体"/>
          <w:b/>
          <w:sz w:val="24"/>
        </w:rPr>
        <w:t>D.3 载体级 Spearman 矩阵与镇街级 Spearman 矩阵</w:t>
      </w:r>
      <w:r>
        <w:rPr>
          <w:rFonts w:ascii="Times New Roman" w:hAnsi="Times New Roman" w:eastAsia="宋体"/>
          <w:b w:val="0"/>
          <w:sz w:val="24"/>
        </w:rPr>
        <w:t xml:space="preserve"> 见补充附表。</w:t>
      </w:r>
      <w:bookmarkEnd w:id="106"/>
    </w:p>
    <w:p w14:paraId="2C8D7480">
      <w:pPr>
        <w:spacing w:before="40" w:after="0" w:line="400" w:lineRule="exact"/>
        <w:jc w:val="center"/>
        <w:outlineLvl w:val="1"/>
      </w:pPr>
      <w:bookmarkStart w:id="107" w:name="_Toc6009"/>
      <w:r>
        <w:rPr>
          <w:rFonts w:ascii="Times New Roman" w:hAnsi="Times New Roman" w:eastAsia="宋体"/>
          <w:b/>
          <w:sz w:val="24"/>
        </w:rPr>
        <w:t>D.4 关键双变量对比</w:t>
      </w:r>
      <w:bookmarkEnd w:id="107"/>
    </w:p>
    <w:p w14:paraId="5663653D">
      <w:pPr>
        <w:pStyle w:val="19"/>
        <w:spacing w:before="0" w:after="0" w:line="400" w:lineRule="exact"/>
      </w:pPr>
      <w:r>
        <w:rPr>
          <w:rFonts w:ascii="Times New Roman" w:hAnsi="Times New Roman" w:eastAsia="宋体"/>
          <w:b w:val="0"/>
          <w:sz w:val="24"/>
        </w:rPr>
        <w:t>物质载体数 × POI 总量（镇街级）: Pearson r = −0.475；</w:t>
      </w:r>
    </w:p>
    <w:p w14:paraId="798E9F6E">
      <w:pPr>
        <w:pStyle w:val="19"/>
        <w:spacing w:before="0" w:after="0" w:line="400" w:lineRule="exact"/>
      </w:pPr>
      <w:r>
        <w:rPr>
          <w:rFonts w:ascii="Times New Roman" w:hAnsi="Times New Roman" w:eastAsia="宋体"/>
          <w:b w:val="0"/>
          <w:sz w:val="24"/>
        </w:rPr>
        <w:t>非遗覆盖项次 × POI 总量（镇街级）: Pearson r = 0.372；</w:t>
      </w:r>
    </w:p>
    <w:p w14:paraId="14EE0AC3">
      <w:pPr>
        <w:pStyle w:val="19"/>
        <w:spacing w:before="0" w:after="0" w:line="400" w:lineRule="exact"/>
      </w:pPr>
      <w:r>
        <w:rPr>
          <w:rFonts w:ascii="Times New Roman" w:hAnsi="Times New Roman" w:eastAsia="宋体"/>
          <w:b w:val="0"/>
          <w:sz w:val="24"/>
        </w:rPr>
        <w:t>CMI × MI（载体级）: Pearson r = −0.495（正文核心发现）；</w:t>
      </w:r>
    </w:p>
    <w:p w14:paraId="426E182A">
      <w:pPr>
        <w:pStyle w:val="19"/>
        <w:spacing w:before="0" w:after="0" w:line="400" w:lineRule="exact"/>
      </w:pPr>
      <w:r>
        <w:rPr>
          <w:rFonts w:ascii="Times New Roman" w:hAnsi="Times New Roman" w:eastAsia="宋体"/>
          <w:b w:val="0"/>
          <w:sz w:val="24"/>
        </w:rPr>
        <w:t>OAI × MI（载体级）: Pearson r = −0.440（正文核心发现）；</w:t>
      </w:r>
    </w:p>
    <w:p w14:paraId="52507F48">
      <w:pPr>
        <w:pStyle w:val="19"/>
        <w:spacing w:before="0" w:after="0" w:line="400" w:lineRule="exact"/>
      </w:pPr>
      <w:r>
        <w:rPr>
          <w:rFonts w:ascii="Times New Roman" w:hAnsi="Times New Roman" w:eastAsia="宋体"/>
          <w:b w:val="0"/>
          <w:sz w:val="24"/>
        </w:rPr>
        <w:t>OAI_mean × THI_mean（镇街级）: Pearson r = 0.702（评级对 THI 的带动）。</w:t>
      </w:r>
    </w:p>
    <w:p w14:paraId="292049DC">
      <w:r>
        <w:br w:type="page"/>
      </w:r>
    </w:p>
    <w:p w14:paraId="722D7EF8">
      <w:pPr>
        <w:spacing w:before="240" w:after="120" w:line="400" w:lineRule="exact"/>
        <w:jc w:val="left"/>
        <w:outlineLvl w:val="0"/>
      </w:pPr>
      <w:bookmarkStart w:id="108" w:name="_Toc15438"/>
      <w:r>
        <w:rPr>
          <w:rFonts w:ascii="Times New Roman" w:hAnsi="Times New Roman" w:eastAsia="黑体"/>
          <w:b/>
          <w:sz w:val="28"/>
        </w:rPr>
        <w:t>致　　谢</w:t>
      </w:r>
      <w:bookmarkEnd w:id="108"/>
    </w:p>
    <w:p w14:paraId="6C12B720">
      <w:pPr>
        <w:spacing w:before="0" w:after="0" w:line="400" w:lineRule="exact"/>
        <w:ind w:firstLine="480"/>
        <w:jc w:val="left"/>
      </w:pPr>
      <w:r>
        <w:rPr>
          <w:rFonts w:ascii="Times New Roman" w:hAnsi="Times New Roman" w:eastAsia="宋体"/>
          <w:b w:val="0"/>
          <w:sz w:val="24"/>
        </w:rPr>
        <w:t>衷心感谢【待填写：指导教师】在选题、数据方法与论文写作全过程中的悉心指导。从开题到中期，再到本轮论文修订，老师一次次地将研究方向拉回“问题—潜力—对策”的主线，既避免了研究在空间生产理论等高阶议题上的过度拔高，也避免了研究停留在“当地人也知道”的浅层描述上。对桥梁选择、数据口径、错位指数、九江专题等具体环节的意见，几乎构成了本稿每一个章节的骨架。</w:t>
      </w:r>
    </w:p>
    <w:p w14:paraId="24EB847C">
      <w:pPr>
        <w:spacing w:before="0" w:after="0" w:line="400" w:lineRule="exact"/>
        <w:ind w:firstLine="480"/>
        <w:jc w:val="left"/>
      </w:pPr>
      <w:r>
        <w:rPr>
          <w:rFonts w:ascii="Times New Roman" w:hAnsi="Times New Roman" w:eastAsia="宋体"/>
          <w:b w:val="0"/>
          <w:sz w:val="24"/>
        </w:rPr>
        <w:t>感谢【待填写：院系或研究室】的各位老师和同学，在典籍 OCR、POI 采集与清洗、知识图谱建构以及论文汇报材料整理等阶段提供了许多技术支持与讨论意见。感谢【待填写：基金或项目名称】对本研究的数据与计算资源支持。</w:t>
      </w:r>
    </w:p>
    <w:p w14:paraId="618317A0">
      <w:pPr>
        <w:spacing w:before="0" w:after="0" w:line="400" w:lineRule="exact"/>
        <w:ind w:firstLine="480"/>
        <w:jc w:val="left"/>
      </w:pPr>
      <w:r>
        <w:rPr>
          <w:rFonts w:ascii="Times New Roman" w:hAnsi="Times New Roman" w:eastAsia="宋体"/>
          <w:b w:val="0"/>
          <w:sz w:val="24"/>
        </w:rPr>
        <w:t>感谢家人一直以来的理解与支持，使得在本科毕设的这段时光里，能够相对专注地完成这项研究。</w:t>
      </w:r>
    </w:p>
    <w:p w14:paraId="2D2C9528">
      <w:r>
        <w:br w:type="page"/>
      </w:r>
    </w:p>
    <w:p w14:paraId="03630257">
      <w:pPr>
        <w:spacing w:before="240" w:after="120" w:line="400" w:lineRule="exact"/>
        <w:jc w:val="left"/>
        <w:outlineLvl w:val="0"/>
      </w:pPr>
      <w:bookmarkStart w:id="109" w:name="_Toc11458"/>
      <w:r>
        <w:rPr>
          <w:rFonts w:ascii="Times New Roman" w:hAnsi="Times New Roman" w:eastAsia="黑体"/>
          <w:b/>
          <w:sz w:val="28"/>
        </w:rPr>
        <w:t>声　　明</w:t>
      </w:r>
      <w:bookmarkEnd w:id="109"/>
    </w:p>
    <w:p w14:paraId="46FAB47A">
      <w:pPr>
        <w:spacing w:before="0" w:after="0" w:line="400" w:lineRule="exact"/>
        <w:ind w:firstLine="480"/>
        <w:jc w:val="left"/>
      </w:pPr>
      <w:r>
        <w:rPr>
          <w:rFonts w:ascii="Times New Roman" w:hAnsi="Times New Roman" w:eastAsia="宋体"/>
          <w:b w:val="0"/>
          <w:sz w:val="24"/>
        </w:rPr>
        <w:t>本人郑重声明：所呈交的综合论文训练论文，是本人在导师指导下，独立进行研究工作所取得的成果。尽我所知，除文中已经注明引用的内容外，本论文的研究成果不包含任何他人享有著作权的内容。对本论文所涉及的研究工作做出贡献的其他个人和集体，均已在文中以明确方式标明。</w:t>
      </w:r>
    </w:p>
    <w:p w14:paraId="0AD79170">
      <w:pPr>
        <w:spacing w:before="0" w:after="0" w:line="400" w:lineRule="exact"/>
        <w:ind w:firstLine="480"/>
        <w:jc w:val="left"/>
      </w:pPr>
      <w:r>
        <w:rPr>
          <w:rFonts w:ascii="Times New Roman" w:hAnsi="Times New Roman" w:eastAsia="宋体"/>
          <w:b w:val="0"/>
          <w:sz w:val="24"/>
        </w:rPr>
        <w:t>签  名：____________</w:t>
      </w:r>
    </w:p>
    <w:p w14:paraId="019D1200">
      <w:pPr>
        <w:spacing w:before="0" w:after="0" w:line="400" w:lineRule="exact"/>
        <w:ind w:firstLine="480"/>
        <w:jc w:val="left"/>
      </w:pPr>
      <w:r>
        <w:rPr>
          <w:rFonts w:ascii="Times New Roman" w:hAnsi="Times New Roman" w:eastAsia="宋体"/>
          <w:b w:val="0"/>
          <w:sz w:val="24"/>
        </w:rPr>
        <w:t>日  期：____________</w:t>
      </w:r>
    </w:p>
    <w:p w14:paraId="2159D0F0">
      <w:r>
        <w:br w:type="page"/>
      </w:r>
    </w:p>
    <w:p w14:paraId="49DB8676">
      <w:pPr>
        <w:spacing w:before="240" w:after="120" w:line="400" w:lineRule="exact"/>
        <w:jc w:val="left"/>
        <w:outlineLvl w:val="0"/>
      </w:pPr>
      <w:bookmarkStart w:id="110" w:name="_Toc15740"/>
      <w:r>
        <w:rPr>
          <w:rFonts w:ascii="Times New Roman" w:hAnsi="Times New Roman" w:eastAsia="黑体"/>
          <w:b/>
          <w:sz w:val="28"/>
        </w:rPr>
        <w:t>在学期间参加课题的研究成果</w:t>
      </w:r>
      <w:bookmarkEnd w:id="110"/>
    </w:p>
    <w:p w14:paraId="6945FE87">
      <w:pPr>
        <w:spacing w:before="0" w:after="0" w:line="400" w:lineRule="exact"/>
        <w:ind w:firstLine="480"/>
        <w:jc w:val="left"/>
      </w:pPr>
      <w:r>
        <w:rPr>
          <w:rFonts w:ascii="Times New Roman" w:hAnsi="Times New Roman" w:eastAsia="宋体"/>
          <w:b w:val="0"/>
          <w:sz w:val="24"/>
        </w:rPr>
        <w:t>本科阶段参与课题的研究成果如下。若学校要求填写正式科研成果，可在本节补入已发表论文、专利或项目证明材料。</w:t>
      </w:r>
    </w:p>
    <w:p w14:paraId="437867A6">
      <w:pPr>
        <w:spacing w:before="0" w:after="0" w:line="400" w:lineRule="exact"/>
        <w:ind w:firstLine="480"/>
        <w:jc w:val="left"/>
      </w:pPr>
      <w:r>
        <w:rPr>
          <w:rFonts w:ascii="Times New Roman" w:hAnsi="Times New Roman" w:eastAsia="宋体"/>
          <w:b w:val="0"/>
          <w:sz w:val="24"/>
        </w:rPr>
        <w:t>参与项目：</w:t>
      </w:r>
    </w:p>
    <w:p w14:paraId="39F1471D">
      <w:pPr>
        <w:pStyle w:val="19"/>
        <w:spacing w:before="0" w:after="0" w:line="400" w:lineRule="exact"/>
      </w:pPr>
      <w:r>
        <w:rPr>
          <w:rFonts w:ascii="Times New Roman" w:hAnsi="Times New Roman" w:eastAsia="宋体"/>
          <w:b w:val="0"/>
          <w:sz w:val="24"/>
        </w:rPr>
        <w:t>本科毕业设计：基于大数据的佛山市南海区旅游景区文旅融合潜力研究（本人）</w:t>
      </w:r>
    </w:p>
    <w:p w14:paraId="4D0EFEFE">
      <w:pPr>
        <w:pStyle w:val="19"/>
        <w:spacing w:before="0" w:after="0" w:line="400" w:lineRule="exact"/>
      </w:pPr>
      <w:r>
        <w:rPr>
          <w:rFonts w:ascii="Times New Roman" w:hAnsi="Times New Roman" w:eastAsia="宋体"/>
          <w:b w:val="0"/>
          <w:sz w:val="24"/>
        </w:rPr>
        <w:t>指导教师主持的与本研究相关的【待填写：课题组或项目名称】工作讨论（2025–2026）</w:t>
      </w:r>
    </w:p>
    <w:p w14:paraId="4618036E">
      <w:pPr>
        <w:spacing w:before="0" w:after="0" w:line="400" w:lineRule="exact"/>
        <w:ind w:firstLine="480"/>
        <w:jc w:val="left"/>
      </w:pPr>
      <w:r>
        <w:rPr>
          <w:rFonts w:ascii="Times New Roman" w:hAnsi="Times New Roman" w:eastAsia="宋体"/>
          <w:b w:val="0"/>
          <w:sz w:val="24"/>
        </w:rPr>
        <w:t>产出：</w:t>
      </w:r>
    </w:p>
    <w:p w14:paraId="74885132">
      <w:pPr>
        <w:pStyle w:val="19"/>
        <w:spacing w:before="0" w:after="0" w:line="400" w:lineRule="exact"/>
      </w:pPr>
      <w:r>
        <w:rPr>
          <w:rFonts w:ascii="Times New Roman" w:hAnsi="Times New Roman" w:eastAsia="宋体"/>
          <w:b w:val="0"/>
          <w:sz w:val="24"/>
        </w:rPr>
        <w:t>开题与中期阶段汇报材料；</w:t>
      </w:r>
    </w:p>
    <w:p w14:paraId="0CBB85C5">
      <w:pPr>
        <w:pStyle w:val="19"/>
        <w:spacing w:before="0" w:after="0" w:line="400" w:lineRule="exact"/>
      </w:pPr>
      <w:r>
        <w:rPr>
          <w:rFonts w:ascii="Times New Roman" w:hAnsi="Times New Roman" w:eastAsia="宋体"/>
          <w:b w:val="0"/>
          <w:sz w:val="24"/>
        </w:rPr>
        <w:t>南海区文化载体与文旅耦合分析支撑数据；</w:t>
      </w:r>
    </w:p>
    <w:p w14:paraId="5827089C">
      <w:pPr>
        <w:pStyle w:val="19"/>
        <w:spacing w:before="0" w:after="0" w:line="400" w:lineRule="exact"/>
      </w:pPr>
      <w:r>
        <w:rPr>
          <w:rFonts w:ascii="Times New Roman" w:hAnsi="Times New Roman" w:eastAsia="宋体"/>
          <w:b w:val="0"/>
          <w:sz w:val="24"/>
        </w:rPr>
        <w:t>载体级与镇街级指数计算、相关分析和空间诊断附表。</w:t>
      </w:r>
    </w:p>
    <w:p w14:paraId="1A1D2472">
      <w:r>
        <w:br w:type="page"/>
      </w:r>
    </w:p>
    <w:sectPr>
      <w:footerReference r:id="rId5" w:type="default"/>
      <w:footnotePr>
        <w:numFmt w:val="decimalEnclosedCircleChinese"/>
      </w:footnotePr>
      <w:pgSz w:w="11906" w:h="16838"/>
      <w:pgMar w:top="1440" w:right="1474" w:bottom="1440" w:left="170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LM Mono 10">
    <w:altName w:val="Calibri"/>
    <w:panose1 w:val="00000000000000000000"/>
    <w:charset w:val="00"/>
    <w:family w:val="modern"/>
    <w:pitch w:val="default"/>
    <w:sig w:usb0="00000000" w:usb1="00000000" w:usb2="00000000" w:usb3="00000000" w:csb0="00000193"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CCE2E">
    <w:pPr>
      <w:pStyle w:val="57"/>
      <w:ind w:left="270" w:hanging="2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lowerRoman"/>
      <w:pStyle w:val="66"/>
      <w:lvlText w:val="%1."/>
      <w:lvlJc w:val="left"/>
      <w:pPr>
        <w:ind w:left="9271" w:hanging="482"/>
      </w:pPr>
      <w:rPr>
        <w:rFonts w:hint="eastAsia"/>
      </w:rPr>
    </w:lvl>
  </w:abstractNum>
  <w:abstractNum w:abstractNumId="1">
    <w:nsid w:val="FFFFFF7D"/>
    <w:multiLevelType w:val="singleLevel"/>
    <w:tmpl w:val="FFFFFF7D"/>
    <w:lvl w:ilvl="0" w:tentative="0">
      <w:start w:val="1"/>
      <w:numFmt w:val="lowerLetter"/>
      <w:pStyle w:val="49"/>
      <w:lvlText w:val="%1."/>
      <w:lvlJc w:val="left"/>
      <w:pPr>
        <w:ind w:left="482" w:hanging="482"/>
      </w:pPr>
      <w:rPr>
        <w:rFonts w:hint="eastAsia"/>
      </w:rPr>
    </w:lvl>
  </w:abstractNum>
  <w:abstractNum w:abstractNumId="2">
    <w:nsid w:val="FFFFFF7E"/>
    <w:multiLevelType w:val="singleLevel"/>
    <w:tmpl w:val="FFFFFF7E"/>
    <w:lvl w:ilvl="0" w:tentative="0">
      <w:start w:val="1"/>
      <w:numFmt w:val="decimal"/>
      <w:pStyle w:val="36"/>
      <w:lvlText w:val="(%1)"/>
      <w:lvlJc w:val="left"/>
      <w:pPr>
        <w:ind w:left="482" w:hanging="482"/>
      </w:pPr>
      <w:rPr>
        <w:rFonts w:hint="eastAsia"/>
      </w:rPr>
    </w:lvl>
  </w:abstractNum>
  <w:abstractNum w:abstractNumId="3">
    <w:nsid w:val="FFFFFF7F"/>
    <w:multiLevelType w:val="singleLevel"/>
    <w:tmpl w:val="FFFFFF7F"/>
    <w:lvl w:ilvl="0" w:tentative="0">
      <w:start w:val="1"/>
      <w:numFmt w:val="decimal"/>
      <w:pStyle w:val="14"/>
      <w:lvlText w:val="%1."/>
      <w:lvlJc w:val="left"/>
      <w:pPr>
        <w:ind w:left="482" w:hanging="482"/>
      </w:pPr>
      <w:rPr>
        <w:rFonts w:hint="eastAsia"/>
      </w:rPr>
    </w:lvl>
  </w:abstractNum>
  <w:abstractNum w:abstractNumId="4">
    <w:nsid w:val="FFFFFF80"/>
    <w:multiLevelType w:val="singleLevel"/>
    <w:tmpl w:val="FFFFFF80"/>
    <w:lvl w:ilvl="0" w:tentative="0">
      <w:start w:val="1"/>
      <w:numFmt w:val="bullet"/>
      <w:pStyle w:val="48"/>
      <w:lvlText w:val="●"/>
      <w:lvlJc w:val="left"/>
      <w:pPr>
        <w:ind w:left="482" w:hanging="482"/>
      </w:pPr>
      <w:rPr>
        <w:rFonts w:hint="default" w:ascii="Times New Roman" w:hAnsi="Times New Roman" w:cs="Times New Roman"/>
      </w:rPr>
    </w:lvl>
  </w:abstractNum>
  <w:abstractNum w:abstractNumId="5">
    <w:nsid w:val="FFFFFF81"/>
    <w:multiLevelType w:val="singleLevel"/>
    <w:tmpl w:val="FFFFFF81"/>
    <w:lvl w:ilvl="0" w:tentative="0">
      <w:start w:val="1"/>
      <w:numFmt w:val="bullet"/>
      <w:pStyle w:val="18"/>
      <w:lvlText w:val="▫"/>
      <w:lvlJc w:val="left"/>
      <w:pPr>
        <w:ind w:left="482" w:hanging="482"/>
      </w:pPr>
      <w:rPr>
        <w:rFonts w:hint="default" w:ascii="Times New Roman" w:hAnsi="Times New Roman" w:cs="Times New Roman"/>
      </w:rPr>
    </w:lvl>
  </w:abstractNum>
  <w:abstractNum w:abstractNumId="6">
    <w:nsid w:val="FFFFFF82"/>
    <w:multiLevelType w:val="singleLevel"/>
    <w:tmpl w:val="FFFFFF82"/>
    <w:lvl w:ilvl="0" w:tentative="0">
      <w:start w:val="1"/>
      <w:numFmt w:val="bullet"/>
      <w:pStyle w:val="33"/>
      <w:lvlText w:val="▪"/>
      <w:lvlJc w:val="left"/>
      <w:pPr>
        <w:ind w:left="482" w:hanging="482"/>
      </w:pPr>
      <w:rPr>
        <w:rFonts w:hint="default" w:ascii="Times New Roman" w:hAnsi="Times New Roman" w:cs="Times New Roman"/>
      </w:rPr>
    </w:lvl>
  </w:abstractNum>
  <w:abstractNum w:abstractNumId="7">
    <w:nsid w:val="FFFFFF83"/>
    <w:multiLevelType w:val="singleLevel"/>
    <w:tmpl w:val="FFFFFF83"/>
    <w:lvl w:ilvl="0" w:tentative="0">
      <w:start w:val="1"/>
      <w:numFmt w:val="bullet"/>
      <w:pStyle w:val="40"/>
      <w:lvlText w:val="◦"/>
      <w:lvlJc w:val="left"/>
      <w:pPr>
        <w:ind w:left="482" w:hanging="482"/>
      </w:pPr>
      <w:rPr>
        <w:rFonts w:hint="default" w:ascii="Times New Roman" w:hAnsi="Times New Roman" w:eastAsia="微软雅黑" w:cs="Times New Roman"/>
      </w:rPr>
    </w:lvl>
  </w:abstractNum>
  <w:abstractNum w:abstractNumId="8">
    <w:nsid w:val="FFFFFF88"/>
    <w:multiLevelType w:val="singleLevel"/>
    <w:tmpl w:val="FFFFFF88"/>
    <w:lvl w:ilvl="0" w:tentative="0">
      <w:start w:val="1"/>
      <w:numFmt w:val="chineseCountingThousand"/>
      <w:pStyle w:val="15"/>
      <w:lvlText w:val="%1、"/>
      <w:lvlJc w:val="left"/>
      <w:pPr>
        <w:ind w:left="482" w:hanging="482"/>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abstractNum>
  <w:abstractNum w:abstractNumId="9">
    <w:nsid w:val="FFFFFF89"/>
    <w:multiLevelType w:val="singleLevel"/>
    <w:tmpl w:val="FFFFFF89"/>
    <w:lvl w:ilvl="0" w:tentative="0">
      <w:start w:val="1"/>
      <w:numFmt w:val="bullet"/>
      <w:pStyle w:val="19"/>
      <w:lvlText w:val=""/>
      <w:lvlJc w:val="left"/>
      <w:pPr>
        <w:ind w:left="482" w:hanging="482"/>
      </w:pPr>
      <w:rPr>
        <w:rFonts w:hint="default" w:ascii="Wingdings" w:hAnsi="Wingdings"/>
      </w:rPr>
    </w:lvl>
  </w:abstractNum>
  <w:abstractNum w:abstractNumId="10">
    <w:nsid w:val="3E23133C"/>
    <w:multiLevelType w:val="multilevel"/>
    <w:tmpl w:val="3E23133C"/>
    <w:lvl w:ilvl="0" w:tentative="0">
      <w:start w:val="1"/>
      <w:numFmt w:val="upperLetter"/>
      <w:pStyle w:val="110"/>
      <w:suff w:val="nothing"/>
      <w:lvlText w:val="附录%1"/>
      <w:lvlJc w:val="left"/>
      <w:pPr>
        <w:ind w:left="0" w:firstLine="0"/>
      </w:pPr>
      <w:rPr>
        <w:rFonts w:hint="default" w:ascii="Arial" w:hAnsi="Arial" w:eastAsia="黑体"/>
      </w:rPr>
    </w:lvl>
    <w:lvl w:ilvl="1" w:tentative="0">
      <w:start w:val="1"/>
      <w:numFmt w:val="decimal"/>
      <w:pStyle w:val="166"/>
      <w:suff w:val="nothing"/>
      <w:lvlText w:val="%1.%2"/>
      <w:lvlJc w:val="left"/>
      <w:pPr>
        <w:ind w:left="0" w:firstLine="0"/>
      </w:pPr>
      <w:rPr>
        <w:rFonts w:hint="eastAsia"/>
      </w:rPr>
    </w:lvl>
    <w:lvl w:ilvl="2" w:tentative="0">
      <w:start w:val="1"/>
      <w:numFmt w:val="decimal"/>
      <w:pStyle w:val="167"/>
      <w:suff w:val="nothing"/>
      <w:lvlText w:val="%1.%2.%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1">
    <w:nsid w:val="582F4184"/>
    <w:multiLevelType w:val="multilevel"/>
    <w:tmpl w:val="582F4184"/>
    <w:lvl w:ilvl="0" w:tentative="0">
      <w:start w:val="1"/>
      <w:numFmt w:val="decimal"/>
      <w:pStyle w:val="3"/>
      <w:suff w:val="nothing"/>
      <w:lvlText w:val="第%1章"/>
      <w:lvlJc w:val="left"/>
      <w:pPr>
        <w:ind w:left="3261" w:firstLine="0"/>
      </w:pPr>
      <w:rPr>
        <w:rFonts w:hint="default" w:ascii="Arial" w:hAnsi="Arial" w:eastAsia="黑体"/>
        <w:b w:val="0"/>
        <w:bCs w:val="0"/>
        <w:i w:val="0"/>
        <w:iCs w:val="0"/>
        <w:caps w:val="0"/>
        <w:smallCaps w:val="0"/>
        <w:strike w:val="0"/>
        <w:dstrike w:val="0"/>
        <w:vanish w:val="0"/>
        <w:color w:val="000000"/>
        <w:spacing w:val="0"/>
        <w:kern w:val="0"/>
        <w:position w:val="0"/>
        <w:u w:val="none"/>
        <w:vertAlign w:val="baseline"/>
        <w:lang w:bidi="zh-CN"/>
        <w14:shadow w14:blurRad="0" w14:dist="0" w14:dir="0" w14:sx="0" w14:sy="0" w14:kx="0" w14:ky="0" w14:algn="none">
          <w14:srgbClr w14:val="000000"/>
        </w14:shadow>
      </w:rPr>
    </w:lvl>
    <w:lvl w:ilvl="1" w:tentative="0">
      <w:start w:val="1"/>
      <w:numFmt w:val="decimal"/>
      <w:suff w:val="nothing"/>
      <w:lvlText w:val="%1.%2"/>
      <w:lvlJc w:val="left"/>
      <w:pPr>
        <w:ind w:left="567" w:firstLine="0"/>
      </w:pPr>
      <w:rPr>
        <w:rFonts w:hint="default" w:ascii="Arial" w:hAnsi="Arial" w:eastAsia="宋体"/>
      </w:rPr>
    </w:lvl>
    <w:lvl w:ilvl="2" w:tentative="0">
      <w:start w:val="1"/>
      <w:numFmt w:val="decimal"/>
      <w:suff w:val="nothing"/>
      <w:lvlText w:val="%1.%2.%3"/>
      <w:lvlJc w:val="left"/>
      <w:pPr>
        <w:ind w:left="0" w:firstLine="0"/>
      </w:pPr>
      <w:rPr>
        <w:rFonts w:hint="default" w:ascii="Arial" w:hAnsi="Arial" w:eastAsia="宋体"/>
      </w:rPr>
    </w:lvl>
    <w:lvl w:ilvl="3" w:tentative="0">
      <w:start w:val="1"/>
      <w:numFmt w:val="decimal"/>
      <w:suff w:val="nothing"/>
      <w:lvlText w:val="%1.%2.%3.%4"/>
      <w:lvlJc w:val="left"/>
      <w:pPr>
        <w:ind w:left="0" w:firstLine="0"/>
      </w:pPr>
      <w:rPr>
        <w:rFonts w:hint="default" w:ascii="Arial" w:hAnsi="Arial" w:eastAsia="宋体"/>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2">
    <w:nsid w:val="760022F2"/>
    <w:multiLevelType w:val="multilevel"/>
    <w:tmpl w:val="760022F2"/>
    <w:lvl w:ilvl="0" w:tentative="0">
      <w:start w:val="1"/>
      <w:numFmt w:val="decimal"/>
      <w:pStyle w:val="108"/>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92F4CED"/>
    <w:multiLevelType w:val="multilevel"/>
    <w:tmpl w:val="792F4CED"/>
    <w:lvl w:ilvl="0" w:tentative="0">
      <w:start w:val="1"/>
      <w:numFmt w:val="decimal"/>
      <w:pStyle w:val="113"/>
      <w:lvlText w:val="%1"/>
      <w:lvlJc w:val="left"/>
      <w:pPr>
        <w:ind w:left="420" w:hanging="42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1"/>
  </w:num>
  <w:num w:numId="2">
    <w:abstractNumId w:val="3"/>
  </w:num>
  <w:num w:numId="3">
    <w:abstractNumId w:val="8"/>
  </w:num>
  <w:num w:numId="4">
    <w:abstractNumId w:val="5"/>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attachedTemplate r:id="rId1"/>
  <w:documentProtection w:enforcement="0"/>
  <w:defaultTabStop w:val="480"/>
  <w:autoHyphenation/>
  <w:displayHorizontalDrawingGridEvery w:val="1"/>
  <w:displayVerticalDrawingGridEvery w:val="1"/>
  <w:noPunctuationKerning w:val="1"/>
  <w:characterSpacingControl w:val="doNotCompress"/>
  <w:footnotePr>
    <w:numFmt w:val="decimalEnclosedCircleChinese"/>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FE3"/>
    <w:rsid w:val="00000257"/>
    <w:rsid w:val="00000CA0"/>
    <w:rsid w:val="000033FE"/>
    <w:rsid w:val="000038FA"/>
    <w:rsid w:val="00003C1F"/>
    <w:rsid w:val="000043EB"/>
    <w:rsid w:val="00004A73"/>
    <w:rsid w:val="00004C09"/>
    <w:rsid w:val="00006F34"/>
    <w:rsid w:val="0000716F"/>
    <w:rsid w:val="000073C7"/>
    <w:rsid w:val="0001069C"/>
    <w:rsid w:val="00011FBC"/>
    <w:rsid w:val="00013C11"/>
    <w:rsid w:val="00014FE4"/>
    <w:rsid w:val="00015922"/>
    <w:rsid w:val="00016C00"/>
    <w:rsid w:val="00017207"/>
    <w:rsid w:val="000176D8"/>
    <w:rsid w:val="00017C64"/>
    <w:rsid w:val="000230B7"/>
    <w:rsid w:val="000252CE"/>
    <w:rsid w:val="00025A04"/>
    <w:rsid w:val="000272B2"/>
    <w:rsid w:val="00027F7F"/>
    <w:rsid w:val="00031D3C"/>
    <w:rsid w:val="000322E7"/>
    <w:rsid w:val="00032517"/>
    <w:rsid w:val="00033874"/>
    <w:rsid w:val="000343AE"/>
    <w:rsid w:val="00036209"/>
    <w:rsid w:val="00036E55"/>
    <w:rsid w:val="00036E8E"/>
    <w:rsid w:val="000370C6"/>
    <w:rsid w:val="00037C1A"/>
    <w:rsid w:val="00040045"/>
    <w:rsid w:val="0004184B"/>
    <w:rsid w:val="00042175"/>
    <w:rsid w:val="0004225D"/>
    <w:rsid w:val="0004378D"/>
    <w:rsid w:val="00043A94"/>
    <w:rsid w:val="00043CD5"/>
    <w:rsid w:val="00043ECB"/>
    <w:rsid w:val="000461CF"/>
    <w:rsid w:val="00046AC3"/>
    <w:rsid w:val="00052CBA"/>
    <w:rsid w:val="000545EF"/>
    <w:rsid w:val="00054866"/>
    <w:rsid w:val="0005523D"/>
    <w:rsid w:val="00055684"/>
    <w:rsid w:val="00055EB7"/>
    <w:rsid w:val="00060128"/>
    <w:rsid w:val="00061FB9"/>
    <w:rsid w:val="0006227F"/>
    <w:rsid w:val="0006295E"/>
    <w:rsid w:val="000633B1"/>
    <w:rsid w:val="0006393E"/>
    <w:rsid w:val="00064659"/>
    <w:rsid w:val="00064B8D"/>
    <w:rsid w:val="00066B03"/>
    <w:rsid w:val="00067471"/>
    <w:rsid w:val="000674B3"/>
    <w:rsid w:val="00067D6C"/>
    <w:rsid w:val="00072EC0"/>
    <w:rsid w:val="00074CAA"/>
    <w:rsid w:val="00075BC8"/>
    <w:rsid w:val="000760AA"/>
    <w:rsid w:val="000762AE"/>
    <w:rsid w:val="000770AE"/>
    <w:rsid w:val="000774AE"/>
    <w:rsid w:val="000777C1"/>
    <w:rsid w:val="0007792E"/>
    <w:rsid w:val="0008014A"/>
    <w:rsid w:val="00080C2D"/>
    <w:rsid w:val="00081EDE"/>
    <w:rsid w:val="00082116"/>
    <w:rsid w:val="000842D5"/>
    <w:rsid w:val="000850F2"/>
    <w:rsid w:val="00086030"/>
    <w:rsid w:val="000868DF"/>
    <w:rsid w:val="00086F41"/>
    <w:rsid w:val="00086F50"/>
    <w:rsid w:val="00087CE5"/>
    <w:rsid w:val="00087E89"/>
    <w:rsid w:val="00090B7D"/>
    <w:rsid w:val="00092091"/>
    <w:rsid w:val="00092A1E"/>
    <w:rsid w:val="00092EB7"/>
    <w:rsid w:val="00093C69"/>
    <w:rsid w:val="000941B0"/>
    <w:rsid w:val="00094C83"/>
    <w:rsid w:val="000A133D"/>
    <w:rsid w:val="000A3B76"/>
    <w:rsid w:val="000A55A2"/>
    <w:rsid w:val="000A5CE0"/>
    <w:rsid w:val="000A729F"/>
    <w:rsid w:val="000A7646"/>
    <w:rsid w:val="000B0B80"/>
    <w:rsid w:val="000B17C6"/>
    <w:rsid w:val="000B21B4"/>
    <w:rsid w:val="000B279D"/>
    <w:rsid w:val="000B2FC9"/>
    <w:rsid w:val="000B2FE4"/>
    <w:rsid w:val="000B533D"/>
    <w:rsid w:val="000B6C3A"/>
    <w:rsid w:val="000B723B"/>
    <w:rsid w:val="000C01BA"/>
    <w:rsid w:val="000C257D"/>
    <w:rsid w:val="000C318C"/>
    <w:rsid w:val="000C3B01"/>
    <w:rsid w:val="000C3DF9"/>
    <w:rsid w:val="000C5479"/>
    <w:rsid w:val="000C612E"/>
    <w:rsid w:val="000C7A0C"/>
    <w:rsid w:val="000D0BB9"/>
    <w:rsid w:val="000D239A"/>
    <w:rsid w:val="000D3A25"/>
    <w:rsid w:val="000D4C04"/>
    <w:rsid w:val="000D5542"/>
    <w:rsid w:val="000D69E9"/>
    <w:rsid w:val="000E08E4"/>
    <w:rsid w:val="000E1EA8"/>
    <w:rsid w:val="000E30B4"/>
    <w:rsid w:val="000E3C9F"/>
    <w:rsid w:val="000E708B"/>
    <w:rsid w:val="000F0B05"/>
    <w:rsid w:val="000F1254"/>
    <w:rsid w:val="000F20F0"/>
    <w:rsid w:val="000F3E82"/>
    <w:rsid w:val="000F4262"/>
    <w:rsid w:val="000F50E6"/>
    <w:rsid w:val="000F5C42"/>
    <w:rsid w:val="000F621E"/>
    <w:rsid w:val="000F625F"/>
    <w:rsid w:val="000F64AC"/>
    <w:rsid w:val="00100D96"/>
    <w:rsid w:val="001014C0"/>
    <w:rsid w:val="00102307"/>
    <w:rsid w:val="00102531"/>
    <w:rsid w:val="0010589E"/>
    <w:rsid w:val="0010708C"/>
    <w:rsid w:val="00111FB2"/>
    <w:rsid w:val="00112567"/>
    <w:rsid w:val="001135FF"/>
    <w:rsid w:val="0011475B"/>
    <w:rsid w:val="00114920"/>
    <w:rsid w:val="00115740"/>
    <w:rsid w:val="00116711"/>
    <w:rsid w:val="00116984"/>
    <w:rsid w:val="00117890"/>
    <w:rsid w:val="001206A1"/>
    <w:rsid w:val="001206DF"/>
    <w:rsid w:val="00122200"/>
    <w:rsid w:val="00122B4B"/>
    <w:rsid w:val="00122E35"/>
    <w:rsid w:val="00125146"/>
    <w:rsid w:val="00125E5C"/>
    <w:rsid w:val="001268F6"/>
    <w:rsid w:val="00126921"/>
    <w:rsid w:val="001304DB"/>
    <w:rsid w:val="001309BC"/>
    <w:rsid w:val="00130B04"/>
    <w:rsid w:val="00130CEE"/>
    <w:rsid w:val="00131392"/>
    <w:rsid w:val="0013140A"/>
    <w:rsid w:val="00131D89"/>
    <w:rsid w:val="001320D5"/>
    <w:rsid w:val="00133985"/>
    <w:rsid w:val="0013601E"/>
    <w:rsid w:val="001361F0"/>
    <w:rsid w:val="001379DE"/>
    <w:rsid w:val="00140C50"/>
    <w:rsid w:val="00140E98"/>
    <w:rsid w:val="00141301"/>
    <w:rsid w:val="0014196D"/>
    <w:rsid w:val="00141BCB"/>
    <w:rsid w:val="001424FF"/>
    <w:rsid w:val="001438E6"/>
    <w:rsid w:val="00144509"/>
    <w:rsid w:val="00147EDE"/>
    <w:rsid w:val="00151361"/>
    <w:rsid w:val="0015355F"/>
    <w:rsid w:val="00154171"/>
    <w:rsid w:val="00155340"/>
    <w:rsid w:val="0015700F"/>
    <w:rsid w:val="001575AB"/>
    <w:rsid w:val="0016456F"/>
    <w:rsid w:val="00165324"/>
    <w:rsid w:val="00170237"/>
    <w:rsid w:val="00170418"/>
    <w:rsid w:val="00171C20"/>
    <w:rsid w:val="00173259"/>
    <w:rsid w:val="00173D7E"/>
    <w:rsid w:val="00173EAE"/>
    <w:rsid w:val="001767D3"/>
    <w:rsid w:val="00176CEA"/>
    <w:rsid w:val="00177855"/>
    <w:rsid w:val="00181863"/>
    <w:rsid w:val="00183215"/>
    <w:rsid w:val="001834CF"/>
    <w:rsid w:val="001851E0"/>
    <w:rsid w:val="00185626"/>
    <w:rsid w:val="001868DD"/>
    <w:rsid w:val="00187F94"/>
    <w:rsid w:val="00191C8D"/>
    <w:rsid w:val="00192B5D"/>
    <w:rsid w:val="00193430"/>
    <w:rsid w:val="00194926"/>
    <w:rsid w:val="00194DE9"/>
    <w:rsid w:val="0019570D"/>
    <w:rsid w:val="001958CC"/>
    <w:rsid w:val="001A0362"/>
    <w:rsid w:val="001A038E"/>
    <w:rsid w:val="001A0FAA"/>
    <w:rsid w:val="001A1E56"/>
    <w:rsid w:val="001A2E82"/>
    <w:rsid w:val="001A3C4A"/>
    <w:rsid w:val="001A600E"/>
    <w:rsid w:val="001A6824"/>
    <w:rsid w:val="001B1680"/>
    <w:rsid w:val="001B31F0"/>
    <w:rsid w:val="001B3A8E"/>
    <w:rsid w:val="001C013B"/>
    <w:rsid w:val="001C0902"/>
    <w:rsid w:val="001C0B82"/>
    <w:rsid w:val="001C0F6B"/>
    <w:rsid w:val="001C26B7"/>
    <w:rsid w:val="001C393C"/>
    <w:rsid w:val="001C420D"/>
    <w:rsid w:val="001C5149"/>
    <w:rsid w:val="001C5D2C"/>
    <w:rsid w:val="001C6776"/>
    <w:rsid w:val="001D0A1C"/>
    <w:rsid w:val="001D1C2E"/>
    <w:rsid w:val="001D1C81"/>
    <w:rsid w:val="001D2343"/>
    <w:rsid w:val="001D264B"/>
    <w:rsid w:val="001D2E38"/>
    <w:rsid w:val="001D48A6"/>
    <w:rsid w:val="001D5490"/>
    <w:rsid w:val="001D6AF4"/>
    <w:rsid w:val="001D7218"/>
    <w:rsid w:val="001E07C8"/>
    <w:rsid w:val="001E3791"/>
    <w:rsid w:val="001E7DBC"/>
    <w:rsid w:val="001F132A"/>
    <w:rsid w:val="001F1AAF"/>
    <w:rsid w:val="001F1C7A"/>
    <w:rsid w:val="001F20F7"/>
    <w:rsid w:val="001F2BCA"/>
    <w:rsid w:val="001F36D1"/>
    <w:rsid w:val="001F374C"/>
    <w:rsid w:val="001F3E76"/>
    <w:rsid w:val="001F4891"/>
    <w:rsid w:val="001F5329"/>
    <w:rsid w:val="001F594D"/>
    <w:rsid w:val="001F6B73"/>
    <w:rsid w:val="001F79D6"/>
    <w:rsid w:val="001F7D26"/>
    <w:rsid w:val="00202BD7"/>
    <w:rsid w:val="00203270"/>
    <w:rsid w:val="0020332A"/>
    <w:rsid w:val="002060C2"/>
    <w:rsid w:val="00210D20"/>
    <w:rsid w:val="0021145D"/>
    <w:rsid w:val="002114B5"/>
    <w:rsid w:val="00214906"/>
    <w:rsid w:val="00215AB1"/>
    <w:rsid w:val="00217C79"/>
    <w:rsid w:val="0022263C"/>
    <w:rsid w:val="00222F2F"/>
    <w:rsid w:val="00226174"/>
    <w:rsid w:val="00226A38"/>
    <w:rsid w:val="0022715D"/>
    <w:rsid w:val="002301F3"/>
    <w:rsid w:val="00231957"/>
    <w:rsid w:val="00231AF9"/>
    <w:rsid w:val="00232071"/>
    <w:rsid w:val="002327F6"/>
    <w:rsid w:val="00232AEA"/>
    <w:rsid w:val="00233D2F"/>
    <w:rsid w:val="0023407E"/>
    <w:rsid w:val="00235F23"/>
    <w:rsid w:val="00237855"/>
    <w:rsid w:val="00237D0A"/>
    <w:rsid w:val="0024016F"/>
    <w:rsid w:val="002421F7"/>
    <w:rsid w:val="00242BDA"/>
    <w:rsid w:val="00242CFA"/>
    <w:rsid w:val="002431A4"/>
    <w:rsid w:val="00244F57"/>
    <w:rsid w:val="00245448"/>
    <w:rsid w:val="00246068"/>
    <w:rsid w:val="00246A37"/>
    <w:rsid w:val="0024796D"/>
    <w:rsid w:val="00251694"/>
    <w:rsid w:val="0025497B"/>
    <w:rsid w:val="00254B5B"/>
    <w:rsid w:val="0025744A"/>
    <w:rsid w:val="00260592"/>
    <w:rsid w:val="002612E0"/>
    <w:rsid w:val="00261A65"/>
    <w:rsid w:val="00261F33"/>
    <w:rsid w:val="00262349"/>
    <w:rsid w:val="00262E30"/>
    <w:rsid w:val="00267C7E"/>
    <w:rsid w:val="00270BE8"/>
    <w:rsid w:val="00270F0B"/>
    <w:rsid w:val="00273687"/>
    <w:rsid w:val="00273B7D"/>
    <w:rsid w:val="0027462A"/>
    <w:rsid w:val="00274963"/>
    <w:rsid w:val="002814FD"/>
    <w:rsid w:val="00281B82"/>
    <w:rsid w:val="002825E1"/>
    <w:rsid w:val="002858F8"/>
    <w:rsid w:val="002871B2"/>
    <w:rsid w:val="00287EBC"/>
    <w:rsid w:val="00290B32"/>
    <w:rsid w:val="00290E87"/>
    <w:rsid w:val="00290E98"/>
    <w:rsid w:val="0029118E"/>
    <w:rsid w:val="002929F3"/>
    <w:rsid w:val="00293B56"/>
    <w:rsid w:val="00293FFC"/>
    <w:rsid w:val="002977AD"/>
    <w:rsid w:val="002A0048"/>
    <w:rsid w:val="002A14E9"/>
    <w:rsid w:val="002A2872"/>
    <w:rsid w:val="002A3E65"/>
    <w:rsid w:val="002A43B6"/>
    <w:rsid w:val="002A485E"/>
    <w:rsid w:val="002A5C24"/>
    <w:rsid w:val="002A6914"/>
    <w:rsid w:val="002A703D"/>
    <w:rsid w:val="002A7AD3"/>
    <w:rsid w:val="002B126C"/>
    <w:rsid w:val="002B14EB"/>
    <w:rsid w:val="002B28ED"/>
    <w:rsid w:val="002B2EF3"/>
    <w:rsid w:val="002B345E"/>
    <w:rsid w:val="002B5157"/>
    <w:rsid w:val="002B6BB5"/>
    <w:rsid w:val="002B705F"/>
    <w:rsid w:val="002B76C3"/>
    <w:rsid w:val="002C0AB9"/>
    <w:rsid w:val="002C1435"/>
    <w:rsid w:val="002C1763"/>
    <w:rsid w:val="002C204E"/>
    <w:rsid w:val="002C21CC"/>
    <w:rsid w:val="002C26B2"/>
    <w:rsid w:val="002C2B78"/>
    <w:rsid w:val="002C3690"/>
    <w:rsid w:val="002C5AB8"/>
    <w:rsid w:val="002D121A"/>
    <w:rsid w:val="002D1B63"/>
    <w:rsid w:val="002D345E"/>
    <w:rsid w:val="002D38EC"/>
    <w:rsid w:val="002D3BA1"/>
    <w:rsid w:val="002D595C"/>
    <w:rsid w:val="002D6864"/>
    <w:rsid w:val="002D6AEC"/>
    <w:rsid w:val="002D6CD4"/>
    <w:rsid w:val="002D7BCD"/>
    <w:rsid w:val="002E1011"/>
    <w:rsid w:val="002E1A56"/>
    <w:rsid w:val="002E335F"/>
    <w:rsid w:val="002E58DC"/>
    <w:rsid w:val="002E6C6E"/>
    <w:rsid w:val="002E71CA"/>
    <w:rsid w:val="002E76C7"/>
    <w:rsid w:val="002F0512"/>
    <w:rsid w:val="002F0965"/>
    <w:rsid w:val="002F3651"/>
    <w:rsid w:val="002F4617"/>
    <w:rsid w:val="002F5195"/>
    <w:rsid w:val="002F5890"/>
    <w:rsid w:val="002F5B4B"/>
    <w:rsid w:val="002F5CFA"/>
    <w:rsid w:val="002F6D42"/>
    <w:rsid w:val="002F6F7B"/>
    <w:rsid w:val="00300E94"/>
    <w:rsid w:val="00303169"/>
    <w:rsid w:val="00304450"/>
    <w:rsid w:val="003045AB"/>
    <w:rsid w:val="003065B7"/>
    <w:rsid w:val="00306E44"/>
    <w:rsid w:val="00310988"/>
    <w:rsid w:val="00311900"/>
    <w:rsid w:val="003124F0"/>
    <w:rsid w:val="003166AF"/>
    <w:rsid w:val="0031773C"/>
    <w:rsid w:val="00320435"/>
    <w:rsid w:val="00322F54"/>
    <w:rsid w:val="003238A2"/>
    <w:rsid w:val="00325EF4"/>
    <w:rsid w:val="00333AAD"/>
    <w:rsid w:val="003348E0"/>
    <w:rsid w:val="00336BC4"/>
    <w:rsid w:val="00337650"/>
    <w:rsid w:val="00337967"/>
    <w:rsid w:val="00343119"/>
    <w:rsid w:val="00343968"/>
    <w:rsid w:val="003439B1"/>
    <w:rsid w:val="0034716C"/>
    <w:rsid w:val="00351306"/>
    <w:rsid w:val="003513E1"/>
    <w:rsid w:val="00352A32"/>
    <w:rsid w:val="00352D56"/>
    <w:rsid w:val="00353F30"/>
    <w:rsid w:val="00354358"/>
    <w:rsid w:val="00355E07"/>
    <w:rsid w:val="00357B86"/>
    <w:rsid w:val="00360E31"/>
    <w:rsid w:val="00364224"/>
    <w:rsid w:val="003660A6"/>
    <w:rsid w:val="00366520"/>
    <w:rsid w:val="00366E9A"/>
    <w:rsid w:val="0037085A"/>
    <w:rsid w:val="003721BD"/>
    <w:rsid w:val="00375CF3"/>
    <w:rsid w:val="00376229"/>
    <w:rsid w:val="0037752F"/>
    <w:rsid w:val="00380DD4"/>
    <w:rsid w:val="00382017"/>
    <w:rsid w:val="003829DA"/>
    <w:rsid w:val="00382B21"/>
    <w:rsid w:val="00385977"/>
    <w:rsid w:val="0038607F"/>
    <w:rsid w:val="0038650B"/>
    <w:rsid w:val="00386DE4"/>
    <w:rsid w:val="00386F3E"/>
    <w:rsid w:val="003917AE"/>
    <w:rsid w:val="00391B53"/>
    <w:rsid w:val="00391F09"/>
    <w:rsid w:val="00391F30"/>
    <w:rsid w:val="003921E1"/>
    <w:rsid w:val="00392964"/>
    <w:rsid w:val="00392A5D"/>
    <w:rsid w:val="003934F7"/>
    <w:rsid w:val="00394D25"/>
    <w:rsid w:val="003960A9"/>
    <w:rsid w:val="003962C4"/>
    <w:rsid w:val="003A17BF"/>
    <w:rsid w:val="003A1820"/>
    <w:rsid w:val="003A3210"/>
    <w:rsid w:val="003A34FB"/>
    <w:rsid w:val="003A35D9"/>
    <w:rsid w:val="003A5FDD"/>
    <w:rsid w:val="003A66B8"/>
    <w:rsid w:val="003B080B"/>
    <w:rsid w:val="003B2B05"/>
    <w:rsid w:val="003B4449"/>
    <w:rsid w:val="003B5942"/>
    <w:rsid w:val="003C0117"/>
    <w:rsid w:val="003C1695"/>
    <w:rsid w:val="003C16BF"/>
    <w:rsid w:val="003C1E47"/>
    <w:rsid w:val="003C268D"/>
    <w:rsid w:val="003C3128"/>
    <w:rsid w:val="003C5B48"/>
    <w:rsid w:val="003C6F39"/>
    <w:rsid w:val="003D124C"/>
    <w:rsid w:val="003D1742"/>
    <w:rsid w:val="003D1781"/>
    <w:rsid w:val="003D4A3D"/>
    <w:rsid w:val="003D4B40"/>
    <w:rsid w:val="003D4E7B"/>
    <w:rsid w:val="003D5610"/>
    <w:rsid w:val="003D5B39"/>
    <w:rsid w:val="003D6410"/>
    <w:rsid w:val="003D6B27"/>
    <w:rsid w:val="003D7DE6"/>
    <w:rsid w:val="003E2322"/>
    <w:rsid w:val="003E471F"/>
    <w:rsid w:val="003E5247"/>
    <w:rsid w:val="003E725A"/>
    <w:rsid w:val="003E73DA"/>
    <w:rsid w:val="003F07AF"/>
    <w:rsid w:val="003F0D2F"/>
    <w:rsid w:val="003F23DE"/>
    <w:rsid w:val="003F2867"/>
    <w:rsid w:val="003F3F72"/>
    <w:rsid w:val="003F4728"/>
    <w:rsid w:val="003F5105"/>
    <w:rsid w:val="003F601A"/>
    <w:rsid w:val="003F640E"/>
    <w:rsid w:val="003F7445"/>
    <w:rsid w:val="003F75EE"/>
    <w:rsid w:val="003F7D1E"/>
    <w:rsid w:val="0040067C"/>
    <w:rsid w:val="00400964"/>
    <w:rsid w:val="00400E35"/>
    <w:rsid w:val="00402235"/>
    <w:rsid w:val="0040391E"/>
    <w:rsid w:val="004058E2"/>
    <w:rsid w:val="00405964"/>
    <w:rsid w:val="00405E5E"/>
    <w:rsid w:val="00405F37"/>
    <w:rsid w:val="004105CE"/>
    <w:rsid w:val="0041115F"/>
    <w:rsid w:val="00411380"/>
    <w:rsid w:val="00411F03"/>
    <w:rsid w:val="0041301A"/>
    <w:rsid w:val="00413F16"/>
    <w:rsid w:val="00414A9F"/>
    <w:rsid w:val="00415519"/>
    <w:rsid w:val="00415851"/>
    <w:rsid w:val="004172DB"/>
    <w:rsid w:val="0041744F"/>
    <w:rsid w:val="0041767A"/>
    <w:rsid w:val="00420ABA"/>
    <w:rsid w:val="004228D1"/>
    <w:rsid w:val="00422EC8"/>
    <w:rsid w:val="0042663D"/>
    <w:rsid w:val="00426AF9"/>
    <w:rsid w:val="00426E3B"/>
    <w:rsid w:val="004305AC"/>
    <w:rsid w:val="00431C0C"/>
    <w:rsid w:val="00432A54"/>
    <w:rsid w:val="004335B6"/>
    <w:rsid w:val="00433FB2"/>
    <w:rsid w:val="00436DF9"/>
    <w:rsid w:val="00441122"/>
    <w:rsid w:val="00441448"/>
    <w:rsid w:val="00441690"/>
    <w:rsid w:val="00442626"/>
    <w:rsid w:val="00442678"/>
    <w:rsid w:val="004439B8"/>
    <w:rsid w:val="00443B30"/>
    <w:rsid w:val="00444051"/>
    <w:rsid w:val="004441E4"/>
    <w:rsid w:val="00444C4F"/>
    <w:rsid w:val="0044533B"/>
    <w:rsid w:val="004457C2"/>
    <w:rsid w:val="00446041"/>
    <w:rsid w:val="0044632F"/>
    <w:rsid w:val="004500B5"/>
    <w:rsid w:val="004504A1"/>
    <w:rsid w:val="00450B08"/>
    <w:rsid w:val="00455669"/>
    <w:rsid w:val="0045720B"/>
    <w:rsid w:val="0045798D"/>
    <w:rsid w:val="00457C09"/>
    <w:rsid w:val="00460281"/>
    <w:rsid w:val="00461482"/>
    <w:rsid w:val="004638A8"/>
    <w:rsid w:val="00464E1A"/>
    <w:rsid w:val="00464F79"/>
    <w:rsid w:val="00466FDD"/>
    <w:rsid w:val="00475005"/>
    <w:rsid w:val="0047572D"/>
    <w:rsid w:val="004769FC"/>
    <w:rsid w:val="00476C46"/>
    <w:rsid w:val="00477C19"/>
    <w:rsid w:val="00480B61"/>
    <w:rsid w:val="00482D00"/>
    <w:rsid w:val="00483C79"/>
    <w:rsid w:val="00484C0F"/>
    <w:rsid w:val="00486C48"/>
    <w:rsid w:val="00486FE3"/>
    <w:rsid w:val="00490A57"/>
    <w:rsid w:val="0049100C"/>
    <w:rsid w:val="0049125F"/>
    <w:rsid w:val="00491C24"/>
    <w:rsid w:val="00492165"/>
    <w:rsid w:val="00493FF7"/>
    <w:rsid w:val="00495D06"/>
    <w:rsid w:val="00497656"/>
    <w:rsid w:val="004A06CA"/>
    <w:rsid w:val="004A095B"/>
    <w:rsid w:val="004A4354"/>
    <w:rsid w:val="004A46AD"/>
    <w:rsid w:val="004A582E"/>
    <w:rsid w:val="004A6659"/>
    <w:rsid w:val="004B030A"/>
    <w:rsid w:val="004B11EA"/>
    <w:rsid w:val="004B25E2"/>
    <w:rsid w:val="004B3D3B"/>
    <w:rsid w:val="004B44B1"/>
    <w:rsid w:val="004B4587"/>
    <w:rsid w:val="004B5DDD"/>
    <w:rsid w:val="004B6487"/>
    <w:rsid w:val="004B689B"/>
    <w:rsid w:val="004C05D6"/>
    <w:rsid w:val="004C184B"/>
    <w:rsid w:val="004C1955"/>
    <w:rsid w:val="004C20F3"/>
    <w:rsid w:val="004C3822"/>
    <w:rsid w:val="004C6AA0"/>
    <w:rsid w:val="004D14F7"/>
    <w:rsid w:val="004D314A"/>
    <w:rsid w:val="004D37CC"/>
    <w:rsid w:val="004D520E"/>
    <w:rsid w:val="004E0EBC"/>
    <w:rsid w:val="004E1B20"/>
    <w:rsid w:val="004E37E6"/>
    <w:rsid w:val="004E4062"/>
    <w:rsid w:val="004E4291"/>
    <w:rsid w:val="004E6414"/>
    <w:rsid w:val="004E6500"/>
    <w:rsid w:val="004E7D1A"/>
    <w:rsid w:val="004E7F8C"/>
    <w:rsid w:val="004F066A"/>
    <w:rsid w:val="004F1814"/>
    <w:rsid w:val="004F2293"/>
    <w:rsid w:val="004F32A8"/>
    <w:rsid w:val="004F4DE7"/>
    <w:rsid w:val="004F52CA"/>
    <w:rsid w:val="004F608C"/>
    <w:rsid w:val="004F6392"/>
    <w:rsid w:val="004F7624"/>
    <w:rsid w:val="00500B8D"/>
    <w:rsid w:val="005010B7"/>
    <w:rsid w:val="005013A3"/>
    <w:rsid w:val="00501705"/>
    <w:rsid w:val="00502542"/>
    <w:rsid w:val="00503E8E"/>
    <w:rsid w:val="00506270"/>
    <w:rsid w:val="00506FEB"/>
    <w:rsid w:val="00511422"/>
    <w:rsid w:val="00512C38"/>
    <w:rsid w:val="00512E36"/>
    <w:rsid w:val="0051470A"/>
    <w:rsid w:val="005149FD"/>
    <w:rsid w:val="00515F66"/>
    <w:rsid w:val="00517E6A"/>
    <w:rsid w:val="0052037B"/>
    <w:rsid w:val="0052455E"/>
    <w:rsid w:val="00524D92"/>
    <w:rsid w:val="00525E5F"/>
    <w:rsid w:val="00526A45"/>
    <w:rsid w:val="00527721"/>
    <w:rsid w:val="0053160B"/>
    <w:rsid w:val="00535546"/>
    <w:rsid w:val="005367A0"/>
    <w:rsid w:val="0053708F"/>
    <w:rsid w:val="0053723E"/>
    <w:rsid w:val="0054101E"/>
    <w:rsid w:val="00541080"/>
    <w:rsid w:val="0054251E"/>
    <w:rsid w:val="00542D4B"/>
    <w:rsid w:val="00544B30"/>
    <w:rsid w:val="00545494"/>
    <w:rsid w:val="00545EE2"/>
    <w:rsid w:val="005472B3"/>
    <w:rsid w:val="005479D2"/>
    <w:rsid w:val="00547D95"/>
    <w:rsid w:val="00550A46"/>
    <w:rsid w:val="00550D91"/>
    <w:rsid w:val="00552DC6"/>
    <w:rsid w:val="00553367"/>
    <w:rsid w:val="00553E4D"/>
    <w:rsid w:val="0055482C"/>
    <w:rsid w:val="00554C49"/>
    <w:rsid w:val="00557D59"/>
    <w:rsid w:val="00557EA3"/>
    <w:rsid w:val="00564655"/>
    <w:rsid w:val="00564BB2"/>
    <w:rsid w:val="00564EA6"/>
    <w:rsid w:val="005668F7"/>
    <w:rsid w:val="00566A4E"/>
    <w:rsid w:val="00566D30"/>
    <w:rsid w:val="00570611"/>
    <w:rsid w:val="00570AB3"/>
    <w:rsid w:val="005712DF"/>
    <w:rsid w:val="00571395"/>
    <w:rsid w:val="00572094"/>
    <w:rsid w:val="0057209F"/>
    <w:rsid w:val="00573EB1"/>
    <w:rsid w:val="00574274"/>
    <w:rsid w:val="00575999"/>
    <w:rsid w:val="005769B2"/>
    <w:rsid w:val="00576AD0"/>
    <w:rsid w:val="005777D2"/>
    <w:rsid w:val="00581596"/>
    <w:rsid w:val="005821DF"/>
    <w:rsid w:val="005836A9"/>
    <w:rsid w:val="00583C72"/>
    <w:rsid w:val="00584B59"/>
    <w:rsid w:val="00585B21"/>
    <w:rsid w:val="00586325"/>
    <w:rsid w:val="00587CE5"/>
    <w:rsid w:val="005902F0"/>
    <w:rsid w:val="00591747"/>
    <w:rsid w:val="0059392B"/>
    <w:rsid w:val="00593C7A"/>
    <w:rsid w:val="0059458A"/>
    <w:rsid w:val="005958C6"/>
    <w:rsid w:val="00596891"/>
    <w:rsid w:val="005968A5"/>
    <w:rsid w:val="005A0D2C"/>
    <w:rsid w:val="005A0FA2"/>
    <w:rsid w:val="005A2EEB"/>
    <w:rsid w:val="005A4865"/>
    <w:rsid w:val="005A5A9C"/>
    <w:rsid w:val="005A5EF9"/>
    <w:rsid w:val="005B075E"/>
    <w:rsid w:val="005B0EE5"/>
    <w:rsid w:val="005B0FBF"/>
    <w:rsid w:val="005B2277"/>
    <w:rsid w:val="005B27AE"/>
    <w:rsid w:val="005B3B94"/>
    <w:rsid w:val="005B3DBC"/>
    <w:rsid w:val="005B705E"/>
    <w:rsid w:val="005B75A8"/>
    <w:rsid w:val="005B7F0D"/>
    <w:rsid w:val="005C3E8B"/>
    <w:rsid w:val="005C3F02"/>
    <w:rsid w:val="005C5825"/>
    <w:rsid w:val="005D0338"/>
    <w:rsid w:val="005D08AC"/>
    <w:rsid w:val="005D0F14"/>
    <w:rsid w:val="005D0F2F"/>
    <w:rsid w:val="005D19B9"/>
    <w:rsid w:val="005D2928"/>
    <w:rsid w:val="005D4A8E"/>
    <w:rsid w:val="005D7D87"/>
    <w:rsid w:val="005E01AB"/>
    <w:rsid w:val="005E18F5"/>
    <w:rsid w:val="005E7566"/>
    <w:rsid w:val="005F00D7"/>
    <w:rsid w:val="005F17DD"/>
    <w:rsid w:val="005F1D69"/>
    <w:rsid w:val="005F231E"/>
    <w:rsid w:val="005F2D04"/>
    <w:rsid w:val="005F2DF4"/>
    <w:rsid w:val="005F3983"/>
    <w:rsid w:val="005F4632"/>
    <w:rsid w:val="005F5083"/>
    <w:rsid w:val="00600752"/>
    <w:rsid w:val="00602FDF"/>
    <w:rsid w:val="00603AA5"/>
    <w:rsid w:val="006045F1"/>
    <w:rsid w:val="00604B91"/>
    <w:rsid w:val="00605174"/>
    <w:rsid w:val="00605AE7"/>
    <w:rsid w:val="0060647D"/>
    <w:rsid w:val="00607BB3"/>
    <w:rsid w:val="00610D81"/>
    <w:rsid w:val="006131C6"/>
    <w:rsid w:val="00617529"/>
    <w:rsid w:val="00620097"/>
    <w:rsid w:val="00620285"/>
    <w:rsid w:val="00621DF8"/>
    <w:rsid w:val="006228D6"/>
    <w:rsid w:val="00622EA2"/>
    <w:rsid w:val="0062331E"/>
    <w:rsid w:val="006240A7"/>
    <w:rsid w:val="006241B7"/>
    <w:rsid w:val="00624D55"/>
    <w:rsid w:val="00625B62"/>
    <w:rsid w:val="006260FB"/>
    <w:rsid w:val="00626B7C"/>
    <w:rsid w:val="00627568"/>
    <w:rsid w:val="006327EB"/>
    <w:rsid w:val="006332A9"/>
    <w:rsid w:val="00636C3B"/>
    <w:rsid w:val="006376B4"/>
    <w:rsid w:val="006377C6"/>
    <w:rsid w:val="00637D76"/>
    <w:rsid w:val="006429B8"/>
    <w:rsid w:val="006437DD"/>
    <w:rsid w:val="006450B3"/>
    <w:rsid w:val="006459B2"/>
    <w:rsid w:val="00646005"/>
    <w:rsid w:val="00646D0A"/>
    <w:rsid w:val="00647601"/>
    <w:rsid w:val="00647656"/>
    <w:rsid w:val="006479AB"/>
    <w:rsid w:val="00650164"/>
    <w:rsid w:val="006504AA"/>
    <w:rsid w:val="00650954"/>
    <w:rsid w:val="00652715"/>
    <w:rsid w:val="00652C80"/>
    <w:rsid w:val="00652EED"/>
    <w:rsid w:val="00653501"/>
    <w:rsid w:val="0065399C"/>
    <w:rsid w:val="00653A1C"/>
    <w:rsid w:val="00653DE3"/>
    <w:rsid w:val="00654C11"/>
    <w:rsid w:val="00655944"/>
    <w:rsid w:val="00656266"/>
    <w:rsid w:val="00656791"/>
    <w:rsid w:val="00657EF5"/>
    <w:rsid w:val="00660CB4"/>
    <w:rsid w:val="00660DBD"/>
    <w:rsid w:val="006627EB"/>
    <w:rsid w:val="0066335F"/>
    <w:rsid w:val="00663EA0"/>
    <w:rsid w:val="006644EB"/>
    <w:rsid w:val="00664C98"/>
    <w:rsid w:val="0066535A"/>
    <w:rsid w:val="006666D9"/>
    <w:rsid w:val="0067214E"/>
    <w:rsid w:val="006723FE"/>
    <w:rsid w:val="0067299E"/>
    <w:rsid w:val="006773E2"/>
    <w:rsid w:val="0068047A"/>
    <w:rsid w:val="006805AE"/>
    <w:rsid w:val="00680CA9"/>
    <w:rsid w:val="00681194"/>
    <w:rsid w:val="00681380"/>
    <w:rsid w:val="00681C9E"/>
    <w:rsid w:val="0068271C"/>
    <w:rsid w:val="00685FAC"/>
    <w:rsid w:val="00687F33"/>
    <w:rsid w:val="00690CFF"/>
    <w:rsid w:val="006919BC"/>
    <w:rsid w:val="00691E81"/>
    <w:rsid w:val="00692BDF"/>
    <w:rsid w:val="00693FCC"/>
    <w:rsid w:val="006950FE"/>
    <w:rsid w:val="006954C2"/>
    <w:rsid w:val="00697500"/>
    <w:rsid w:val="006A129B"/>
    <w:rsid w:val="006A18E7"/>
    <w:rsid w:val="006A1F58"/>
    <w:rsid w:val="006A412D"/>
    <w:rsid w:val="006A47DD"/>
    <w:rsid w:val="006A6A7D"/>
    <w:rsid w:val="006B2BEC"/>
    <w:rsid w:val="006B4B0D"/>
    <w:rsid w:val="006B56AA"/>
    <w:rsid w:val="006C14E4"/>
    <w:rsid w:val="006C1CAF"/>
    <w:rsid w:val="006C29F7"/>
    <w:rsid w:val="006C3D82"/>
    <w:rsid w:val="006C51D2"/>
    <w:rsid w:val="006C52E0"/>
    <w:rsid w:val="006C5588"/>
    <w:rsid w:val="006C7255"/>
    <w:rsid w:val="006D0E76"/>
    <w:rsid w:val="006D1B64"/>
    <w:rsid w:val="006D2BFA"/>
    <w:rsid w:val="006D36AE"/>
    <w:rsid w:val="006D6C1A"/>
    <w:rsid w:val="006D7760"/>
    <w:rsid w:val="006E1327"/>
    <w:rsid w:val="006E153B"/>
    <w:rsid w:val="006E26EC"/>
    <w:rsid w:val="006E27A3"/>
    <w:rsid w:val="006E3812"/>
    <w:rsid w:val="006E47C4"/>
    <w:rsid w:val="006E5C88"/>
    <w:rsid w:val="006E6F11"/>
    <w:rsid w:val="006E748A"/>
    <w:rsid w:val="006F056B"/>
    <w:rsid w:val="006F1C05"/>
    <w:rsid w:val="006F22C8"/>
    <w:rsid w:val="006F30C2"/>
    <w:rsid w:val="006F355C"/>
    <w:rsid w:val="006F3EF6"/>
    <w:rsid w:val="006F4379"/>
    <w:rsid w:val="006F588E"/>
    <w:rsid w:val="006F5F04"/>
    <w:rsid w:val="006F64F0"/>
    <w:rsid w:val="006F7041"/>
    <w:rsid w:val="006F7ABF"/>
    <w:rsid w:val="00700283"/>
    <w:rsid w:val="007012C9"/>
    <w:rsid w:val="007016CB"/>
    <w:rsid w:val="0070371D"/>
    <w:rsid w:val="00705AC4"/>
    <w:rsid w:val="007064E4"/>
    <w:rsid w:val="00706E9F"/>
    <w:rsid w:val="00710528"/>
    <w:rsid w:val="0071271E"/>
    <w:rsid w:val="00712EE4"/>
    <w:rsid w:val="00713224"/>
    <w:rsid w:val="00715A42"/>
    <w:rsid w:val="00716D92"/>
    <w:rsid w:val="007204CD"/>
    <w:rsid w:val="0072334E"/>
    <w:rsid w:val="00723E0D"/>
    <w:rsid w:val="007308E3"/>
    <w:rsid w:val="00732F19"/>
    <w:rsid w:val="00733A6C"/>
    <w:rsid w:val="00734429"/>
    <w:rsid w:val="007365FD"/>
    <w:rsid w:val="00736F00"/>
    <w:rsid w:val="007402D4"/>
    <w:rsid w:val="00740C9A"/>
    <w:rsid w:val="007420CF"/>
    <w:rsid w:val="007442A7"/>
    <w:rsid w:val="00744547"/>
    <w:rsid w:val="00744B02"/>
    <w:rsid w:val="00745756"/>
    <w:rsid w:val="00745F43"/>
    <w:rsid w:val="00746622"/>
    <w:rsid w:val="00750F7A"/>
    <w:rsid w:val="0075121C"/>
    <w:rsid w:val="00751C18"/>
    <w:rsid w:val="007524F1"/>
    <w:rsid w:val="0075309F"/>
    <w:rsid w:val="0075314C"/>
    <w:rsid w:val="00753CAE"/>
    <w:rsid w:val="007557F2"/>
    <w:rsid w:val="00755D09"/>
    <w:rsid w:val="00756FB3"/>
    <w:rsid w:val="007577CF"/>
    <w:rsid w:val="00762C19"/>
    <w:rsid w:val="007635D4"/>
    <w:rsid w:val="0076375F"/>
    <w:rsid w:val="00764CBD"/>
    <w:rsid w:val="00770BD9"/>
    <w:rsid w:val="00771502"/>
    <w:rsid w:val="00772866"/>
    <w:rsid w:val="0077696D"/>
    <w:rsid w:val="00776C1B"/>
    <w:rsid w:val="007800FA"/>
    <w:rsid w:val="00782E3B"/>
    <w:rsid w:val="00784A89"/>
    <w:rsid w:val="00785650"/>
    <w:rsid w:val="00791562"/>
    <w:rsid w:val="007945A8"/>
    <w:rsid w:val="0079555E"/>
    <w:rsid w:val="007959F9"/>
    <w:rsid w:val="00796836"/>
    <w:rsid w:val="00796CC0"/>
    <w:rsid w:val="007A2CA6"/>
    <w:rsid w:val="007A367C"/>
    <w:rsid w:val="007A4088"/>
    <w:rsid w:val="007A469D"/>
    <w:rsid w:val="007A5C46"/>
    <w:rsid w:val="007A63F9"/>
    <w:rsid w:val="007A6BA0"/>
    <w:rsid w:val="007A733C"/>
    <w:rsid w:val="007A7BC6"/>
    <w:rsid w:val="007B2D01"/>
    <w:rsid w:val="007B4ACF"/>
    <w:rsid w:val="007B63F2"/>
    <w:rsid w:val="007B6C3C"/>
    <w:rsid w:val="007B6CDE"/>
    <w:rsid w:val="007B6E7E"/>
    <w:rsid w:val="007B78DB"/>
    <w:rsid w:val="007C05C3"/>
    <w:rsid w:val="007C0608"/>
    <w:rsid w:val="007C06A3"/>
    <w:rsid w:val="007C105E"/>
    <w:rsid w:val="007C1655"/>
    <w:rsid w:val="007C1BBB"/>
    <w:rsid w:val="007C206E"/>
    <w:rsid w:val="007C2BC0"/>
    <w:rsid w:val="007C3348"/>
    <w:rsid w:val="007C4625"/>
    <w:rsid w:val="007C58A2"/>
    <w:rsid w:val="007C6B3E"/>
    <w:rsid w:val="007C6F86"/>
    <w:rsid w:val="007D2959"/>
    <w:rsid w:val="007D3F3B"/>
    <w:rsid w:val="007D593F"/>
    <w:rsid w:val="007E117D"/>
    <w:rsid w:val="007E4080"/>
    <w:rsid w:val="007E41A2"/>
    <w:rsid w:val="007E4AE9"/>
    <w:rsid w:val="007E4E26"/>
    <w:rsid w:val="007E7339"/>
    <w:rsid w:val="007E775E"/>
    <w:rsid w:val="007E7C58"/>
    <w:rsid w:val="007E7E06"/>
    <w:rsid w:val="007F04D9"/>
    <w:rsid w:val="007F12D7"/>
    <w:rsid w:val="007F1737"/>
    <w:rsid w:val="007F1FFA"/>
    <w:rsid w:val="007F2ABB"/>
    <w:rsid w:val="007F33F9"/>
    <w:rsid w:val="007F3B64"/>
    <w:rsid w:val="007F3C2B"/>
    <w:rsid w:val="007F519D"/>
    <w:rsid w:val="007F60B0"/>
    <w:rsid w:val="007F7A07"/>
    <w:rsid w:val="007F7AE8"/>
    <w:rsid w:val="008006EE"/>
    <w:rsid w:val="00801EED"/>
    <w:rsid w:val="00802C59"/>
    <w:rsid w:val="00803A00"/>
    <w:rsid w:val="008045CD"/>
    <w:rsid w:val="00804945"/>
    <w:rsid w:val="00805054"/>
    <w:rsid w:val="008055CE"/>
    <w:rsid w:val="008055F7"/>
    <w:rsid w:val="00805FFF"/>
    <w:rsid w:val="00806E82"/>
    <w:rsid w:val="00807B5A"/>
    <w:rsid w:val="00812018"/>
    <w:rsid w:val="008129CD"/>
    <w:rsid w:val="00812AA7"/>
    <w:rsid w:val="0081409C"/>
    <w:rsid w:val="00815642"/>
    <w:rsid w:val="008159DF"/>
    <w:rsid w:val="00816B2C"/>
    <w:rsid w:val="00816C0F"/>
    <w:rsid w:val="00816F87"/>
    <w:rsid w:val="0081721D"/>
    <w:rsid w:val="0082117E"/>
    <w:rsid w:val="00822204"/>
    <w:rsid w:val="00823167"/>
    <w:rsid w:val="008234E9"/>
    <w:rsid w:val="00823746"/>
    <w:rsid w:val="00823993"/>
    <w:rsid w:val="008242B1"/>
    <w:rsid w:val="008249F8"/>
    <w:rsid w:val="00824EA6"/>
    <w:rsid w:val="008255F8"/>
    <w:rsid w:val="00830F7F"/>
    <w:rsid w:val="0083141C"/>
    <w:rsid w:val="008319DA"/>
    <w:rsid w:val="008320A7"/>
    <w:rsid w:val="0083534C"/>
    <w:rsid w:val="00836B13"/>
    <w:rsid w:val="008375EA"/>
    <w:rsid w:val="008376E9"/>
    <w:rsid w:val="00837D14"/>
    <w:rsid w:val="00840BE8"/>
    <w:rsid w:val="00841804"/>
    <w:rsid w:val="00841807"/>
    <w:rsid w:val="00841EE9"/>
    <w:rsid w:val="00844743"/>
    <w:rsid w:val="00846D6E"/>
    <w:rsid w:val="00847006"/>
    <w:rsid w:val="0084730D"/>
    <w:rsid w:val="0085068A"/>
    <w:rsid w:val="00852C10"/>
    <w:rsid w:val="00852E4C"/>
    <w:rsid w:val="00853C29"/>
    <w:rsid w:val="00854F39"/>
    <w:rsid w:val="008621D6"/>
    <w:rsid w:val="00863F1F"/>
    <w:rsid w:val="00865407"/>
    <w:rsid w:val="008654AC"/>
    <w:rsid w:val="0086579E"/>
    <w:rsid w:val="0087151B"/>
    <w:rsid w:val="00871BD6"/>
    <w:rsid w:val="00873096"/>
    <w:rsid w:val="00874534"/>
    <w:rsid w:val="00877286"/>
    <w:rsid w:val="00880F51"/>
    <w:rsid w:val="008822DD"/>
    <w:rsid w:val="00882E95"/>
    <w:rsid w:val="0088384E"/>
    <w:rsid w:val="008839E2"/>
    <w:rsid w:val="00883D39"/>
    <w:rsid w:val="0088464D"/>
    <w:rsid w:val="008849EF"/>
    <w:rsid w:val="008850C5"/>
    <w:rsid w:val="00886498"/>
    <w:rsid w:val="00887CF7"/>
    <w:rsid w:val="00890AE2"/>
    <w:rsid w:val="00892A09"/>
    <w:rsid w:val="008945FE"/>
    <w:rsid w:val="0089542A"/>
    <w:rsid w:val="00896DD1"/>
    <w:rsid w:val="008A0444"/>
    <w:rsid w:val="008A1456"/>
    <w:rsid w:val="008A31CF"/>
    <w:rsid w:val="008A3E5D"/>
    <w:rsid w:val="008A3EC4"/>
    <w:rsid w:val="008A47F9"/>
    <w:rsid w:val="008A76E3"/>
    <w:rsid w:val="008B0E54"/>
    <w:rsid w:val="008B1B04"/>
    <w:rsid w:val="008B34EC"/>
    <w:rsid w:val="008B4229"/>
    <w:rsid w:val="008B6841"/>
    <w:rsid w:val="008B7EC8"/>
    <w:rsid w:val="008C108A"/>
    <w:rsid w:val="008C176A"/>
    <w:rsid w:val="008C1AC0"/>
    <w:rsid w:val="008C1B4C"/>
    <w:rsid w:val="008C1DB5"/>
    <w:rsid w:val="008C1F5A"/>
    <w:rsid w:val="008C2B44"/>
    <w:rsid w:val="008C366C"/>
    <w:rsid w:val="008C4BCE"/>
    <w:rsid w:val="008C5035"/>
    <w:rsid w:val="008C64A2"/>
    <w:rsid w:val="008C7B8E"/>
    <w:rsid w:val="008D19B3"/>
    <w:rsid w:val="008D2E1C"/>
    <w:rsid w:val="008D2EC3"/>
    <w:rsid w:val="008D400C"/>
    <w:rsid w:val="008D41C7"/>
    <w:rsid w:val="008D4409"/>
    <w:rsid w:val="008D4DAA"/>
    <w:rsid w:val="008D4EA0"/>
    <w:rsid w:val="008D5CAC"/>
    <w:rsid w:val="008D6DE3"/>
    <w:rsid w:val="008E0BE2"/>
    <w:rsid w:val="008E0E62"/>
    <w:rsid w:val="008E1B13"/>
    <w:rsid w:val="008E2B05"/>
    <w:rsid w:val="008E3C8D"/>
    <w:rsid w:val="008E4FB5"/>
    <w:rsid w:val="008F39C6"/>
    <w:rsid w:val="008F3D2C"/>
    <w:rsid w:val="008F469F"/>
    <w:rsid w:val="008F4DC9"/>
    <w:rsid w:val="008F4E62"/>
    <w:rsid w:val="008F699E"/>
    <w:rsid w:val="00902435"/>
    <w:rsid w:val="00902549"/>
    <w:rsid w:val="00902BC2"/>
    <w:rsid w:val="00902BF4"/>
    <w:rsid w:val="009031C1"/>
    <w:rsid w:val="00903595"/>
    <w:rsid w:val="00903AFC"/>
    <w:rsid w:val="00903CB4"/>
    <w:rsid w:val="00904EC0"/>
    <w:rsid w:val="0090683C"/>
    <w:rsid w:val="00910864"/>
    <w:rsid w:val="00911227"/>
    <w:rsid w:val="009154BC"/>
    <w:rsid w:val="00917D51"/>
    <w:rsid w:val="00917F0E"/>
    <w:rsid w:val="00917FB9"/>
    <w:rsid w:val="009211E3"/>
    <w:rsid w:val="009230F3"/>
    <w:rsid w:val="00923716"/>
    <w:rsid w:val="00923863"/>
    <w:rsid w:val="00923EC5"/>
    <w:rsid w:val="0092579D"/>
    <w:rsid w:val="009259DF"/>
    <w:rsid w:val="009259F8"/>
    <w:rsid w:val="00926F5F"/>
    <w:rsid w:val="00927681"/>
    <w:rsid w:val="00933B11"/>
    <w:rsid w:val="0093444A"/>
    <w:rsid w:val="009365E6"/>
    <w:rsid w:val="0093667D"/>
    <w:rsid w:val="00936BC1"/>
    <w:rsid w:val="00936BFF"/>
    <w:rsid w:val="0093714C"/>
    <w:rsid w:val="009373C0"/>
    <w:rsid w:val="009379CF"/>
    <w:rsid w:val="00937A01"/>
    <w:rsid w:val="00940FBC"/>
    <w:rsid w:val="00943CD7"/>
    <w:rsid w:val="00943D8C"/>
    <w:rsid w:val="00945DBF"/>
    <w:rsid w:val="009467F3"/>
    <w:rsid w:val="009472AB"/>
    <w:rsid w:val="009517AB"/>
    <w:rsid w:val="0095181F"/>
    <w:rsid w:val="00952A8B"/>
    <w:rsid w:val="00952B5A"/>
    <w:rsid w:val="00953529"/>
    <w:rsid w:val="0095399E"/>
    <w:rsid w:val="00955257"/>
    <w:rsid w:val="00956797"/>
    <w:rsid w:val="009618ED"/>
    <w:rsid w:val="009623F0"/>
    <w:rsid w:val="009635A6"/>
    <w:rsid w:val="00963B3C"/>
    <w:rsid w:val="0096481E"/>
    <w:rsid w:val="00964D33"/>
    <w:rsid w:val="00965477"/>
    <w:rsid w:val="00967907"/>
    <w:rsid w:val="00970660"/>
    <w:rsid w:val="00970A92"/>
    <w:rsid w:val="00970E36"/>
    <w:rsid w:val="00971F6B"/>
    <w:rsid w:val="00972427"/>
    <w:rsid w:val="00972748"/>
    <w:rsid w:val="00973D19"/>
    <w:rsid w:val="0097767F"/>
    <w:rsid w:val="009804EA"/>
    <w:rsid w:val="00980A62"/>
    <w:rsid w:val="009822E3"/>
    <w:rsid w:val="00982778"/>
    <w:rsid w:val="00982FAC"/>
    <w:rsid w:val="009830C6"/>
    <w:rsid w:val="009837CF"/>
    <w:rsid w:val="009841A5"/>
    <w:rsid w:val="009851A9"/>
    <w:rsid w:val="00986184"/>
    <w:rsid w:val="00990B4C"/>
    <w:rsid w:val="009922B1"/>
    <w:rsid w:val="0099287E"/>
    <w:rsid w:val="00992ABE"/>
    <w:rsid w:val="00992DFC"/>
    <w:rsid w:val="00995BA9"/>
    <w:rsid w:val="00997471"/>
    <w:rsid w:val="009A025D"/>
    <w:rsid w:val="009A0281"/>
    <w:rsid w:val="009A0E1A"/>
    <w:rsid w:val="009A0ED6"/>
    <w:rsid w:val="009A10D8"/>
    <w:rsid w:val="009A1BCE"/>
    <w:rsid w:val="009A2791"/>
    <w:rsid w:val="009A31B2"/>
    <w:rsid w:val="009A36FE"/>
    <w:rsid w:val="009A3E12"/>
    <w:rsid w:val="009A49D8"/>
    <w:rsid w:val="009A6457"/>
    <w:rsid w:val="009A6C82"/>
    <w:rsid w:val="009A7245"/>
    <w:rsid w:val="009A77CA"/>
    <w:rsid w:val="009B1774"/>
    <w:rsid w:val="009B3186"/>
    <w:rsid w:val="009B4136"/>
    <w:rsid w:val="009B7C89"/>
    <w:rsid w:val="009C17DC"/>
    <w:rsid w:val="009C22E9"/>
    <w:rsid w:val="009C27AE"/>
    <w:rsid w:val="009C3ABA"/>
    <w:rsid w:val="009C56CD"/>
    <w:rsid w:val="009C7107"/>
    <w:rsid w:val="009C755C"/>
    <w:rsid w:val="009D0FE3"/>
    <w:rsid w:val="009D2A96"/>
    <w:rsid w:val="009D3237"/>
    <w:rsid w:val="009D4612"/>
    <w:rsid w:val="009E0479"/>
    <w:rsid w:val="009E0C73"/>
    <w:rsid w:val="009E0CFB"/>
    <w:rsid w:val="009E26A9"/>
    <w:rsid w:val="009E3220"/>
    <w:rsid w:val="009E3B47"/>
    <w:rsid w:val="009E3F29"/>
    <w:rsid w:val="009E4CD8"/>
    <w:rsid w:val="009E67D0"/>
    <w:rsid w:val="009E71C9"/>
    <w:rsid w:val="009F0ED8"/>
    <w:rsid w:val="009F1A81"/>
    <w:rsid w:val="009F2FA9"/>
    <w:rsid w:val="009F36ED"/>
    <w:rsid w:val="009F3826"/>
    <w:rsid w:val="009F4449"/>
    <w:rsid w:val="009F4E89"/>
    <w:rsid w:val="009F4E95"/>
    <w:rsid w:val="009F696E"/>
    <w:rsid w:val="009F6A91"/>
    <w:rsid w:val="009F6C78"/>
    <w:rsid w:val="009F7C25"/>
    <w:rsid w:val="00A01458"/>
    <w:rsid w:val="00A01D93"/>
    <w:rsid w:val="00A01DEC"/>
    <w:rsid w:val="00A01F86"/>
    <w:rsid w:val="00A0267E"/>
    <w:rsid w:val="00A047F2"/>
    <w:rsid w:val="00A0481A"/>
    <w:rsid w:val="00A04BF7"/>
    <w:rsid w:val="00A05556"/>
    <w:rsid w:val="00A057B5"/>
    <w:rsid w:val="00A07CA1"/>
    <w:rsid w:val="00A13F6C"/>
    <w:rsid w:val="00A14274"/>
    <w:rsid w:val="00A146CE"/>
    <w:rsid w:val="00A17753"/>
    <w:rsid w:val="00A210A8"/>
    <w:rsid w:val="00A2128E"/>
    <w:rsid w:val="00A21EB0"/>
    <w:rsid w:val="00A224A6"/>
    <w:rsid w:val="00A22CDE"/>
    <w:rsid w:val="00A2349D"/>
    <w:rsid w:val="00A24F5C"/>
    <w:rsid w:val="00A252AC"/>
    <w:rsid w:val="00A26F95"/>
    <w:rsid w:val="00A27C4F"/>
    <w:rsid w:val="00A302A8"/>
    <w:rsid w:val="00A3159E"/>
    <w:rsid w:val="00A324B1"/>
    <w:rsid w:val="00A33546"/>
    <w:rsid w:val="00A33EAB"/>
    <w:rsid w:val="00A34D9E"/>
    <w:rsid w:val="00A35688"/>
    <w:rsid w:val="00A35741"/>
    <w:rsid w:val="00A357FD"/>
    <w:rsid w:val="00A35A49"/>
    <w:rsid w:val="00A404FF"/>
    <w:rsid w:val="00A40DD2"/>
    <w:rsid w:val="00A42819"/>
    <w:rsid w:val="00A444A5"/>
    <w:rsid w:val="00A44ED2"/>
    <w:rsid w:val="00A46FA8"/>
    <w:rsid w:val="00A47805"/>
    <w:rsid w:val="00A51506"/>
    <w:rsid w:val="00A5305E"/>
    <w:rsid w:val="00A54948"/>
    <w:rsid w:val="00A54A08"/>
    <w:rsid w:val="00A54A9B"/>
    <w:rsid w:val="00A55BDF"/>
    <w:rsid w:val="00A6003B"/>
    <w:rsid w:val="00A60A15"/>
    <w:rsid w:val="00A629B2"/>
    <w:rsid w:val="00A634E2"/>
    <w:rsid w:val="00A64342"/>
    <w:rsid w:val="00A64365"/>
    <w:rsid w:val="00A655E0"/>
    <w:rsid w:val="00A6583A"/>
    <w:rsid w:val="00A66203"/>
    <w:rsid w:val="00A66C13"/>
    <w:rsid w:val="00A706BE"/>
    <w:rsid w:val="00A73CDC"/>
    <w:rsid w:val="00A745F2"/>
    <w:rsid w:val="00A7499F"/>
    <w:rsid w:val="00A74B0D"/>
    <w:rsid w:val="00A77F88"/>
    <w:rsid w:val="00A805AA"/>
    <w:rsid w:val="00A80AED"/>
    <w:rsid w:val="00A80C74"/>
    <w:rsid w:val="00A82477"/>
    <w:rsid w:val="00A83C9F"/>
    <w:rsid w:val="00A84DDF"/>
    <w:rsid w:val="00A85F3B"/>
    <w:rsid w:val="00A90395"/>
    <w:rsid w:val="00A9087E"/>
    <w:rsid w:val="00A91A88"/>
    <w:rsid w:val="00A91BE4"/>
    <w:rsid w:val="00A91F0C"/>
    <w:rsid w:val="00A91F66"/>
    <w:rsid w:val="00A93BD4"/>
    <w:rsid w:val="00A93E83"/>
    <w:rsid w:val="00AA0BB7"/>
    <w:rsid w:val="00AA0D01"/>
    <w:rsid w:val="00AA2140"/>
    <w:rsid w:val="00AA2BE4"/>
    <w:rsid w:val="00AA38E1"/>
    <w:rsid w:val="00AA44FA"/>
    <w:rsid w:val="00AA6466"/>
    <w:rsid w:val="00AB040F"/>
    <w:rsid w:val="00AB06F4"/>
    <w:rsid w:val="00AB08D9"/>
    <w:rsid w:val="00AB18C6"/>
    <w:rsid w:val="00AB1E9C"/>
    <w:rsid w:val="00AB2A1A"/>
    <w:rsid w:val="00AB2F13"/>
    <w:rsid w:val="00AB30E6"/>
    <w:rsid w:val="00AB5241"/>
    <w:rsid w:val="00AB62C5"/>
    <w:rsid w:val="00AB6469"/>
    <w:rsid w:val="00AB7BE3"/>
    <w:rsid w:val="00AC0764"/>
    <w:rsid w:val="00AC59EC"/>
    <w:rsid w:val="00AC6918"/>
    <w:rsid w:val="00AC7C28"/>
    <w:rsid w:val="00AD0660"/>
    <w:rsid w:val="00AD16AA"/>
    <w:rsid w:val="00AD1FE4"/>
    <w:rsid w:val="00AD2D7C"/>
    <w:rsid w:val="00AD4802"/>
    <w:rsid w:val="00AD5816"/>
    <w:rsid w:val="00AD5F18"/>
    <w:rsid w:val="00AD6298"/>
    <w:rsid w:val="00AD7105"/>
    <w:rsid w:val="00AD7244"/>
    <w:rsid w:val="00AE20A7"/>
    <w:rsid w:val="00AE2657"/>
    <w:rsid w:val="00AE3DA1"/>
    <w:rsid w:val="00AE5A1C"/>
    <w:rsid w:val="00AE5CA2"/>
    <w:rsid w:val="00AE6861"/>
    <w:rsid w:val="00AF0972"/>
    <w:rsid w:val="00AF1A6B"/>
    <w:rsid w:val="00AF2119"/>
    <w:rsid w:val="00AF2A5E"/>
    <w:rsid w:val="00AF2F3E"/>
    <w:rsid w:val="00AF5344"/>
    <w:rsid w:val="00AF6F17"/>
    <w:rsid w:val="00AF75DD"/>
    <w:rsid w:val="00AF7EAF"/>
    <w:rsid w:val="00B024DD"/>
    <w:rsid w:val="00B02ACF"/>
    <w:rsid w:val="00B0383A"/>
    <w:rsid w:val="00B0573D"/>
    <w:rsid w:val="00B0584A"/>
    <w:rsid w:val="00B07B4F"/>
    <w:rsid w:val="00B1014C"/>
    <w:rsid w:val="00B102E3"/>
    <w:rsid w:val="00B10873"/>
    <w:rsid w:val="00B10B38"/>
    <w:rsid w:val="00B11166"/>
    <w:rsid w:val="00B116D7"/>
    <w:rsid w:val="00B122A3"/>
    <w:rsid w:val="00B12B0F"/>
    <w:rsid w:val="00B15809"/>
    <w:rsid w:val="00B16804"/>
    <w:rsid w:val="00B172AF"/>
    <w:rsid w:val="00B17863"/>
    <w:rsid w:val="00B2092D"/>
    <w:rsid w:val="00B20F84"/>
    <w:rsid w:val="00B23669"/>
    <w:rsid w:val="00B23AC7"/>
    <w:rsid w:val="00B24971"/>
    <w:rsid w:val="00B25709"/>
    <w:rsid w:val="00B26DE8"/>
    <w:rsid w:val="00B32E10"/>
    <w:rsid w:val="00B35B1F"/>
    <w:rsid w:val="00B41BA1"/>
    <w:rsid w:val="00B420FA"/>
    <w:rsid w:val="00B425AA"/>
    <w:rsid w:val="00B42938"/>
    <w:rsid w:val="00B43A38"/>
    <w:rsid w:val="00B43C4C"/>
    <w:rsid w:val="00B43E78"/>
    <w:rsid w:val="00B4416E"/>
    <w:rsid w:val="00B4509C"/>
    <w:rsid w:val="00B45357"/>
    <w:rsid w:val="00B4546E"/>
    <w:rsid w:val="00B45B8A"/>
    <w:rsid w:val="00B50557"/>
    <w:rsid w:val="00B509F4"/>
    <w:rsid w:val="00B50F20"/>
    <w:rsid w:val="00B522AD"/>
    <w:rsid w:val="00B52A8F"/>
    <w:rsid w:val="00B54187"/>
    <w:rsid w:val="00B55066"/>
    <w:rsid w:val="00B557F3"/>
    <w:rsid w:val="00B56FEC"/>
    <w:rsid w:val="00B60E4F"/>
    <w:rsid w:val="00B610B5"/>
    <w:rsid w:val="00B616D0"/>
    <w:rsid w:val="00B61C8B"/>
    <w:rsid w:val="00B62978"/>
    <w:rsid w:val="00B62C79"/>
    <w:rsid w:val="00B6788C"/>
    <w:rsid w:val="00B704CE"/>
    <w:rsid w:val="00B718C3"/>
    <w:rsid w:val="00B72B9F"/>
    <w:rsid w:val="00B72C36"/>
    <w:rsid w:val="00B731C4"/>
    <w:rsid w:val="00B73F3F"/>
    <w:rsid w:val="00B76835"/>
    <w:rsid w:val="00B8001E"/>
    <w:rsid w:val="00B801B9"/>
    <w:rsid w:val="00B808EA"/>
    <w:rsid w:val="00B80CB7"/>
    <w:rsid w:val="00B814EB"/>
    <w:rsid w:val="00B81621"/>
    <w:rsid w:val="00B8257C"/>
    <w:rsid w:val="00B83A8A"/>
    <w:rsid w:val="00B842A5"/>
    <w:rsid w:val="00B84A93"/>
    <w:rsid w:val="00B86904"/>
    <w:rsid w:val="00B86D00"/>
    <w:rsid w:val="00B86DBD"/>
    <w:rsid w:val="00B87290"/>
    <w:rsid w:val="00B90693"/>
    <w:rsid w:val="00B90A59"/>
    <w:rsid w:val="00B91065"/>
    <w:rsid w:val="00B9119D"/>
    <w:rsid w:val="00B91A69"/>
    <w:rsid w:val="00B9337D"/>
    <w:rsid w:val="00B93F2E"/>
    <w:rsid w:val="00B949A8"/>
    <w:rsid w:val="00B960B9"/>
    <w:rsid w:val="00BA082F"/>
    <w:rsid w:val="00BA53C0"/>
    <w:rsid w:val="00BA767A"/>
    <w:rsid w:val="00BB04A0"/>
    <w:rsid w:val="00BB1ED0"/>
    <w:rsid w:val="00BB2C6B"/>
    <w:rsid w:val="00BB2F9B"/>
    <w:rsid w:val="00BB33EA"/>
    <w:rsid w:val="00BB476C"/>
    <w:rsid w:val="00BB4A0E"/>
    <w:rsid w:val="00BB4EA5"/>
    <w:rsid w:val="00BB59A2"/>
    <w:rsid w:val="00BB6CB6"/>
    <w:rsid w:val="00BB6D6B"/>
    <w:rsid w:val="00BC17EB"/>
    <w:rsid w:val="00BC3D66"/>
    <w:rsid w:val="00BC3F54"/>
    <w:rsid w:val="00BC488E"/>
    <w:rsid w:val="00BC59A5"/>
    <w:rsid w:val="00BC61D4"/>
    <w:rsid w:val="00BC6B49"/>
    <w:rsid w:val="00BC7C4E"/>
    <w:rsid w:val="00BD013C"/>
    <w:rsid w:val="00BD11B9"/>
    <w:rsid w:val="00BD67C5"/>
    <w:rsid w:val="00BE1065"/>
    <w:rsid w:val="00BE11F5"/>
    <w:rsid w:val="00BE17F7"/>
    <w:rsid w:val="00BE31AA"/>
    <w:rsid w:val="00BE3B7E"/>
    <w:rsid w:val="00BE41B7"/>
    <w:rsid w:val="00BE41F3"/>
    <w:rsid w:val="00BE4593"/>
    <w:rsid w:val="00BE4B00"/>
    <w:rsid w:val="00BE542A"/>
    <w:rsid w:val="00BE6246"/>
    <w:rsid w:val="00BE6340"/>
    <w:rsid w:val="00BE6724"/>
    <w:rsid w:val="00BE7C2B"/>
    <w:rsid w:val="00BF1241"/>
    <w:rsid w:val="00BF3362"/>
    <w:rsid w:val="00BF40B2"/>
    <w:rsid w:val="00BF5320"/>
    <w:rsid w:val="00BF5C1D"/>
    <w:rsid w:val="00BF63B3"/>
    <w:rsid w:val="00BF65C2"/>
    <w:rsid w:val="00C00198"/>
    <w:rsid w:val="00C00969"/>
    <w:rsid w:val="00C0136B"/>
    <w:rsid w:val="00C01DA0"/>
    <w:rsid w:val="00C041EB"/>
    <w:rsid w:val="00C05A5F"/>
    <w:rsid w:val="00C06511"/>
    <w:rsid w:val="00C07BD3"/>
    <w:rsid w:val="00C10378"/>
    <w:rsid w:val="00C1236F"/>
    <w:rsid w:val="00C126A4"/>
    <w:rsid w:val="00C12E47"/>
    <w:rsid w:val="00C13744"/>
    <w:rsid w:val="00C145BA"/>
    <w:rsid w:val="00C156E3"/>
    <w:rsid w:val="00C16162"/>
    <w:rsid w:val="00C16749"/>
    <w:rsid w:val="00C17766"/>
    <w:rsid w:val="00C17FE7"/>
    <w:rsid w:val="00C201CD"/>
    <w:rsid w:val="00C227AE"/>
    <w:rsid w:val="00C22C2B"/>
    <w:rsid w:val="00C232AE"/>
    <w:rsid w:val="00C24DD4"/>
    <w:rsid w:val="00C25AA1"/>
    <w:rsid w:val="00C26B7A"/>
    <w:rsid w:val="00C271D5"/>
    <w:rsid w:val="00C30710"/>
    <w:rsid w:val="00C31353"/>
    <w:rsid w:val="00C319A7"/>
    <w:rsid w:val="00C31AEA"/>
    <w:rsid w:val="00C31F84"/>
    <w:rsid w:val="00C339E3"/>
    <w:rsid w:val="00C369F7"/>
    <w:rsid w:val="00C40636"/>
    <w:rsid w:val="00C40F84"/>
    <w:rsid w:val="00C41DFE"/>
    <w:rsid w:val="00C42327"/>
    <w:rsid w:val="00C43603"/>
    <w:rsid w:val="00C43EFC"/>
    <w:rsid w:val="00C449EF"/>
    <w:rsid w:val="00C44D33"/>
    <w:rsid w:val="00C45A30"/>
    <w:rsid w:val="00C4771E"/>
    <w:rsid w:val="00C50200"/>
    <w:rsid w:val="00C50C54"/>
    <w:rsid w:val="00C51365"/>
    <w:rsid w:val="00C5140F"/>
    <w:rsid w:val="00C5377A"/>
    <w:rsid w:val="00C54A7B"/>
    <w:rsid w:val="00C55A79"/>
    <w:rsid w:val="00C574F2"/>
    <w:rsid w:val="00C57EC0"/>
    <w:rsid w:val="00C609E8"/>
    <w:rsid w:val="00C61572"/>
    <w:rsid w:val="00C62363"/>
    <w:rsid w:val="00C62788"/>
    <w:rsid w:val="00C62B35"/>
    <w:rsid w:val="00C62FE8"/>
    <w:rsid w:val="00C63504"/>
    <w:rsid w:val="00C636AF"/>
    <w:rsid w:val="00C65533"/>
    <w:rsid w:val="00C66532"/>
    <w:rsid w:val="00C668E8"/>
    <w:rsid w:val="00C67B65"/>
    <w:rsid w:val="00C700D6"/>
    <w:rsid w:val="00C702A0"/>
    <w:rsid w:val="00C70432"/>
    <w:rsid w:val="00C70681"/>
    <w:rsid w:val="00C708DC"/>
    <w:rsid w:val="00C7094D"/>
    <w:rsid w:val="00C7111E"/>
    <w:rsid w:val="00C71DB7"/>
    <w:rsid w:val="00C71DCF"/>
    <w:rsid w:val="00C72556"/>
    <w:rsid w:val="00C7259C"/>
    <w:rsid w:val="00C74158"/>
    <w:rsid w:val="00C741AE"/>
    <w:rsid w:val="00C75128"/>
    <w:rsid w:val="00C770C4"/>
    <w:rsid w:val="00C77D15"/>
    <w:rsid w:val="00C80FD3"/>
    <w:rsid w:val="00C8240D"/>
    <w:rsid w:val="00C833B5"/>
    <w:rsid w:val="00C84C0D"/>
    <w:rsid w:val="00C87B7F"/>
    <w:rsid w:val="00C916C1"/>
    <w:rsid w:val="00C92068"/>
    <w:rsid w:val="00C93492"/>
    <w:rsid w:val="00C93EA5"/>
    <w:rsid w:val="00C94D5B"/>
    <w:rsid w:val="00C96DDA"/>
    <w:rsid w:val="00CA1210"/>
    <w:rsid w:val="00CA23CA"/>
    <w:rsid w:val="00CA2619"/>
    <w:rsid w:val="00CA272F"/>
    <w:rsid w:val="00CA3540"/>
    <w:rsid w:val="00CA4A99"/>
    <w:rsid w:val="00CA515B"/>
    <w:rsid w:val="00CA6C51"/>
    <w:rsid w:val="00CA7B97"/>
    <w:rsid w:val="00CA7DCD"/>
    <w:rsid w:val="00CB1C37"/>
    <w:rsid w:val="00CB3CA2"/>
    <w:rsid w:val="00CB47BB"/>
    <w:rsid w:val="00CB5513"/>
    <w:rsid w:val="00CB564B"/>
    <w:rsid w:val="00CB68B1"/>
    <w:rsid w:val="00CB6B6C"/>
    <w:rsid w:val="00CB77E4"/>
    <w:rsid w:val="00CB7C8F"/>
    <w:rsid w:val="00CC0388"/>
    <w:rsid w:val="00CC1AD3"/>
    <w:rsid w:val="00CC1B4D"/>
    <w:rsid w:val="00CC1D1D"/>
    <w:rsid w:val="00CC2138"/>
    <w:rsid w:val="00CC28BD"/>
    <w:rsid w:val="00CC2A89"/>
    <w:rsid w:val="00CC3036"/>
    <w:rsid w:val="00CC3F14"/>
    <w:rsid w:val="00CC4FD4"/>
    <w:rsid w:val="00CC53BB"/>
    <w:rsid w:val="00CC6637"/>
    <w:rsid w:val="00CC7205"/>
    <w:rsid w:val="00CC79DE"/>
    <w:rsid w:val="00CD04C1"/>
    <w:rsid w:val="00CD0EEF"/>
    <w:rsid w:val="00CD2805"/>
    <w:rsid w:val="00CD2A9A"/>
    <w:rsid w:val="00CD3028"/>
    <w:rsid w:val="00CD3A86"/>
    <w:rsid w:val="00CD3BC3"/>
    <w:rsid w:val="00CD4187"/>
    <w:rsid w:val="00CD475D"/>
    <w:rsid w:val="00CD7965"/>
    <w:rsid w:val="00CD7A18"/>
    <w:rsid w:val="00CE192B"/>
    <w:rsid w:val="00CE19AD"/>
    <w:rsid w:val="00CE40FF"/>
    <w:rsid w:val="00CE4104"/>
    <w:rsid w:val="00CE4367"/>
    <w:rsid w:val="00CE49F0"/>
    <w:rsid w:val="00CE6A04"/>
    <w:rsid w:val="00CE78DE"/>
    <w:rsid w:val="00CE7A1F"/>
    <w:rsid w:val="00CE7EFF"/>
    <w:rsid w:val="00CF1499"/>
    <w:rsid w:val="00CF2B60"/>
    <w:rsid w:val="00CF3740"/>
    <w:rsid w:val="00CF3818"/>
    <w:rsid w:val="00CF663A"/>
    <w:rsid w:val="00CF7FE5"/>
    <w:rsid w:val="00D00068"/>
    <w:rsid w:val="00D009D3"/>
    <w:rsid w:val="00D00F63"/>
    <w:rsid w:val="00D0110A"/>
    <w:rsid w:val="00D01AE3"/>
    <w:rsid w:val="00D0327C"/>
    <w:rsid w:val="00D03556"/>
    <w:rsid w:val="00D069A7"/>
    <w:rsid w:val="00D06B95"/>
    <w:rsid w:val="00D119DC"/>
    <w:rsid w:val="00D12179"/>
    <w:rsid w:val="00D12299"/>
    <w:rsid w:val="00D12619"/>
    <w:rsid w:val="00D1283D"/>
    <w:rsid w:val="00D153B0"/>
    <w:rsid w:val="00D16F22"/>
    <w:rsid w:val="00D177A3"/>
    <w:rsid w:val="00D17AE3"/>
    <w:rsid w:val="00D20FDB"/>
    <w:rsid w:val="00D2124C"/>
    <w:rsid w:val="00D22868"/>
    <w:rsid w:val="00D24D68"/>
    <w:rsid w:val="00D25534"/>
    <w:rsid w:val="00D25A8A"/>
    <w:rsid w:val="00D2681F"/>
    <w:rsid w:val="00D27017"/>
    <w:rsid w:val="00D303D7"/>
    <w:rsid w:val="00D3057B"/>
    <w:rsid w:val="00D30BDF"/>
    <w:rsid w:val="00D317FD"/>
    <w:rsid w:val="00D32955"/>
    <w:rsid w:val="00D32B1E"/>
    <w:rsid w:val="00D32E6C"/>
    <w:rsid w:val="00D3401F"/>
    <w:rsid w:val="00D345C4"/>
    <w:rsid w:val="00D34946"/>
    <w:rsid w:val="00D35A32"/>
    <w:rsid w:val="00D373BC"/>
    <w:rsid w:val="00D37770"/>
    <w:rsid w:val="00D43B39"/>
    <w:rsid w:val="00D467F1"/>
    <w:rsid w:val="00D46C47"/>
    <w:rsid w:val="00D475EB"/>
    <w:rsid w:val="00D47702"/>
    <w:rsid w:val="00D47BC2"/>
    <w:rsid w:val="00D50A9A"/>
    <w:rsid w:val="00D510C5"/>
    <w:rsid w:val="00D51433"/>
    <w:rsid w:val="00D52B2C"/>
    <w:rsid w:val="00D52ED6"/>
    <w:rsid w:val="00D5369D"/>
    <w:rsid w:val="00D53E3D"/>
    <w:rsid w:val="00D54239"/>
    <w:rsid w:val="00D544C1"/>
    <w:rsid w:val="00D561A9"/>
    <w:rsid w:val="00D574B3"/>
    <w:rsid w:val="00D629E7"/>
    <w:rsid w:val="00D64BD6"/>
    <w:rsid w:val="00D65E37"/>
    <w:rsid w:val="00D66EF0"/>
    <w:rsid w:val="00D66FE8"/>
    <w:rsid w:val="00D67A01"/>
    <w:rsid w:val="00D71F15"/>
    <w:rsid w:val="00D739AD"/>
    <w:rsid w:val="00D7584B"/>
    <w:rsid w:val="00D75D43"/>
    <w:rsid w:val="00D771D2"/>
    <w:rsid w:val="00D77493"/>
    <w:rsid w:val="00D778B0"/>
    <w:rsid w:val="00D77AEA"/>
    <w:rsid w:val="00D81068"/>
    <w:rsid w:val="00D820B3"/>
    <w:rsid w:val="00D83475"/>
    <w:rsid w:val="00D84EE4"/>
    <w:rsid w:val="00D85418"/>
    <w:rsid w:val="00D87097"/>
    <w:rsid w:val="00D87197"/>
    <w:rsid w:val="00D87231"/>
    <w:rsid w:val="00D878E2"/>
    <w:rsid w:val="00D87A99"/>
    <w:rsid w:val="00D9237E"/>
    <w:rsid w:val="00D94C79"/>
    <w:rsid w:val="00D94DDB"/>
    <w:rsid w:val="00D952AC"/>
    <w:rsid w:val="00D95DB0"/>
    <w:rsid w:val="00D95F16"/>
    <w:rsid w:val="00DA11AC"/>
    <w:rsid w:val="00DA1748"/>
    <w:rsid w:val="00DA1A00"/>
    <w:rsid w:val="00DA1AD9"/>
    <w:rsid w:val="00DA2295"/>
    <w:rsid w:val="00DA5B8F"/>
    <w:rsid w:val="00DA5E1A"/>
    <w:rsid w:val="00DA6CFD"/>
    <w:rsid w:val="00DA7478"/>
    <w:rsid w:val="00DA7AC2"/>
    <w:rsid w:val="00DB12B8"/>
    <w:rsid w:val="00DB1308"/>
    <w:rsid w:val="00DB2EDA"/>
    <w:rsid w:val="00DB30E4"/>
    <w:rsid w:val="00DB34B6"/>
    <w:rsid w:val="00DB4174"/>
    <w:rsid w:val="00DB6858"/>
    <w:rsid w:val="00DC784B"/>
    <w:rsid w:val="00DD0F80"/>
    <w:rsid w:val="00DD2583"/>
    <w:rsid w:val="00DD2FA0"/>
    <w:rsid w:val="00DD4C0D"/>
    <w:rsid w:val="00DD66EF"/>
    <w:rsid w:val="00DD6A37"/>
    <w:rsid w:val="00DD6D9F"/>
    <w:rsid w:val="00DD7366"/>
    <w:rsid w:val="00DD7376"/>
    <w:rsid w:val="00DD7DAE"/>
    <w:rsid w:val="00DE00A0"/>
    <w:rsid w:val="00DE0237"/>
    <w:rsid w:val="00DE02C3"/>
    <w:rsid w:val="00DE0C1F"/>
    <w:rsid w:val="00DE38FD"/>
    <w:rsid w:val="00DE4600"/>
    <w:rsid w:val="00DE51AC"/>
    <w:rsid w:val="00DE5C56"/>
    <w:rsid w:val="00DE5EC1"/>
    <w:rsid w:val="00DE66E7"/>
    <w:rsid w:val="00DE680D"/>
    <w:rsid w:val="00DE76C3"/>
    <w:rsid w:val="00DF0010"/>
    <w:rsid w:val="00DF002C"/>
    <w:rsid w:val="00DF04B9"/>
    <w:rsid w:val="00DF3ADD"/>
    <w:rsid w:val="00DF5E4D"/>
    <w:rsid w:val="00DF702E"/>
    <w:rsid w:val="00DF78B6"/>
    <w:rsid w:val="00E00DFF"/>
    <w:rsid w:val="00E02039"/>
    <w:rsid w:val="00E05150"/>
    <w:rsid w:val="00E068EB"/>
    <w:rsid w:val="00E10DB2"/>
    <w:rsid w:val="00E111B7"/>
    <w:rsid w:val="00E11532"/>
    <w:rsid w:val="00E12E06"/>
    <w:rsid w:val="00E13EA4"/>
    <w:rsid w:val="00E14684"/>
    <w:rsid w:val="00E22E89"/>
    <w:rsid w:val="00E23179"/>
    <w:rsid w:val="00E2322E"/>
    <w:rsid w:val="00E24082"/>
    <w:rsid w:val="00E248F3"/>
    <w:rsid w:val="00E25D6B"/>
    <w:rsid w:val="00E26238"/>
    <w:rsid w:val="00E262A2"/>
    <w:rsid w:val="00E267DE"/>
    <w:rsid w:val="00E272DE"/>
    <w:rsid w:val="00E2752C"/>
    <w:rsid w:val="00E27897"/>
    <w:rsid w:val="00E32B2A"/>
    <w:rsid w:val="00E33378"/>
    <w:rsid w:val="00E33A3D"/>
    <w:rsid w:val="00E349D1"/>
    <w:rsid w:val="00E351B8"/>
    <w:rsid w:val="00E37101"/>
    <w:rsid w:val="00E4296F"/>
    <w:rsid w:val="00E42E17"/>
    <w:rsid w:val="00E44125"/>
    <w:rsid w:val="00E442D5"/>
    <w:rsid w:val="00E44E2C"/>
    <w:rsid w:val="00E465FF"/>
    <w:rsid w:val="00E466D2"/>
    <w:rsid w:val="00E47289"/>
    <w:rsid w:val="00E52734"/>
    <w:rsid w:val="00E52F2D"/>
    <w:rsid w:val="00E52F8D"/>
    <w:rsid w:val="00E54BAB"/>
    <w:rsid w:val="00E55535"/>
    <w:rsid w:val="00E559CB"/>
    <w:rsid w:val="00E61702"/>
    <w:rsid w:val="00E62A7C"/>
    <w:rsid w:val="00E62FF0"/>
    <w:rsid w:val="00E6341B"/>
    <w:rsid w:val="00E65BEF"/>
    <w:rsid w:val="00E6614D"/>
    <w:rsid w:val="00E66A5A"/>
    <w:rsid w:val="00E675B5"/>
    <w:rsid w:val="00E675D5"/>
    <w:rsid w:val="00E67E3E"/>
    <w:rsid w:val="00E70223"/>
    <w:rsid w:val="00E70669"/>
    <w:rsid w:val="00E70A67"/>
    <w:rsid w:val="00E714A9"/>
    <w:rsid w:val="00E7159B"/>
    <w:rsid w:val="00E718FB"/>
    <w:rsid w:val="00E732BF"/>
    <w:rsid w:val="00E750DE"/>
    <w:rsid w:val="00E75409"/>
    <w:rsid w:val="00E7663C"/>
    <w:rsid w:val="00E774A0"/>
    <w:rsid w:val="00E804D9"/>
    <w:rsid w:val="00E83F04"/>
    <w:rsid w:val="00E8401B"/>
    <w:rsid w:val="00E854D7"/>
    <w:rsid w:val="00E85BE2"/>
    <w:rsid w:val="00E86F64"/>
    <w:rsid w:val="00E87C5E"/>
    <w:rsid w:val="00E90220"/>
    <w:rsid w:val="00E91622"/>
    <w:rsid w:val="00E91679"/>
    <w:rsid w:val="00E9196B"/>
    <w:rsid w:val="00E919A4"/>
    <w:rsid w:val="00E92C9D"/>
    <w:rsid w:val="00E937E5"/>
    <w:rsid w:val="00E941B4"/>
    <w:rsid w:val="00E943B9"/>
    <w:rsid w:val="00E944B0"/>
    <w:rsid w:val="00E94653"/>
    <w:rsid w:val="00E96B77"/>
    <w:rsid w:val="00EA00E7"/>
    <w:rsid w:val="00EA1029"/>
    <w:rsid w:val="00EA3804"/>
    <w:rsid w:val="00EA40E5"/>
    <w:rsid w:val="00EA4E89"/>
    <w:rsid w:val="00EA4F49"/>
    <w:rsid w:val="00EA51F8"/>
    <w:rsid w:val="00EA53AA"/>
    <w:rsid w:val="00EA55C3"/>
    <w:rsid w:val="00EA674D"/>
    <w:rsid w:val="00EB0031"/>
    <w:rsid w:val="00EB0845"/>
    <w:rsid w:val="00EB0B9A"/>
    <w:rsid w:val="00EB153F"/>
    <w:rsid w:val="00EB1D40"/>
    <w:rsid w:val="00EB1FAA"/>
    <w:rsid w:val="00EB22C8"/>
    <w:rsid w:val="00EB3F18"/>
    <w:rsid w:val="00EB40DF"/>
    <w:rsid w:val="00EB4232"/>
    <w:rsid w:val="00EB4903"/>
    <w:rsid w:val="00EB49E3"/>
    <w:rsid w:val="00EB5BFA"/>
    <w:rsid w:val="00EB6161"/>
    <w:rsid w:val="00EC06C4"/>
    <w:rsid w:val="00EC3954"/>
    <w:rsid w:val="00EC3CC1"/>
    <w:rsid w:val="00EC4851"/>
    <w:rsid w:val="00EC53C3"/>
    <w:rsid w:val="00ED1156"/>
    <w:rsid w:val="00ED2146"/>
    <w:rsid w:val="00ED3811"/>
    <w:rsid w:val="00ED3B2F"/>
    <w:rsid w:val="00ED3D69"/>
    <w:rsid w:val="00ED4C59"/>
    <w:rsid w:val="00ED5035"/>
    <w:rsid w:val="00ED54A1"/>
    <w:rsid w:val="00EE0576"/>
    <w:rsid w:val="00EE1254"/>
    <w:rsid w:val="00EE1534"/>
    <w:rsid w:val="00EE239B"/>
    <w:rsid w:val="00EE311B"/>
    <w:rsid w:val="00EE31C1"/>
    <w:rsid w:val="00EE439F"/>
    <w:rsid w:val="00EE48A6"/>
    <w:rsid w:val="00EE52BB"/>
    <w:rsid w:val="00EE5BE3"/>
    <w:rsid w:val="00EE63E4"/>
    <w:rsid w:val="00EE7ADB"/>
    <w:rsid w:val="00EF1005"/>
    <w:rsid w:val="00EF1E4E"/>
    <w:rsid w:val="00EF283E"/>
    <w:rsid w:val="00EF36C1"/>
    <w:rsid w:val="00EF3CB2"/>
    <w:rsid w:val="00EF52CB"/>
    <w:rsid w:val="00EF5357"/>
    <w:rsid w:val="00EF5DDC"/>
    <w:rsid w:val="00EF6BAC"/>
    <w:rsid w:val="00EF6DEA"/>
    <w:rsid w:val="00EF786E"/>
    <w:rsid w:val="00F00273"/>
    <w:rsid w:val="00F019B2"/>
    <w:rsid w:val="00F0207C"/>
    <w:rsid w:val="00F02578"/>
    <w:rsid w:val="00F031FE"/>
    <w:rsid w:val="00F059A6"/>
    <w:rsid w:val="00F12197"/>
    <w:rsid w:val="00F12DB4"/>
    <w:rsid w:val="00F134CB"/>
    <w:rsid w:val="00F136A6"/>
    <w:rsid w:val="00F15B6B"/>
    <w:rsid w:val="00F1699C"/>
    <w:rsid w:val="00F16C49"/>
    <w:rsid w:val="00F20592"/>
    <w:rsid w:val="00F2164C"/>
    <w:rsid w:val="00F21D49"/>
    <w:rsid w:val="00F230FA"/>
    <w:rsid w:val="00F24A8A"/>
    <w:rsid w:val="00F25784"/>
    <w:rsid w:val="00F25D0D"/>
    <w:rsid w:val="00F27217"/>
    <w:rsid w:val="00F27422"/>
    <w:rsid w:val="00F30932"/>
    <w:rsid w:val="00F31952"/>
    <w:rsid w:val="00F34433"/>
    <w:rsid w:val="00F346CA"/>
    <w:rsid w:val="00F3489D"/>
    <w:rsid w:val="00F34FBD"/>
    <w:rsid w:val="00F357C6"/>
    <w:rsid w:val="00F35A33"/>
    <w:rsid w:val="00F377AD"/>
    <w:rsid w:val="00F40B78"/>
    <w:rsid w:val="00F41D9D"/>
    <w:rsid w:val="00F4326B"/>
    <w:rsid w:val="00F44917"/>
    <w:rsid w:val="00F45686"/>
    <w:rsid w:val="00F466C5"/>
    <w:rsid w:val="00F46E28"/>
    <w:rsid w:val="00F51243"/>
    <w:rsid w:val="00F55C25"/>
    <w:rsid w:val="00F5679A"/>
    <w:rsid w:val="00F57926"/>
    <w:rsid w:val="00F5794F"/>
    <w:rsid w:val="00F57B93"/>
    <w:rsid w:val="00F57E65"/>
    <w:rsid w:val="00F661AC"/>
    <w:rsid w:val="00F66448"/>
    <w:rsid w:val="00F676AD"/>
    <w:rsid w:val="00F70181"/>
    <w:rsid w:val="00F70460"/>
    <w:rsid w:val="00F7172D"/>
    <w:rsid w:val="00F71CE7"/>
    <w:rsid w:val="00F7377C"/>
    <w:rsid w:val="00F774BA"/>
    <w:rsid w:val="00F81593"/>
    <w:rsid w:val="00F82C61"/>
    <w:rsid w:val="00F831D4"/>
    <w:rsid w:val="00F841DF"/>
    <w:rsid w:val="00F847F8"/>
    <w:rsid w:val="00F8509A"/>
    <w:rsid w:val="00F85D6C"/>
    <w:rsid w:val="00F86869"/>
    <w:rsid w:val="00F870B1"/>
    <w:rsid w:val="00F87225"/>
    <w:rsid w:val="00F92905"/>
    <w:rsid w:val="00F93226"/>
    <w:rsid w:val="00F94517"/>
    <w:rsid w:val="00F959C9"/>
    <w:rsid w:val="00F95B37"/>
    <w:rsid w:val="00F96B56"/>
    <w:rsid w:val="00F96EDC"/>
    <w:rsid w:val="00FA09BE"/>
    <w:rsid w:val="00FA1C21"/>
    <w:rsid w:val="00FA1ED7"/>
    <w:rsid w:val="00FA4437"/>
    <w:rsid w:val="00FA566D"/>
    <w:rsid w:val="00FA6493"/>
    <w:rsid w:val="00FA6C52"/>
    <w:rsid w:val="00FA6D59"/>
    <w:rsid w:val="00FA702E"/>
    <w:rsid w:val="00FB01BD"/>
    <w:rsid w:val="00FB2175"/>
    <w:rsid w:val="00FB4083"/>
    <w:rsid w:val="00FB5571"/>
    <w:rsid w:val="00FB5847"/>
    <w:rsid w:val="00FB5B7F"/>
    <w:rsid w:val="00FB5D35"/>
    <w:rsid w:val="00FB6661"/>
    <w:rsid w:val="00FC081D"/>
    <w:rsid w:val="00FC27FD"/>
    <w:rsid w:val="00FC3CBE"/>
    <w:rsid w:val="00FC429B"/>
    <w:rsid w:val="00FC50F5"/>
    <w:rsid w:val="00FC724E"/>
    <w:rsid w:val="00FD0A92"/>
    <w:rsid w:val="00FD115B"/>
    <w:rsid w:val="00FD2173"/>
    <w:rsid w:val="00FD56EF"/>
    <w:rsid w:val="00FD5A79"/>
    <w:rsid w:val="00FD69E9"/>
    <w:rsid w:val="00FD69F3"/>
    <w:rsid w:val="00FD714D"/>
    <w:rsid w:val="00FD730B"/>
    <w:rsid w:val="00FE2BDB"/>
    <w:rsid w:val="00FE2EA4"/>
    <w:rsid w:val="00FE33EE"/>
    <w:rsid w:val="00FE3795"/>
    <w:rsid w:val="00FE65EF"/>
    <w:rsid w:val="00FE69D5"/>
    <w:rsid w:val="00FE6D7C"/>
    <w:rsid w:val="00FE7933"/>
    <w:rsid w:val="00FF240B"/>
    <w:rsid w:val="00FF285A"/>
    <w:rsid w:val="00FF3FF1"/>
    <w:rsid w:val="00FF4D1C"/>
    <w:rsid w:val="00FF6588"/>
    <w:rsid w:val="00FF685B"/>
    <w:rsid w:val="00FF719A"/>
    <w:rsid w:val="023A5F04"/>
    <w:rsid w:val="03741989"/>
    <w:rsid w:val="06115344"/>
    <w:rsid w:val="069C740B"/>
    <w:rsid w:val="07B92C3C"/>
    <w:rsid w:val="09773E97"/>
    <w:rsid w:val="09DB3BBB"/>
    <w:rsid w:val="09EC6054"/>
    <w:rsid w:val="117074AB"/>
    <w:rsid w:val="11F10CFD"/>
    <w:rsid w:val="14850E76"/>
    <w:rsid w:val="15674B2D"/>
    <w:rsid w:val="16244EE0"/>
    <w:rsid w:val="16597938"/>
    <w:rsid w:val="16732CAA"/>
    <w:rsid w:val="17AA47F8"/>
    <w:rsid w:val="1AC54F79"/>
    <w:rsid w:val="1B016E3C"/>
    <w:rsid w:val="1D453D13"/>
    <w:rsid w:val="1EB74F4B"/>
    <w:rsid w:val="220D78C5"/>
    <w:rsid w:val="225D13DE"/>
    <w:rsid w:val="240914D8"/>
    <w:rsid w:val="26906CD3"/>
    <w:rsid w:val="2C6F2B4B"/>
    <w:rsid w:val="2E894690"/>
    <w:rsid w:val="302D4488"/>
    <w:rsid w:val="30FC03BB"/>
    <w:rsid w:val="31F0114F"/>
    <w:rsid w:val="32851872"/>
    <w:rsid w:val="330368BD"/>
    <w:rsid w:val="34D507EF"/>
    <w:rsid w:val="35553C0F"/>
    <w:rsid w:val="36E745A2"/>
    <w:rsid w:val="37F244D7"/>
    <w:rsid w:val="3A794FED"/>
    <w:rsid w:val="3F147771"/>
    <w:rsid w:val="3F2D516E"/>
    <w:rsid w:val="3F5B0661"/>
    <w:rsid w:val="40D4055A"/>
    <w:rsid w:val="41883CBE"/>
    <w:rsid w:val="4238354A"/>
    <w:rsid w:val="42CA46A0"/>
    <w:rsid w:val="432C70A1"/>
    <w:rsid w:val="495545CC"/>
    <w:rsid w:val="4DBF6B3F"/>
    <w:rsid w:val="4EB71E32"/>
    <w:rsid w:val="4EC83BEE"/>
    <w:rsid w:val="4F5012C8"/>
    <w:rsid w:val="50D40EA8"/>
    <w:rsid w:val="51184246"/>
    <w:rsid w:val="511B709E"/>
    <w:rsid w:val="53951D31"/>
    <w:rsid w:val="540248E3"/>
    <w:rsid w:val="59897AD6"/>
    <w:rsid w:val="5A932EA3"/>
    <w:rsid w:val="5E007347"/>
    <w:rsid w:val="60642034"/>
    <w:rsid w:val="617443F0"/>
    <w:rsid w:val="61F1723C"/>
    <w:rsid w:val="64122812"/>
    <w:rsid w:val="66EA5766"/>
    <w:rsid w:val="66F751A3"/>
    <w:rsid w:val="68340647"/>
    <w:rsid w:val="69F256DE"/>
    <w:rsid w:val="6AC128B3"/>
    <w:rsid w:val="6C637A61"/>
    <w:rsid w:val="6C882954"/>
    <w:rsid w:val="6CB75419"/>
    <w:rsid w:val="6DEC564E"/>
    <w:rsid w:val="715A231E"/>
    <w:rsid w:val="719A5A6F"/>
    <w:rsid w:val="7331488C"/>
    <w:rsid w:val="734E4B0F"/>
    <w:rsid w:val="73807E9E"/>
    <w:rsid w:val="77FE0C6C"/>
    <w:rsid w:val="79FA29D7"/>
    <w:rsid w:val="7EB70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2"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nhideWhenUsed="0" w:uiPriority="2" w:semiHidden="0" w:name="heading 4"/>
    <w:lsdException w:qFormat="1" w:unhideWhenUsed="0" w:uiPriority="2" w:name="heading 5"/>
    <w:lsdException w:qFormat="1" w:uiPriority="2" w:name="heading 6"/>
    <w:lsdException w:qFormat="1" w:uiPriority="2" w:name="heading 7"/>
    <w:lsdException w:qFormat="1" w:uiPriority="2" w:name="heading 8"/>
    <w:lsdException w:qFormat="1" w:uiPriority="2"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nhideWhenUsed="0" w:uiPriority="30" w:semiHidden="0" w:name="footnote text"/>
    <w:lsdException w:qFormat="1" w:uiPriority="99" w:name="annotation text"/>
    <w:lsdException w:qFormat="1" w:uiPriority="99" w:semiHidden="0" w:name="header"/>
    <w:lsdException w:qFormat="1" w:uiPriority="99" w:semiHidden="0" w:name="footer"/>
    <w:lsdException w:qFormat="1" w:unhideWhenUsed="0" w:uiPriority="99" w:name="index heading"/>
    <w:lsdException w:qFormat="1" w:unhideWhenUsed="0" w:uiPriority="3" w:semiHidden="0" w:name="caption"/>
    <w:lsdException w:qFormat="1" w:unhideWhenUsed="0" w:uiPriority="99" w:semiHidden="0" w:name="table of figures"/>
    <w:lsdException w:qFormat="1" w:uiPriority="99" w:name="envelope address"/>
    <w:lsdException w:qFormat="1" w:uiPriority="99" w:name="envelope return"/>
    <w:lsdException w:qFormat="1" w:unhideWhenUsed="0" w:uiPriority="30" w:name="footnote reference"/>
    <w:lsdException w:qFormat="1" w:uiPriority="99" w:name="annotation reference"/>
    <w:lsdException w:uiPriority="99" w:name="line number"/>
    <w:lsdException w:unhideWhenUsed="0" w:uiPriority="32" w:semiHidden="0" w:name="page number"/>
    <w:lsdException w:qFormat="1" w:unhideWhenUsed="0" w:uiPriority="30" w:name="endnote reference"/>
    <w:lsdException w:qFormat="1" w:unhideWhenUsed="0" w:uiPriority="30" w:name="endnote text"/>
    <w:lsdException w:qFormat="1" w:uiPriority="99" w:name="table of authorities"/>
    <w:lsdException w:qFormat="1" w:uiPriority="99" w:name="macro"/>
    <w:lsdException w:qFormat="1" w:uiPriority="99" w:name="toa heading"/>
    <w:lsdException w:qFormat="1" w:uiPriority="99" w:name="List"/>
    <w:lsdException w:qFormat="1" w:unhideWhenUsed="0" w:uiPriority="12" w:semiHidden="0" w:name="List Bullet"/>
    <w:lsdException w:qFormat="1" w:unhideWhenUsed="0" w:uiPriority="11" w:semiHidden="0" w:name="List Number"/>
    <w:lsdException w:qFormat="1" w:uiPriority="99" w:name="List 2"/>
    <w:lsdException w:qFormat="1" w:uiPriority="99" w:name="List 3"/>
    <w:lsdException w:qFormat="1" w:uiPriority="99" w:name="List 4"/>
    <w:lsdException w:qFormat="1" w:uiPriority="99" w:name="List 5"/>
    <w:lsdException w:qFormat="1" w:unhideWhenUsed="0" w:uiPriority="12" w:semiHidden="0" w:name="List Bullet 2"/>
    <w:lsdException w:qFormat="1" w:unhideWhenUsed="0" w:uiPriority="12" w:semiHidden="0" w:name="List Bullet 3"/>
    <w:lsdException w:qFormat="1" w:unhideWhenUsed="0" w:uiPriority="12" w:semiHidden="0" w:name="List Bullet 4"/>
    <w:lsdException w:qFormat="1" w:unhideWhenUsed="0" w:uiPriority="12" w:semiHidden="0" w:name="List Bullet 5"/>
    <w:lsdException w:qFormat="1" w:unhideWhenUsed="0" w:uiPriority="11" w:semiHidden="0" w:name="List Number 2"/>
    <w:lsdException w:qFormat="1" w:unhideWhenUsed="0" w:uiPriority="11" w:semiHidden="0" w:name="List Number 3"/>
    <w:lsdException w:qFormat="1" w:unhideWhenUsed="0" w:uiPriority="11" w:semiHidden="0" w:name="List Number 4"/>
    <w:lsdException w:qFormat="1" w:unhideWhenUsed="0" w:uiPriority="11" w:semiHidden="0" w:name="List Number 5"/>
    <w:lsdException w:qFormat="1" w:unhideWhenUsed="0" w:uiPriority="0" w:semiHidden="0" w:name="Title"/>
    <w:lsdException w:qFormat="1" w:uiPriority="99" w:name="Closing"/>
    <w:lsdException w:qFormat="1" w:uiPriority="99" w:name="Signature"/>
    <w:lsdException w:qFormat="1" w:uiPriority="1"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5" w:semiHidden="0" w:name="Subtitle"/>
    <w:lsdException w:qFormat="1" w:uiPriority="99" w:name="Salutation"/>
    <w:lsdException w:qFormat="1" w:uiPriority="99"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semiHidden="0" w:name="Hyperlink"/>
    <w:lsdException w:qFormat="1" w:uiPriority="99" w:semiHidden="0" w:name="FollowedHyperlink"/>
    <w:lsdException w:qFormat="1" w:unhideWhenUsed="0" w:uiPriority="7" w:semiHidden="0" w:name="Strong"/>
    <w:lsdException w:qFormat="1" w:unhideWhenUsed="0" w:uiPriority="7" w:semiHidden="0" w:name="Emphasis"/>
    <w:lsdException w:qFormat="1" w:uiPriority="99" w:name="Document Map"/>
    <w:lsdException w:qFormat="1" w:uiPriority="99" w:name="Plain Text"/>
    <w:lsdException w:qFormat="1" w:uiPriority="99" w:name="E-mail Signature"/>
    <w:lsdException w:qFormat="1" w:uiPriority="99" w:name="Normal (Web)"/>
    <w:lsdException w:uiPriority="99" w:name="HTML Acronym"/>
    <w:lsdException w:qFormat="1"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iPriority="7" w:name="Quote"/>
    <w:lsdException w:qFormat="1" w:uiPriority="7"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2"/>
    <w:pPr>
      <w:widowControl w:val="0"/>
      <w:adjustRightInd w:val="0"/>
      <w:spacing w:line="400" w:lineRule="atLeast"/>
      <w:jc w:val="both"/>
    </w:pPr>
    <w:rPr>
      <w:rFonts w:ascii="Times New Roman" w:hAnsi="Times New Roman" w:eastAsia="宋体" w:cstheme="minorBidi"/>
      <w:kern w:val="2"/>
      <w:sz w:val="24"/>
      <w:szCs w:val="24"/>
      <w:lang w:val="en-US" w:eastAsia="zh-CN" w:bidi="ar-SA"/>
    </w:rPr>
  </w:style>
  <w:style w:type="paragraph" w:styleId="3">
    <w:name w:val="heading 1"/>
    <w:basedOn w:val="1"/>
    <w:next w:val="1"/>
    <w:link w:val="103"/>
    <w:qFormat/>
    <w:uiPriority w:val="2"/>
    <w:pPr>
      <w:widowControl/>
      <w:numPr>
        <w:ilvl w:val="0"/>
        <w:numId w:val="1"/>
      </w:numPr>
      <w:snapToGrid w:val="0"/>
      <w:spacing w:before="480" w:after="360" w:line="240" w:lineRule="auto"/>
      <w:ind w:left="0"/>
      <w:jc w:val="center"/>
      <w:outlineLvl w:val="0"/>
    </w:pPr>
    <w:rPr>
      <w:rFonts w:ascii="Arial" w:hAnsi="Arial" w:eastAsia="黑体"/>
      <w:bCs/>
      <w:kern w:val="44"/>
      <w:sz w:val="32"/>
      <w:szCs w:val="44"/>
    </w:rPr>
  </w:style>
  <w:style w:type="paragraph" w:styleId="4">
    <w:name w:val="heading 2"/>
    <w:basedOn w:val="1"/>
    <w:next w:val="1"/>
    <w:link w:val="105"/>
    <w:qFormat/>
    <w:uiPriority w:val="2"/>
    <w:pPr>
      <w:spacing w:after="120" w:line="400" w:lineRule="exact"/>
      <w:ind w:left="0"/>
      <w:jc w:val="both"/>
      <w:outlineLvl w:val="1"/>
    </w:pPr>
    <w:rPr>
      <w:rFonts w:cstheme="majorBidi"/>
      <w:sz w:val="28"/>
      <w:szCs w:val="32"/>
    </w:rPr>
  </w:style>
  <w:style w:type="paragraph" w:styleId="5">
    <w:name w:val="heading 3"/>
    <w:basedOn w:val="1"/>
    <w:next w:val="1"/>
    <w:link w:val="106"/>
    <w:qFormat/>
    <w:uiPriority w:val="2"/>
    <w:pPr>
      <w:spacing w:before="240"/>
      <w:outlineLvl w:val="2"/>
    </w:pPr>
    <w:rPr>
      <w:bCs/>
      <w:sz w:val="26"/>
    </w:rPr>
  </w:style>
  <w:style w:type="paragraph" w:styleId="6">
    <w:name w:val="heading 4"/>
    <w:basedOn w:val="5"/>
    <w:next w:val="1"/>
    <w:link w:val="107"/>
    <w:qFormat/>
    <w:uiPriority w:val="2"/>
    <w:pPr>
      <w:outlineLvl w:val="3"/>
    </w:pPr>
    <w:rPr>
      <w:bCs w:val="0"/>
      <w:sz w:val="24"/>
      <w:szCs w:val="28"/>
    </w:rPr>
  </w:style>
  <w:style w:type="paragraph" w:styleId="7">
    <w:name w:val="heading 5"/>
    <w:basedOn w:val="1"/>
    <w:next w:val="1"/>
    <w:link w:val="121"/>
    <w:semiHidden/>
    <w:qFormat/>
    <w:uiPriority w:val="2"/>
    <w:pPr>
      <w:keepNext/>
      <w:keepLines/>
      <w:spacing w:before="280" w:after="290" w:line="376" w:lineRule="atLeast"/>
      <w:outlineLvl w:val="4"/>
    </w:pPr>
    <w:rPr>
      <w:b/>
      <w:bCs/>
      <w:sz w:val="28"/>
      <w:szCs w:val="28"/>
    </w:rPr>
  </w:style>
  <w:style w:type="paragraph" w:styleId="8">
    <w:name w:val="heading 6"/>
    <w:basedOn w:val="1"/>
    <w:next w:val="1"/>
    <w:link w:val="130"/>
    <w:semiHidden/>
    <w:unhideWhenUsed/>
    <w:qFormat/>
    <w:uiPriority w:val="2"/>
    <w:pPr>
      <w:keepNext/>
      <w:keepLines/>
      <w:spacing w:before="240" w:after="64" w:line="320" w:lineRule="atLeast"/>
      <w:outlineLvl w:val="5"/>
    </w:pPr>
    <w:rPr>
      <w:rFonts w:asciiTheme="majorHAnsi" w:hAnsiTheme="majorHAnsi" w:eastAsiaTheme="majorEastAsia" w:cstheme="majorBidi"/>
      <w:b/>
      <w:bCs/>
    </w:rPr>
  </w:style>
  <w:style w:type="paragraph" w:styleId="9">
    <w:name w:val="heading 7"/>
    <w:basedOn w:val="1"/>
    <w:next w:val="1"/>
    <w:link w:val="131"/>
    <w:semiHidden/>
    <w:unhideWhenUsed/>
    <w:qFormat/>
    <w:uiPriority w:val="2"/>
    <w:pPr>
      <w:keepNext/>
      <w:keepLines/>
      <w:spacing w:before="240" w:after="64" w:line="320" w:lineRule="atLeast"/>
      <w:outlineLvl w:val="6"/>
    </w:pPr>
    <w:rPr>
      <w:b/>
      <w:bCs/>
    </w:rPr>
  </w:style>
  <w:style w:type="paragraph" w:styleId="10">
    <w:name w:val="heading 8"/>
    <w:basedOn w:val="1"/>
    <w:next w:val="1"/>
    <w:link w:val="132"/>
    <w:semiHidden/>
    <w:unhideWhenUsed/>
    <w:qFormat/>
    <w:uiPriority w:val="2"/>
    <w:pPr>
      <w:keepNext/>
      <w:keepLines/>
      <w:spacing w:before="240" w:after="64" w:line="320" w:lineRule="atLeast"/>
      <w:outlineLvl w:val="7"/>
    </w:pPr>
    <w:rPr>
      <w:rFonts w:asciiTheme="majorHAnsi" w:hAnsiTheme="majorHAnsi" w:eastAsiaTheme="majorEastAsia" w:cstheme="majorBidi"/>
    </w:rPr>
  </w:style>
  <w:style w:type="paragraph" w:styleId="11">
    <w:name w:val="heading 9"/>
    <w:basedOn w:val="1"/>
    <w:next w:val="1"/>
    <w:link w:val="133"/>
    <w:semiHidden/>
    <w:unhideWhenUsed/>
    <w:qFormat/>
    <w:uiPriority w:val="2"/>
    <w:pPr>
      <w:keepNext/>
      <w:keepLines/>
      <w:spacing w:before="240" w:after="64" w:line="320" w:lineRule="atLeast"/>
      <w:outlineLvl w:val="8"/>
    </w:pPr>
    <w:rPr>
      <w:rFonts w:asciiTheme="majorHAnsi" w:hAnsiTheme="majorHAnsi" w:eastAsiaTheme="majorEastAsia" w:cstheme="majorBidi"/>
      <w:sz w:val="21"/>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37"/>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240" w:lineRule="auto"/>
      <w:ind w:firstLine="200" w:firstLineChars="200"/>
      <w:jc w:val="left"/>
    </w:pPr>
    <w:rPr>
      <w:rFonts w:ascii="Courier New" w:hAnsi="Courier New" w:eastAsia="宋体" w:cs="Courier New"/>
      <w:kern w:val="0"/>
      <w:sz w:val="24"/>
      <w:szCs w:val="24"/>
      <w:lang w:val="en-US" w:eastAsia="zh-CN" w:bidi="ar-SA"/>
    </w:rPr>
  </w:style>
  <w:style w:type="paragraph" w:styleId="12">
    <w:name w:val="List 3"/>
    <w:basedOn w:val="1"/>
    <w:semiHidden/>
    <w:unhideWhenUsed/>
    <w:qFormat/>
    <w:uiPriority w:val="99"/>
    <w:pPr>
      <w:ind w:left="100" w:leftChars="400" w:hanging="200" w:hangingChars="200"/>
      <w:contextualSpacing/>
    </w:pPr>
  </w:style>
  <w:style w:type="paragraph" w:styleId="13">
    <w:name w:val="toc 7"/>
    <w:basedOn w:val="1"/>
    <w:next w:val="1"/>
    <w:autoRedefine/>
    <w:semiHidden/>
    <w:unhideWhenUsed/>
    <w:qFormat/>
    <w:uiPriority w:val="39"/>
    <w:pPr>
      <w:ind w:left="2520" w:leftChars="1200"/>
    </w:pPr>
  </w:style>
  <w:style w:type="paragraph" w:styleId="14">
    <w:name w:val="List Number 2"/>
    <w:basedOn w:val="15"/>
    <w:qFormat/>
    <w:uiPriority w:val="11"/>
    <w:pPr>
      <w:numPr>
        <w:ilvl w:val="0"/>
        <w:numId w:val="2"/>
      </w:numPr>
      <w:ind w:left="200" w:hanging="200"/>
    </w:pPr>
  </w:style>
  <w:style w:type="paragraph" w:styleId="15">
    <w:name w:val="List Number"/>
    <w:basedOn w:val="1"/>
    <w:qFormat/>
    <w:uiPriority w:val="11"/>
    <w:pPr>
      <w:numPr>
        <w:ilvl w:val="0"/>
        <w:numId w:val="3"/>
      </w:numPr>
      <w:ind w:left="200" w:hanging="200" w:hangingChars="200"/>
      <w:contextualSpacing/>
    </w:pPr>
    <w:rPr>
      <w:szCs w:val="21"/>
    </w:rPr>
  </w:style>
  <w:style w:type="paragraph" w:styleId="16">
    <w:name w:val="table of authorities"/>
    <w:basedOn w:val="1"/>
    <w:next w:val="1"/>
    <w:semiHidden/>
    <w:unhideWhenUsed/>
    <w:qFormat/>
    <w:uiPriority w:val="99"/>
    <w:pPr>
      <w:ind w:left="420" w:leftChars="200"/>
    </w:pPr>
  </w:style>
  <w:style w:type="paragraph" w:styleId="17">
    <w:name w:val="Note Heading"/>
    <w:basedOn w:val="1"/>
    <w:next w:val="1"/>
    <w:link w:val="158"/>
    <w:semiHidden/>
    <w:unhideWhenUsed/>
    <w:qFormat/>
    <w:uiPriority w:val="99"/>
    <w:pPr>
      <w:jc w:val="center"/>
    </w:pPr>
  </w:style>
  <w:style w:type="paragraph" w:styleId="18">
    <w:name w:val="List Bullet 4"/>
    <w:basedOn w:val="19"/>
    <w:qFormat/>
    <w:uiPriority w:val="12"/>
    <w:pPr>
      <w:numPr>
        <w:ilvl w:val="0"/>
        <w:numId w:val="4"/>
      </w:numPr>
      <w:ind w:left="200" w:hanging="200"/>
    </w:pPr>
  </w:style>
  <w:style w:type="paragraph" w:styleId="19">
    <w:name w:val="List Bullet"/>
    <w:basedOn w:val="1"/>
    <w:qFormat/>
    <w:uiPriority w:val="12"/>
    <w:pPr>
      <w:numPr>
        <w:ilvl w:val="0"/>
        <w:numId w:val="5"/>
      </w:numPr>
      <w:ind w:left="200" w:hanging="200" w:hangingChars="200"/>
      <w:contextualSpacing/>
    </w:pPr>
  </w:style>
  <w:style w:type="paragraph" w:styleId="20">
    <w:name w:val="index 8"/>
    <w:basedOn w:val="1"/>
    <w:next w:val="1"/>
    <w:autoRedefine/>
    <w:semiHidden/>
    <w:unhideWhenUsed/>
    <w:qFormat/>
    <w:uiPriority w:val="99"/>
    <w:pPr>
      <w:ind w:left="1400" w:leftChars="1400"/>
    </w:pPr>
  </w:style>
  <w:style w:type="paragraph" w:styleId="21">
    <w:name w:val="E-mail Signature"/>
    <w:basedOn w:val="1"/>
    <w:link w:val="136"/>
    <w:semiHidden/>
    <w:unhideWhenUsed/>
    <w:qFormat/>
    <w:uiPriority w:val="99"/>
  </w:style>
  <w:style w:type="paragraph" w:styleId="22">
    <w:name w:val="Normal Indent"/>
    <w:basedOn w:val="1"/>
    <w:semiHidden/>
    <w:unhideWhenUsed/>
    <w:qFormat/>
    <w:uiPriority w:val="99"/>
    <w:pPr>
      <w:ind w:firstLine="420"/>
    </w:pPr>
  </w:style>
  <w:style w:type="paragraph" w:styleId="23">
    <w:name w:val="caption"/>
    <w:next w:val="1"/>
    <w:link w:val="182"/>
    <w:qFormat/>
    <w:uiPriority w:val="3"/>
    <w:pPr>
      <w:keepLines/>
      <w:spacing w:before="120" w:after="240" w:line="240" w:lineRule="auto"/>
      <w:jc w:val="center"/>
    </w:pPr>
    <w:rPr>
      <w:rFonts w:ascii="Times New Roman" w:hAnsi="Times New Roman" w:eastAsia="宋体" w:cstheme="majorBidi"/>
      <w:kern w:val="0"/>
      <w:sz w:val="22"/>
      <w:szCs w:val="20"/>
      <w:lang w:val="en-US" w:eastAsia="zh-CN" w:bidi="ar-SA"/>
    </w:rPr>
  </w:style>
  <w:style w:type="paragraph" w:styleId="24">
    <w:name w:val="index 5"/>
    <w:basedOn w:val="1"/>
    <w:next w:val="1"/>
    <w:autoRedefine/>
    <w:semiHidden/>
    <w:unhideWhenUsed/>
    <w:qFormat/>
    <w:uiPriority w:val="99"/>
    <w:pPr>
      <w:ind w:left="800" w:leftChars="800"/>
    </w:pPr>
  </w:style>
  <w:style w:type="paragraph" w:styleId="25">
    <w:name w:val="envelope address"/>
    <w:basedOn w:val="1"/>
    <w:semiHidden/>
    <w:unhideWhenUsed/>
    <w:qFormat/>
    <w:uiPriority w:val="99"/>
    <w:pPr>
      <w:framePr w:w="7920" w:h="1980" w:hRule="exact" w:hSpace="180" w:wrap="auto" w:vAnchor="margin" w:hAnchor="page" w:xAlign="center" w:yAlign="bottom"/>
      <w:snapToGrid w:val="0"/>
      <w:ind w:left="100" w:leftChars="1400"/>
    </w:pPr>
    <w:rPr>
      <w:rFonts w:asciiTheme="majorHAnsi" w:hAnsiTheme="majorHAnsi" w:eastAsiaTheme="majorEastAsia" w:cstheme="majorBidi"/>
    </w:rPr>
  </w:style>
  <w:style w:type="paragraph" w:styleId="26">
    <w:name w:val="Document Map"/>
    <w:basedOn w:val="1"/>
    <w:link w:val="146"/>
    <w:semiHidden/>
    <w:unhideWhenUsed/>
    <w:qFormat/>
    <w:uiPriority w:val="99"/>
    <w:rPr>
      <w:rFonts w:ascii="Microsoft YaHei UI" w:eastAsia="Microsoft YaHei UI"/>
      <w:sz w:val="18"/>
      <w:szCs w:val="18"/>
    </w:rPr>
  </w:style>
  <w:style w:type="paragraph" w:styleId="27">
    <w:name w:val="toa heading"/>
    <w:basedOn w:val="1"/>
    <w:next w:val="1"/>
    <w:semiHidden/>
    <w:unhideWhenUsed/>
    <w:qFormat/>
    <w:uiPriority w:val="99"/>
    <w:pPr>
      <w:spacing w:before="120"/>
    </w:pPr>
    <w:rPr>
      <w:rFonts w:asciiTheme="majorHAnsi" w:hAnsiTheme="majorHAnsi" w:eastAsiaTheme="majorEastAsia" w:cstheme="majorBidi"/>
    </w:rPr>
  </w:style>
  <w:style w:type="paragraph" w:styleId="28">
    <w:name w:val="annotation text"/>
    <w:basedOn w:val="1"/>
    <w:link w:val="141"/>
    <w:semiHidden/>
    <w:unhideWhenUsed/>
    <w:qFormat/>
    <w:uiPriority w:val="99"/>
    <w:pPr>
      <w:jc w:val="left"/>
    </w:pPr>
  </w:style>
  <w:style w:type="paragraph" w:styleId="29">
    <w:name w:val="index 6"/>
    <w:basedOn w:val="1"/>
    <w:next w:val="1"/>
    <w:autoRedefine/>
    <w:semiHidden/>
    <w:unhideWhenUsed/>
    <w:qFormat/>
    <w:uiPriority w:val="99"/>
    <w:pPr>
      <w:ind w:left="1000" w:leftChars="1000"/>
    </w:pPr>
  </w:style>
  <w:style w:type="paragraph" w:styleId="30">
    <w:name w:val="Salutation"/>
    <w:basedOn w:val="1"/>
    <w:next w:val="1"/>
    <w:link w:val="134"/>
    <w:semiHidden/>
    <w:unhideWhenUsed/>
    <w:qFormat/>
    <w:uiPriority w:val="99"/>
  </w:style>
  <w:style w:type="paragraph" w:styleId="31">
    <w:name w:val="Body Text 3"/>
    <w:basedOn w:val="1"/>
    <w:link w:val="152"/>
    <w:semiHidden/>
    <w:unhideWhenUsed/>
    <w:qFormat/>
    <w:uiPriority w:val="99"/>
    <w:pPr>
      <w:spacing w:after="120"/>
    </w:pPr>
    <w:rPr>
      <w:sz w:val="16"/>
      <w:szCs w:val="16"/>
    </w:rPr>
  </w:style>
  <w:style w:type="paragraph" w:styleId="32">
    <w:name w:val="Closing"/>
    <w:basedOn w:val="1"/>
    <w:link w:val="138"/>
    <w:semiHidden/>
    <w:unhideWhenUsed/>
    <w:qFormat/>
    <w:uiPriority w:val="99"/>
    <w:pPr>
      <w:ind w:left="100" w:leftChars="2100"/>
    </w:pPr>
  </w:style>
  <w:style w:type="paragraph" w:styleId="33">
    <w:name w:val="List Bullet 3"/>
    <w:basedOn w:val="19"/>
    <w:qFormat/>
    <w:uiPriority w:val="12"/>
    <w:pPr>
      <w:numPr>
        <w:ilvl w:val="0"/>
        <w:numId w:val="6"/>
      </w:numPr>
      <w:ind w:left="200" w:hanging="200"/>
    </w:pPr>
  </w:style>
  <w:style w:type="paragraph" w:styleId="34">
    <w:name w:val="Body Text"/>
    <w:basedOn w:val="1"/>
    <w:link w:val="150"/>
    <w:semiHidden/>
    <w:unhideWhenUsed/>
    <w:qFormat/>
    <w:uiPriority w:val="99"/>
    <w:pPr>
      <w:spacing w:after="120"/>
    </w:pPr>
  </w:style>
  <w:style w:type="paragraph" w:styleId="35">
    <w:name w:val="Body Text Indent"/>
    <w:basedOn w:val="1"/>
    <w:link w:val="154"/>
    <w:semiHidden/>
    <w:unhideWhenUsed/>
    <w:qFormat/>
    <w:uiPriority w:val="99"/>
    <w:pPr>
      <w:spacing w:after="120"/>
      <w:ind w:left="420" w:leftChars="200"/>
    </w:pPr>
  </w:style>
  <w:style w:type="paragraph" w:styleId="36">
    <w:name w:val="List Number 3"/>
    <w:basedOn w:val="15"/>
    <w:qFormat/>
    <w:uiPriority w:val="11"/>
    <w:pPr>
      <w:numPr>
        <w:ilvl w:val="0"/>
        <w:numId w:val="7"/>
      </w:numPr>
      <w:ind w:left="200" w:hanging="200"/>
    </w:pPr>
  </w:style>
  <w:style w:type="paragraph" w:styleId="37">
    <w:name w:val="List 2"/>
    <w:basedOn w:val="1"/>
    <w:semiHidden/>
    <w:unhideWhenUsed/>
    <w:qFormat/>
    <w:uiPriority w:val="99"/>
    <w:pPr>
      <w:ind w:left="100" w:leftChars="200" w:hanging="200" w:hangingChars="200"/>
      <w:contextualSpacing/>
    </w:pPr>
  </w:style>
  <w:style w:type="paragraph" w:styleId="38">
    <w:name w:val="List Continue"/>
    <w:basedOn w:val="1"/>
    <w:semiHidden/>
    <w:unhideWhenUsed/>
    <w:qFormat/>
    <w:uiPriority w:val="99"/>
    <w:pPr>
      <w:spacing w:after="120"/>
      <w:ind w:left="420" w:leftChars="200"/>
      <w:contextualSpacing/>
    </w:pPr>
  </w:style>
  <w:style w:type="paragraph" w:styleId="39">
    <w:name w:val="Block Text"/>
    <w:basedOn w:val="1"/>
    <w:semiHidden/>
    <w:unhideWhenUsed/>
    <w:qFormat/>
    <w:uiPriority w:val="99"/>
    <w:pPr>
      <w:spacing w:after="120"/>
      <w:ind w:left="1440" w:leftChars="700" w:right="1440" w:rightChars="700"/>
    </w:pPr>
  </w:style>
  <w:style w:type="paragraph" w:styleId="40">
    <w:name w:val="List Bullet 2"/>
    <w:basedOn w:val="19"/>
    <w:qFormat/>
    <w:uiPriority w:val="12"/>
    <w:pPr>
      <w:numPr>
        <w:ilvl w:val="0"/>
        <w:numId w:val="8"/>
      </w:numPr>
      <w:ind w:left="200" w:hanging="200"/>
    </w:pPr>
  </w:style>
  <w:style w:type="paragraph" w:styleId="41">
    <w:name w:val="HTML Address"/>
    <w:basedOn w:val="1"/>
    <w:link w:val="128"/>
    <w:semiHidden/>
    <w:unhideWhenUsed/>
    <w:qFormat/>
    <w:uiPriority w:val="99"/>
    <w:rPr>
      <w:i/>
      <w:iCs/>
    </w:rPr>
  </w:style>
  <w:style w:type="paragraph" w:styleId="42">
    <w:name w:val="index 4"/>
    <w:basedOn w:val="1"/>
    <w:next w:val="1"/>
    <w:autoRedefine/>
    <w:semiHidden/>
    <w:unhideWhenUsed/>
    <w:qFormat/>
    <w:uiPriority w:val="99"/>
    <w:pPr>
      <w:ind w:left="600" w:leftChars="600"/>
    </w:pPr>
  </w:style>
  <w:style w:type="paragraph" w:styleId="43">
    <w:name w:val="toc 5"/>
    <w:basedOn w:val="1"/>
    <w:next w:val="1"/>
    <w:autoRedefine/>
    <w:semiHidden/>
    <w:unhideWhenUsed/>
    <w:qFormat/>
    <w:uiPriority w:val="39"/>
    <w:pPr>
      <w:ind w:left="1680" w:leftChars="800"/>
    </w:pPr>
  </w:style>
  <w:style w:type="paragraph" w:styleId="44">
    <w:name w:val="toc 3"/>
    <w:basedOn w:val="45"/>
    <w:autoRedefine/>
    <w:qFormat/>
    <w:uiPriority w:val="39"/>
    <w:pPr>
      <w:tabs>
        <w:tab w:val="right" w:leader="dot" w:pos="8381"/>
      </w:tabs>
      <w:ind w:left="200" w:leftChars="200"/>
    </w:pPr>
  </w:style>
  <w:style w:type="paragraph" w:styleId="45">
    <w:name w:val="toc 2"/>
    <w:basedOn w:val="46"/>
    <w:autoRedefine/>
    <w:qFormat/>
    <w:uiPriority w:val="39"/>
    <w:pPr>
      <w:tabs>
        <w:tab w:val="right" w:leader="dot" w:pos="8381"/>
      </w:tabs>
      <w:ind w:left="100" w:leftChars="100"/>
    </w:pPr>
    <w:rPr>
      <w:rFonts w:eastAsia="宋体"/>
    </w:rPr>
  </w:style>
  <w:style w:type="paragraph" w:styleId="46">
    <w:name w:val="toc 1"/>
    <w:basedOn w:val="1"/>
    <w:next w:val="1"/>
    <w:link w:val="173"/>
    <w:autoRedefine/>
    <w:qFormat/>
    <w:uiPriority w:val="39"/>
    <w:pPr>
      <w:tabs>
        <w:tab w:val="right" w:leader="dot" w:pos="8381"/>
      </w:tabs>
      <w:wordWrap w:val="0"/>
    </w:pPr>
    <w:rPr>
      <w:rFonts w:eastAsia="黑体"/>
    </w:rPr>
  </w:style>
  <w:style w:type="paragraph" w:styleId="47">
    <w:name w:val="Plain Text"/>
    <w:basedOn w:val="1"/>
    <w:link w:val="135"/>
    <w:semiHidden/>
    <w:unhideWhenUsed/>
    <w:qFormat/>
    <w:uiPriority w:val="99"/>
    <w:rPr>
      <w:rFonts w:hAnsi="Courier New" w:cs="Courier New" w:asciiTheme="minorEastAsia"/>
    </w:rPr>
  </w:style>
  <w:style w:type="paragraph" w:styleId="48">
    <w:name w:val="List Bullet 5"/>
    <w:basedOn w:val="19"/>
    <w:qFormat/>
    <w:uiPriority w:val="12"/>
    <w:pPr>
      <w:numPr>
        <w:ilvl w:val="0"/>
        <w:numId w:val="9"/>
      </w:numPr>
      <w:ind w:left="200" w:hanging="200"/>
    </w:pPr>
  </w:style>
  <w:style w:type="paragraph" w:styleId="49">
    <w:name w:val="List Number 4"/>
    <w:basedOn w:val="15"/>
    <w:qFormat/>
    <w:uiPriority w:val="11"/>
    <w:pPr>
      <w:numPr>
        <w:ilvl w:val="0"/>
        <w:numId w:val="10"/>
      </w:numPr>
      <w:ind w:left="200" w:hanging="200"/>
    </w:pPr>
  </w:style>
  <w:style w:type="paragraph" w:styleId="50">
    <w:name w:val="toc 8"/>
    <w:basedOn w:val="1"/>
    <w:next w:val="1"/>
    <w:autoRedefine/>
    <w:semiHidden/>
    <w:unhideWhenUsed/>
    <w:qFormat/>
    <w:uiPriority w:val="39"/>
    <w:pPr>
      <w:ind w:left="2940" w:leftChars="1400"/>
    </w:pPr>
  </w:style>
  <w:style w:type="paragraph" w:styleId="51">
    <w:name w:val="index 3"/>
    <w:basedOn w:val="1"/>
    <w:next w:val="1"/>
    <w:autoRedefine/>
    <w:semiHidden/>
    <w:unhideWhenUsed/>
    <w:qFormat/>
    <w:uiPriority w:val="99"/>
    <w:pPr>
      <w:ind w:left="400" w:leftChars="400"/>
    </w:pPr>
  </w:style>
  <w:style w:type="paragraph" w:styleId="52">
    <w:name w:val="Date"/>
    <w:basedOn w:val="1"/>
    <w:next w:val="1"/>
    <w:link w:val="144"/>
    <w:semiHidden/>
    <w:unhideWhenUsed/>
    <w:qFormat/>
    <w:uiPriority w:val="99"/>
    <w:pPr>
      <w:ind w:left="100" w:leftChars="2500"/>
    </w:pPr>
  </w:style>
  <w:style w:type="paragraph" w:styleId="53">
    <w:name w:val="Body Text Indent 2"/>
    <w:basedOn w:val="1"/>
    <w:link w:val="156"/>
    <w:semiHidden/>
    <w:unhideWhenUsed/>
    <w:qFormat/>
    <w:uiPriority w:val="99"/>
    <w:pPr>
      <w:spacing w:after="120" w:line="480" w:lineRule="auto"/>
      <w:ind w:left="420" w:leftChars="200"/>
    </w:pPr>
  </w:style>
  <w:style w:type="paragraph" w:styleId="54">
    <w:name w:val="endnote text"/>
    <w:basedOn w:val="1"/>
    <w:link w:val="120"/>
    <w:semiHidden/>
    <w:qFormat/>
    <w:uiPriority w:val="30"/>
    <w:pPr>
      <w:snapToGrid w:val="0"/>
      <w:spacing w:line="240" w:lineRule="auto"/>
      <w:ind w:left="100" w:hanging="100" w:hangingChars="100"/>
    </w:pPr>
    <w:rPr>
      <w:sz w:val="18"/>
    </w:rPr>
  </w:style>
  <w:style w:type="paragraph" w:styleId="55">
    <w:name w:val="List Continue 5"/>
    <w:basedOn w:val="1"/>
    <w:semiHidden/>
    <w:unhideWhenUsed/>
    <w:qFormat/>
    <w:uiPriority w:val="99"/>
    <w:pPr>
      <w:spacing w:after="120"/>
      <w:ind w:left="2100" w:leftChars="1000"/>
      <w:contextualSpacing/>
    </w:pPr>
  </w:style>
  <w:style w:type="paragraph" w:styleId="56">
    <w:name w:val="Balloon Text"/>
    <w:basedOn w:val="1"/>
    <w:link w:val="123"/>
    <w:semiHidden/>
    <w:unhideWhenUsed/>
    <w:qFormat/>
    <w:uiPriority w:val="99"/>
    <w:pPr>
      <w:spacing w:line="240" w:lineRule="auto"/>
    </w:pPr>
    <w:rPr>
      <w:sz w:val="18"/>
      <w:szCs w:val="18"/>
    </w:rPr>
  </w:style>
  <w:style w:type="paragraph" w:styleId="57">
    <w:name w:val="footer"/>
    <w:basedOn w:val="1"/>
    <w:link w:val="101"/>
    <w:unhideWhenUsed/>
    <w:qFormat/>
    <w:uiPriority w:val="99"/>
    <w:pPr>
      <w:snapToGrid w:val="0"/>
      <w:spacing w:line="240" w:lineRule="auto"/>
      <w:jc w:val="center"/>
    </w:pPr>
    <w:rPr>
      <w:sz w:val="21"/>
      <w:szCs w:val="18"/>
    </w:rPr>
  </w:style>
  <w:style w:type="paragraph" w:styleId="58">
    <w:name w:val="envelope return"/>
    <w:basedOn w:val="1"/>
    <w:semiHidden/>
    <w:unhideWhenUsed/>
    <w:qFormat/>
    <w:uiPriority w:val="99"/>
    <w:pPr>
      <w:snapToGrid w:val="0"/>
    </w:pPr>
    <w:rPr>
      <w:rFonts w:asciiTheme="majorHAnsi" w:hAnsiTheme="majorHAnsi" w:eastAsiaTheme="majorEastAsia" w:cstheme="majorBidi"/>
    </w:rPr>
  </w:style>
  <w:style w:type="paragraph" w:styleId="59">
    <w:name w:val="header"/>
    <w:basedOn w:val="57"/>
    <w:link w:val="100"/>
    <w:unhideWhenUsed/>
    <w:qFormat/>
    <w:uiPriority w:val="99"/>
  </w:style>
  <w:style w:type="paragraph" w:styleId="60">
    <w:name w:val="Signature"/>
    <w:basedOn w:val="1"/>
    <w:link w:val="143"/>
    <w:semiHidden/>
    <w:unhideWhenUsed/>
    <w:qFormat/>
    <w:uiPriority w:val="99"/>
    <w:pPr>
      <w:ind w:left="100" w:leftChars="2100"/>
    </w:pPr>
  </w:style>
  <w:style w:type="paragraph" w:styleId="61">
    <w:name w:val="List Continue 4"/>
    <w:basedOn w:val="1"/>
    <w:semiHidden/>
    <w:unhideWhenUsed/>
    <w:qFormat/>
    <w:uiPriority w:val="99"/>
    <w:pPr>
      <w:spacing w:after="120"/>
      <w:ind w:left="1680" w:leftChars="800"/>
      <w:contextualSpacing/>
    </w:pPr>
  </w:style>
  <w:style w:type="paragraph" w:styleId="62">
    <w:name w:val="toc 4"/>
    <w:basedOn w:val="44"/>
    <w:autoRedefine/>
    <w:qFormat/>
    <w:uiPriority w:val="39"/>
    <w:pPr>
      <w:ind w:left="300" w:leftChars="300"/>
    </w:pPr>
  </w:style>
  <w:style w:type="paragraph" w:styleId="63">
    <w:name w:val="index heading"/>
    <w:basedOn w:val="64"/>
    <w:next w:val="1"/>
    <w:semiHidden/>
    <w:qFormat/>
    <w:uiPriority w:val="99"/>
    <w:rPr>
      <w:bCs w:val="0"/>
    </w:rPr>
  </w:style>
  <w:style w:type="paragraph" w:styleId="64">
    <w:name w:val="Title"/>
    <w:next w:val="1"/>
    <w:link w:val="102"/>
    <w:qFormat/>
    <w:uiPriority w:val="0"/>
    <w:pPr>
      <w:keepNext/>
      <w:keepLines/>
      <w:pageBreakBefore/>
      <w:spacing w:before="480" w:after="360" w:line="240" w:lineRule="auto"/>
      <w:jc w:val="center"/>
      <w:outlineLvl w:val="0"/>
    </w:pPr>
    <w:rPr>
      <w:rFonts w:ascii="Arial" w:hAnsi="Arial" w:eastAsia="黑体" w:cstheme="majorBidi"/>
      <w:bCs/>
      <w:kern w:val="30"/>
      <w:sz w:val="32"/>
      <w:szCs w:val="32"/>
      <w:lang w:val="en-US" w:eastAsia="zh-CN" w:bidi="ar-SA"/>
    </w:rPr>
  </w:style>
  <w:style w:type="paragraph" w:styleId="65">
    <w:name w:val="Subtitle"/>
    <w:basedOn w:val="64"/>
    <w:next w:val="1"/>
    <w:link w:val="109"/>
    <w:qFormat/>
    <w:uiPriority w:val="5"/>
    <w:pPr>
      <w:outlineLvl w:val="9"/>
    </w:pPr>
    <w:rPr>
      <w:bCs w:val="0"/>
    </w:rPr>
  </w:style>
  <w:style w:type="paragraph" w:styleId="66">
    <w:name w:val="List Number 5"/>
    <w:basedOn w:val="15"/>
    <w:qFormat/>
    <w:uiPriority w:val="11"/>
    <w:pPr>
      <w:numPr>
        <w:ilvl w:val="0"/>
        <w:numId w:val="11"/>
      </w:numPr>
      <w:ind w:left="200" w:hanging="200"/>
    </w:pPr>
  </w:style>
  <w:style w:type="paragraph" w:styleId="67">
    <w:name w:val="List"/>
    <w:basedOn w:val="1"/>
    <w:semiHidden/>
    <w:unhideWhenUsed/>
    <w:qFormat/>
    <w:uiPriority w:val="99"/>
    <w:pPr>
      <w:ind w:left="200" w:hanging="200" w:hangingChars="200"/>
      <w:contextualSpacing/>
    </w:pPr>
  </w:style>
  <w:style w:type="paragraph" w:styleId="68">
    <w:name w:val="footnote text"/>
    <w:basedOn w:val="1"/>
    <w:link w:val="116"/>
    <w:qFormat/>
    <w:uiPriority w:val="30"/>
    <w:pPr>
      <w:snapToGrid w:val="0"/>
      <w:spacing w:line="240" w:lineRule="auto"/>
      <w:ind w:left="150" w:hanging="150" w:hangingChars="150"/>
    </w:pPr>
    <w:rPr>
      <w:sz w:val="18"/>
      <w:szCs w:val="18"/>
    </w:rPr>
  </w:style>
  <w:style w:type="paragraph" w:styleId="69">
    <w:name w:val="toc 6"/>
    <w:basedOn w:val="1"/>
    <w:next w:val="1"/>
    <w:autoRedefine/>
    <w:semiHidden/>
    <w:unhideWhenUsed/>
    <w:qFormat/>
    <w:uiPriority w:val="39"/>
    <w:pPr>
      <w:ind w:left="2100" w:leftChars="1000"/>
    </w:pPr>
  </w:style>
  <w:style w:type="paragraph" w:styleId="70">
    <w:name w:val="List 5"/>
    <w:basedOn w:val="1"/>
    <w:semiHidden/>
    <w:unhideWhenUsed/>
    <w:qFormat/>
    <w:uiPriority w:val="99"/>
    <w:pPr>
      <w:ind w:left="100" w:leftChars="800" w:hanging="200" w:hangingChars="200"/>
      <w:contextualSpacing/>
    </w:pPr>
  </w:style>
  <w:style w:type="paragraph" w:styleId="71">
    <w:name w:val="Body Text Indent 3"/>
    <w:basedOn w:val="1"/>
    <w:link w:val="157"/>
    <w:semiHidden/>
    <w:unhideWhenUsed/>
    <w:qFormat/>
    <w:uiPriority w:val="99"/>
    <w:pPr>
      <w:spacing w:after="120"/>
      <w:ind w:left="420" w:leftChars="200"/>
    </w:pPr>
    <w:rPr>
      <w:sz w:val="16"/>
      <w:szCs w:val="16"/>
    </w:rPr>
  </w:style>
  <w:style w:type="paragraph" w:styleId="72">
    <w:name w:val="index 7"/>
    <w:basedOn w:val="1"/>
    <w:next w:val="1"/>
    <w:autoRedefine/>
    <w:semiHidden/>
    <w:unhideWhenUsed/>
    <w:qFormat/>
    <w:uiPriority w:val="99"/>
    <w:pPr>
      <w:ind w:left="1200" w:leftChars="1200"/>
    </w:pPr>
  </w:style>
  <w:style w:type="paragraph" w:styleId="73">
    <w:name w:val="index 9"/>
    <w:basedOn w:val="1"/>
    <w:next w:val="1"/>
    <w:autoRedefine/>
    <w:semiHidden/>
    <w:unhideWhenUsed/>
    <w:qFormat/>
    <w:uiPriority w:val="99"/>
    <w:pPr>
      <w:ind w:left="1600" w:leftChars="1600"/>
    </w:pPr>
  </w:style>
  <w:style w:type="paragraph" w:styleId="74">
    <w:name w:val="table of figures"/>
    <w:basedOn w:val="46"/>
    <w:qFormat/>
    <w:uiPriority w:val="99"/>
    <w:rPr>
      <w:rFonts w:eastAsiaTheme="minorEastAsia"/>
    </w:rPr>
  </w:style>
  <w:style w:type="paragraph" w:styleId="75">
    <w:name w:val="toc 9"/>
    <w:basedOn w:val="1"/>
    <w:next w:val="1"/>
    <w:autoRedefine/>
    <w:semiHidden/>
    <w:unhideWhenUsed/>
    <w:qFormat/>
    <w:uiPriority w:val="39"/>
    <w:pPr>
      <w:ind w:left="3360" w:leftChars="1600"/>
    </w:pPr>
  </w:style>
  <w:style w:type="paragraph" w:styleId="76">
    <w:name w:val="Body Text 2"/>
    <w:basedOn w:val="1"/>
    <w:link w:val="151"/>
    <w:semiHidden/>
    <w:unhideWhenUsed/>
    <w:qFormat/>
    <w:uiPriority w:val="99"/>
    <w:pPr>
      <w:spacing w:after="120" w:line="480" w:lineRule="auto"/>
    </w:pPr>
  </w:style>
  <w:style w:type="paragraph" w:styleId="77">
    <w:name w:val="List 4"/>
    <w:basedOn w:val="1"/>
    <w:semiHidden/>
    <w:unhideWhenUsed/>
    <w:qFormat/>
    <w:uiPriority w:val="99"/>
    <w:pPr>
      <w:ind w:left="100" w:leftChars="600" w:hanging="200" w:hangingChars="200"/>
      <w:contextualSpacing/>
    </w:pPr>
  </w:style>
  <w:style w:type="paragraph" w:styleId="78">
    <w:name w:val="List Continue 2"/>
    <w:basedOn w:val="1"/>
    <w:semiHidden/>
    <w:unhideWhenUsed/>
    <w:qFormat/>
    <w:uiPriority w:val="99"/>
    <w:pPr>
      <w:spacing w:after="120"/>
      <w:ind w:left="840" w:leftChars="400"/>
      <w:contextualSpacing/>
    </w:pPr>
  </w:style>
  <w:style w:type="paragraph" w:styleId="79">
    <w:name w:val="Message Header"/>
    <w:basedOn w:val="1"/>
    <w:link w:val="147"/>
    <w:semiHidden/>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rPr>
  </w:style>
  <w:style w:type="paragraph" w:styleId="80">
    <w:name w:val="HTML Preformatted"/>
    <w:basedOn w:val="1"/>
    <w:link w:val="129"/>
    <w:semiHidden/>
    <w:unhideWhenUsed/>
    <w:qFormat/>
    <w:uiPriority w:val="99"/>
    <w:rPr>
      <w:rFonts w:ascii="Courier New" w:hAnsi="Courier New" w:cs="Courier New"/>
      <w:sz w:val="20"/>
      <w:szCs w:val="20"/>
    </w:rPr>
  </w:style>
  <w:style w:type="paragraph" w:styleId="81">
    <w:name w:val="Normal (Web)"/>
    <w:basedOn w:val="1"/>
    <w:semiHidden/>
    <w:unhideWhenUsed/>
    <w:qFormat/>
    <w:uiPriority w:val="99"/>
    <w:rPr>
      <w:rFonts w:cs="Times New Roman"/>
    </w:rPr>
  </w:style>
  <w:style w:type="paragraph" w:styleId="82">
    <w:name w:val="List Continue 3"/>
    <w:basedOn w:val="1"/>
    <w:semiHidden/>
    <w:unhideWhenUsed/>
    <w:qFormat/>
    <w:uiPriority w:val="99"/>
    <w:pPr>
      <w:spacing w:after="120"/>
      <w:ind w:left="1260" w:leftChars="600"/>
      <w:contextualSpacing/>
    </w:pPr>
  </w:style>
  <w:style w:type="paragraph" w:styleId="83">
    <w:name w:val="index 1"/>
    <w:basedOn w:val="1"/>
    <w:next w:val="1"/>
    <w:autoRedefine/>
    <w:semiHidden/>
    <w:unhideWhenUsed/>
    <w:qFormat/>
    <w:uiPriority w:val="99"/>
  </w:style>
  <w:style w:type="paragraph" w:styleId="84">
    <w:name w:val="index 2"/>
    <w:basedOn w:val="1"/>
    <w:next w:val="1"/>
    <w:autoRedefine/>
    <w:semiHidden/>
    <w:unhideWhenUsed/>
    <w:qFormat/>
    <w:uiPriority w:val="99"/>
    <w:pPr>
      <w:ind w:left="200" w:leftChars="200"/>
    </w:pPr>
  </w:style>
  <w:style w:type="paragraph" w:styleId="85">
    <w:name w:val="annotation subject"/>
    <w:basedOn w:val="28"/>
    <w:next w:val="28"/>
    <w:link w:val="142"/>
    <w:semiHidden/>
    <w:unhideWhenUsed/>
    <w:qFormat/>
    <w:uiPriority w:val="99"/>
    <w:rPr>
      <w:b/>
      <w:bCs/>
    </w:rPr>
  </w:style>
  <w:style w:type="paragraph" w:styleId="86">
    <w:name w:val="Body Text First Indent"/>
    <w:basedOn w:val="34"/>
    <w:link w:val="153"/>
    <w:semiHidden/>
    <w:unhideWhenUsed/>
    <w:qFormat/>
    <w:uiPriority w:val="99"/>
    <w:pPr>
      <w:ind w:firstLine="420" w:firstLineChars="100"/>
    </w:pPr>
  </w:style>
  <w:style w:type="paragraph" w:styleId="87">
    <w:name w:val="Body Text First Indent 2"/>
    <w:basedOn w:val="35"/>
    <w:link w:val="155"/>
    <w:semiHidden/>
    <w:unhideWhenUsed/>
    <w:qFormat/>
    <w:uiPriority w:val="99"/>
    <w:pPr>
      <w:ind w:firstLine="420"/>
    </w:pPr>
  </w:style>
  <w:style w:type="table" w:styleId="89">
    <w:name w:val="Table Grid"/>
    <w:basedOn w:val="88"/>
    <w:qFormat/>
    <w:uiPriority w:val="0"/>
    <w:pPr>
      <w:jc w:val="center"/>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Pr>
    <w:tblStylePr w:type="firstRow">
      <w:rPr>
        <w:rFonts w:ascii="Times New Roman" w:hAnsi="Times New Roman" w:eastAsia="宋体"/>
      </w:rPr>
      <w:tblPr>
        <w:jc w:val="center"/>
      </w:tblPr>
      <w:trPr>
        <w:jc w:val="center"/>
      </w:trPr>
    </w:tblStylePr>
    <w:tblStylePr w:type="firstCol">
      <w:rPr>
        <w:rFonts w:ascii="Times New Roman" w:hAnsi="Times New Roman" w:eastAsia="宋体"/>
      </w:rPr>
      <w:tblPr>
        <w:jc w:val="center"/>
      </w:tblPr>
      <w:trPr>
        <w:jc w:val="center"/>
      </w:trPr>
    </w:tblStylePr>
  </w:style>
  <w:style w:type="character" w:styleId="91">
    <w:name w:val="Strong"/>
    <w:basedOn w:val="90"/>
    <w:qFormat/>
    <w:uiPriority w:val="7"/>
    <w:rPr>
      <w:b/>
      <w:bCs/>
    </w:rPr>
  </w:style>
  <w:style w:type="character" w:styleId="92">
    <w:name w:val="endnote reference"/>
    <w:basedOn w:val="90"/>
    <w:semiHidden/>
    <w:qFormat/>
    <w:uiPriority w:val="30"/>
    <w:rPr>
      <w:vertAlign w:val="superscript"/>
    </w:rPr>
  </w:style>
  <w:style w:type="character" w:styleId="93">
    <w:name w:val="FollowedHyperlink"/>
    <w:basedOn w:val="90"/>
    <w:unhideWhenUsed/>
    <w:qFormat/>
    <w:uiPriority w:val="99"/>
    <w:rPr>
      <w:color w:val="auto"/>
      <w:u w:val="single"/>
    </w:rPr>
  </w:style>
  <w:style w:type="character" w:styleId="94">
    <w:name w:val="Emphasis"/>
    <w:basedOn w:val="90"/>
    <w:qFormat/>
    <w:uiPriority w:val="7"/>
    <w:rPr>
      <w:rFonts w:eastAsia="黑体" w:asciiTheme="majorHAnsi" w:hAnsiTheme="majorHAnsi"/>
      <w:iCs/>
      <w:sz w:val="24"/>
    </w:rPr>
  </w:style>
  <w:style w:type="character" w:styleId="95">
    <w:name w:val="Hyperlink"/>
    <w:basedOn w:val="90"/>
    <w:unhideWhenUsed/>
    <w:qFormat/>
    <w:uiPriority w:val="99"/>
    <w:rPr>
      <w:color w:val="auto"/>
      <w:u w:val="single"/>
    </w:rPr>
  </w:style>
  <w:style w:type="character" w:styleId="96">
    <w:name w:val="annotation reference"/>
    <w:basedOn w:val="90"/>
    <w:semiHidden/>
    <w:unhideWhenUsed/>
    <w:qFormat/>
    <w:uiPriority w:val="99"/>
    <w:rPr>
      <w:sz w:val="21"/>
      <w:szCs w:val="21"/>
    </w:rPr>
  </w:style>
  <w:style w:type="character" w:styleId="97">
    <w:name w:val="footnote reference"/>
    <w:basedOn w:val="90"/>
    <w:semiHidden/>
    <w:qFormat/>
    <w:uiPriority w:val="30"/>
    <w:rPr>
      <w:vertAlign w:val="superscript"/>
    </w:rPr>
  </w:style>
  <w:style w:type="paragraph" w:styleId="98">
    <w:name w:val="List Paragraph"/>
    <w:basedOn w:val="1"/>
    <w:link w:val="112"/>
    <w:qFormat/>
    <w:uiPriority w:val="34"/>
  </w:style>
  <w:style w:type="table" w:customStyle="1" w:styleId="99">
    <w:name w:val="三线表"/>
    <w:basedOn w:val="89"/>
    <w:qFormat/>
    <w:uiPriority w:val="99"/>
    <w:tblPr>
      <w:tblBorders>
        <w:top w:val="single" w:color="auto" w:sz="12" w:space="0"/>
        <w:bottom w:val="single" w:color="auto" w:sz="12" w:space="0"/>
      </w:tblBorders>
    </w:tblPr>
    <w:tblStylePr w:type="firstRow">
      <w:rPr>
        <w:rFonts w:ascii="Times New Roman" w:hAnsi="Times New Roman" w:eastAsia="宋体"/>
      </w:rPr>
      <w:tblPr>
        <w:jc w:val="center"/>
      </w:tblPr>
      <w:trPr>
        <w:jc w:val="center"/>
      </w:trPr>
      <w:tcPr>
        <w:tcBorders>
          <w:bottom w:val="single" w:color="auto" w:sz="8" w:space="0"/>
        </w:tcBorders>
      </w:tcPr>
    </w:tblStylePr>
    <w:tblStylePr w:type="firstCol">
      <w:rPr>
        <w:rFonts w:ascii="Times New Roman" w:hAnsi="Times New Roman" w:eastAsia="宋体"/>
      </w:rPr>
      <w:tblPr>
        <w:jc w:val="center"/>
      </w:tblPr>
      <w:trPr>
        <w:jc w:val="center"/>
      </w:trPr>
    </w:tblStylePr>
  </w:style>
  <w:style w:type="character" w:customStyle="1" w:styleId="100">
    <w:name w:val="页眉 字符"/>
    <w:basedOn w:val="90"/>
    <w:link w:val="59"/>
    <w:qFormat/>
    <w:uiPriority w:val="99"/>
    <w:rPr>
      <w:kern w:val="0"/>
      <w:sz w:val="21"/>
      <w:szCs w:val="18"/>
    </w:rPr>
  </w:style>
  <w:style w:type="character" w:customStyle="1" w:styleId="101">
    <w:name w:val="页脚 字符"/>
    <w:basedOn w:val="90"/>
    <w:link w:val="57"/>
    <w:qFormat/>
    <w:uiPriority w:val="99"/>
    <w:rPr>
      <w:kern w:val="0"/>
      <w:sz w:val="21"/>
      <w:szCs w:val="18"/>
    </w:rPr>
  </w:style>
  <w:style w:type="character" w:customStyle="1" w:styleId="102">
    <w:name w:val="标题 字符"/>
    <w:basedOn w:val="90"/>
    <w:link w:val="64"/>
    <w:qFormat/>
    <w:uiPriority w:val="0"/>
    <w:rPr>
      <w:rFonts w:ascii="Arial" w:hAnsi="Arial" w:eastAsia="黑体" w:cstheme="majorBidi"/>
      <w:bCs/>
      <w:kern w:val="30"/>
      <w:sz w:val="32"/>
      <w:szCs w:val="32"/>
    </w:rPr>
  </w:style>
  <w:style w:type="character" w:customStyle="1" w:styleId="103">
    <w:name w:val="标题 1 字符"/>
    <w:basedOn w:val="90"/>
    <w:link w:val="3"/>
    <w:qFormat/>
    <w:uiPriority w:val="2"/>
    <w:rPr>
      <w:rFonts w:ascii="Arial" w:hAnsi="Arial" w:eastAsia="黑体"/>
      <w:bCs/>
      <w:kern w:val="44"/>
      <w:sz w:val="32"/>
      <w:szCs w:val="44"/>
    </w:rPr>
  </w:style>
  <w:style w:type="paragraph" w:customStyle="1" w:styleId="104">
    <w:name w:val="TOC Heading"/>
    <w:basedOn w:val="64"/>
    <w:next w:val="1"/>
    <w:qFormat/>
    <w:uiPriority w:val="39"/>
    <w:pPr>
      <w:outlineLvl w:val="9"/>
    </w:pPr>
  </w:style>
  <w:style w:type="character" w:customStyle="1" w:styleId="105">
    <w:name w:val="标题 2 字符"/>
    <w:basedOn w:val="90"/>
    <w:link w:val="4"/>
    <w:qFormat/>
    <w:uiPriority w:val="2"/>
    <w:rPr>
      <w:rFonts w:ascii="Arial" w:hAnsi="Arial" w:eastAsia="黑体" w:cstheme="majorBidi"/>
      <w:kern w:val="44"/>
      <w:sz w:val="28"/>
      <w:szCs w:val="32"/>
    </w:rPr>
  </w:style>
  <w:style w:type="character" w:customStyle="1" w:styleId="106">
    <w:name w:val="标题 3 字符"/>
    <w:basedOn w:val="90"/>
    <w:link w:val="5"/>
    <w:qFormat/>
    <w:uiPriority w:val="2"/>
    <w:rPr>
      <w:rFonts w:ascii="Arial" w:hAnsi="Arial" w:eastAsia="黑体" w:cstheme="majorBidi"/>
      <w:bCs/>
      <w:kern w:val="44"/>
      <w:sz w:val="26"/>
      <w:szCs w:val="32"/>
    </w:rPr>
  </w:style>
  <w:style w:type="character" w:customStyle="1" w:styleId="107">
    <w:name w:val="标题 4 字符"/>
    <w:basedOn w:val="90"/>
    <w:link w:val="6"/>
    <w:qFormat/>
    <w:uiPriority w:val="2"/>
    <w:rPr>
      <w:rFonts w:ascii="Arial" w:hAnsi="Arial" w:eastAsia="黑体" w:cstheme="majorBidi"/>
      <w:kern w:val="44"/>
      <w:szCs w:val="28"/>
    </w:rPr>
  </w:style>
  <w:style w:type="paragraph" w:customStyle="1" w:styleId="108">
    <w:name w:val="参考文献"/>
    <w:basedOn w:val="1"/>
    <w:qFormat/>
    <w:uiPriority w:val="9"/>
    <w:pPr>
      <w:numPr>
        <w:ilvl w:val="0"/>
        <w:numId w:val="12"/>
      </w:numPr>
      <w:spacing w:before="60" w:line="320" w:lineRule="exact"/>
      <w:ind w:left="567" w:hanging="567"/>
    </w:pPr>
    <w:rPr>
      <w:sz w:val="21"/>
    </w:rPr>
  </w:style>
  <w:style w:type="character" w:customStyle="1" w:styleId="109">
    <w:name w:val="副标题 字符"/>
    <w:basedOn w:val="90"/>
    <w:link w:val="65"/>
    <w:qFormat/>
    <w:uiPriority w:val="5"/>
    <w:rPr>
      <w:rFonts w:ascii="Arial" w:hAnsi="Arial" w:eastAsia="黑体" w:cstheme="majorBidi"/>
      <w:kern w:val="30"/>
      <w:sz w:val="32"/>
      <w:szCs w:val="32"/>
    </w:rPr>
  </w:style>
  <w:style w:type="paragraph" w:customStyle="1" w:styleId="110">
    <w:name w:val="附录标题"/>
    <w:basedOn w:val="65"/>
    <w:qFormat/>
    <w:uiPriority w:val="5"/>
    <w:pPr>
      <w:numPr>
        <w:ilvl w:val="0"/>
        <w:numId w:val="13"/>
      </w:numPr>
      <w:outlineLvl w:val="0"/>
    </w:pPr>
  </w:style>
  <w:style w:type="paragraph" w:customStyle="1" w:styleId="111">
    <w:name w:val="附录标题 1"/>
    <w:basedOn w:val="98"/>
    <w:next w:val="1"/>
    <w:qFormat/>
    <w:uiPriority w:val="6"/>
    <w:pPr>
      <w:keepNext/>
      <w:keepLines/>
      <w:widowControl/>
      <w:spacing w:before="400" w:after="120"/>
      <w:jc w:val="center"/>
    </w:pPr>
  </w:style>
  <w:style w:type="character" w:customStyle="1" w:styleId="112">
    <w:name w:val="列表段落 字符"/>
    <w:basedOn w:val="90"/>
    <w:link w:val="98"/>
    <w:qFormat/>
    <w:uiPriority w:val="34"/>
    <w:rPr>
      <w:kern w:val="0"/>
    </w:rPr>
  </w:style>
  <w:style w:type="paragraph" w:customStyle="1" w:styleId="113">
    <w:name w:val="行间代码"/>
    <w:basedOn w:val="98"/>
    <w:link w:val="114"/>
    <w:qFormat/>
    <w:uiPriority w:val="8"/>
    <w:pPr>
      <w:numPr>
        <w:ilvl w:val="0"/>
        <w:numId w:val="14"/>
      </w:numPr>
      <w:pBdr>
        <w:left w:val="single" w:color="7F7F7F" w:themeColor="background1" w:themeShade="80" w:sz="24" w:space="0"/>
      </w:pBdr>
      <w:shd w:val="clear" w:color="auto" w:fill="D8D8D8" w:themeFill="background1" w:themeFillShade="D9"/>
      <w:kinsoku w:val="0"/>
      <w:overflowPunct w:val="0"/>
      <w:autoSpaceDE w:val="0"/>
      <w:autoSpaceDN w:val="0"/>
      <w:ind w:hanging="200" w:hangingChars="200"/>
      <w:jc w:val="left"/>
    </w:pPr>
    <w:rPr>
      <w:rFonts w:ascii="LM Mono 10" w:hAnsi="LM Mono 10" w:eastAsia="微软雅黑"/>
      <w:szCs w:val="21"/>
    </w:rPr>
  </w:style>
  <w:style w:type="character" w:customStyle="1" w:styleId="114">
    <w:name w:val="行间代码 字符"/>
    <w:basedOn w:val="90"/>
    <w:link w:val="113"/>
    <w:qFormat/>
    <w:uiPriority w:val="8"/>
    <w:rPr>
      <w:rFonts w:ascii="LM Mono 10" w:hAnsi="LM Mono 10" w:eastAsia="微软雅黑"/>
      <w:szCs w:val="21"/>
      <w:shd w:val="clear" w:color="auto" w:fill="D8D8D8" w:themeFill="background1" w:themeFillShade="D9"/>
    </w:rPr>
  </w:style>
  <w:style w:type="character" w:customStyle="1" w:styleId="115">
    <w:name w:val="行内代码"/>
    <w:basedOn w:val="90"/>
    <w:qFormat/>
    <w:uiPriority w:val="8"/>
    <w:rPr>
      <w:rFonts w:ascii="Consolas" w:hAnsi="Consolas" w:eastAsia="微软雅黑"/>
      <w:sz w:val="24"/>
      <w:shd w:val="clear" w:color="auto" w:fill="D8D8D8" w:themeFill="background1" w:themeFillShade="D9"/>
    </w:rPr>
  </w:style>
  <w:style w:type="character" w:customStyle="1" w:styleId="116">
    <w:name w:val="脚注文本 字符"/>
    <w:basedOn w:val="90"/>
    <w:link w:val="68"/>
    <w:qFormat/>
    <w:uiPriority w:val="30"/>
    <w:rPr>
      <w:sz w:val="18"/>
      <w:szCs w:val="18"/>
    </w:rPr>
  </w:style>
  <w:style w:type="paragraph" w:customStyle="1" w:styleId="117">
    <w:name w:val="使用授权说明标题"/>
    <w:basedOn w:val="65"/>
    <w:next w:val="1"/>
    <w:qFormat/>
    <w:uiPriority w:val="19"/>
    <w:pPr>
      <w:spacing w:before="720" w:after="720"/>
    </w:pPr>
    <w:rPr>
      <w:sz w:val="44"/>
      <w:szCs w:val="44"/>
    </w:rPr>
  </w:style>
  <w:style w:type="paragraph" w:customStyle="1" w:styleId="118">
    <w:name w:val="图片"/>
    <w:basedOn w:val="98"/>
    <w:next w:val="98"/>
    <w:link w:val="119"/>
    <w:qFormat/>
    <w:uiPriority w:val="3"/>
    <w:pPr>
      <w:spacing w:before="240"/>
      <w:jc w:val="center"/>
    </w:pPr>
    <w:rPr>
      <w:sz w:val="21"/>
    </w:rPr>
  </w:style>
  <w:style w:type="character" w:customStyle="1" w:styleId="119">
    <w:name w:val="图片 字符"/>
    <w:basedOn w:val="112"/>
    <w:link w:val="118"/>
    <w:qFormat/>
    <w:uiPriority w:val="3"/>
    <w:rPr>
      <w:kern w:val="0"/>
      <w:sz w:val="21"/>
    </w:rPr>
  </w:style>
  <w:style w:type="character" w:customStyle="1" w:styleId="120">
    <w:name w:val="尾注文本 字符"/>
    <w:basedOn w:val="90"/>
    <w:link w:val="54"/>
    <w:semiHidden/>
    <w:qFormat/>
    <w:uiPriority w:val="30"/>
    <w:rPr>
      <w:kern w:val="0"/>
      <w:sz w:val="18"/>
    </w:rPr>
  </w:style>
  <w:style w:type="character" w:customStyle="1" w:styleId="121">
    <w:name w:val="标题 5 字符"/>
    <w:basedOn w:val="90"/>
    <w:link w:val="7"/>
    <w:semiHidden/>
    <w:qFormat/>
    <w:uiPriority w:val="2"/>
    <w:rPr>
      <w:b/>
      <w:bCs/>
      <w:sz w:val="28"/>
      <w:szCs w:val="28"/>
    </w:rPr>
  </w:style>
  <w:style w:type="character" w:customStyle="1" w:styleId="122">
    <w:name w:val="Book Title"/>
    <w:basedOn w:val="90"/>
    <w:semiHidden/>
    <w:unhideWhenUsed/>
    <w:qFormat/>
    <w:uiPriority w:val="99"/>
    <w:rPr>
      <w:b/>
      <w:bCs/>
      <w:i/>
      <w:iCs/>
      <w:spacing w:val="5"/>
    </w:rPr>
  </w:style>
  <w:style w:type="character" w:customStyle="1" w:styleId="123">
    <w:name w:val="批注框文本 字符"/>
    <w:basedOn w:val="90"/>
    <w:link w:val="56"/>
    <w:semiHidden/>
    <w:qFormat/>
    <w:uiPriority w:val="99"/>
    <w:rPr>
      <w:kern w:val="0"/>
      <w:sz w:val="18"/>
      <w:szCs w:val="18"/>
    </w:rPr>
  </w:style>
  <w:style w:type="character" w:styleId="124">
    <w:name w:val="Placeholder Text"/>
    <w:basedOn w:val="90"/>
    <w:semiHidden/>
    <w:qFormat/>
    <w:uiPriority w:val="99"/>
    <w:rPr>
      <w:color w:val="808080"/>
    </w:rPr>
  </w:style>
  <w:style w:type="table" w:customStyle="1" w:styleId="125">
    <w:name w:val="List Table 6 Colorful"/>
    <w:basedOn w:val="88"/>
    <w:qFormat/>
    <w:uiPriority w:val="51"/>
    <w:pPr>
      <w:spacing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26">
    <w:name w:val="Unresolved Mention"/>
    <w:basedOn w:val="90"/>
    <w:semiHidden/>
    <w:unhideWhenUsed/>
    <w:qFormat/>
    <w:uiPriority w:val="99"/>
    <w:rPr>
      <w:color w:val="605E5C"/>
      <w:shd w:val="clear" w:color="auto" w:fill="E1DFDD"/>
    </w:rPr>
  </w:style>
  <w:style w:type="table" w:customStyle="1" w:styleId="127">
    <w:name w:val="Grid Table Light"/>
    <w:basedOn w:val="88"/>
    <w:qFormat/>
    <w:uiPriority w:val="40"/>
    <w:pPr>
      <w:spacing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28">
    <w:name w:val="HTML 地址 字符"/>
    <w:basedOn w:val="90"/>
    <w:link w:val="41"/>
    <w:semiHidden/>
    <w:qFormat/>
    <w:uiPriority w:val="99"/>
    <w:rPr>
      <w:i/>
      <w:iCs/>
      <w:kern w:val="0"/>
    </w:rPr>
  </w:style>
  <w:style w:type="character" w:customStyle="1" w:styleId="129">
    <w:name w:val="HTML 预设格式 字符"/>
    <w:basedOn w:val="90"/>
    <w:link w:val="80"/>
    <w:semiHidden/>
    <w:qFormat/>
    <w:uiPriority w:val="99"/>
    <w:rPr>
      <w:rFonts w:ascii="Courier New" w:hAnsi="Courier New" w:cs="Courier New"/>
      <w:kern w:val="0"/>
      <w:sz w:val="20"/>
      <w:szCs w:val="20"/>
    </w:rPr>
  </w:style>
  <w:style w:type="character" w:customStyle="1" w:styleId="130">
    <w:name w:val="标题 6 字符"/>
    <w:basedOn w:val="90"/>
    <w:link w:val="8"/>
    <w:semiHidden/>
    <w:qFormat/>
    <w:uiPriority w:val="2"/>
    <w:rPr>
      <w:rFonts w:asciiTheme="majorHAnsi" w:hAnsiTheme="majorHAnsi" w:eastAsiaTheme="majorEastAsia" w:cstheme="majorBidi"/>
      <w:b/>
      <w:bCs/>
      <w:kern w:val="0"/>
    </w:rPr>
  </w:style>
  <w:style w:type="character" w:customStyle="1" w:styleId="131">
    <w:name w:val="标题 7 字符"/>
    <w:basedOn w:val="90"/>
    <w:link w:val="9"/>
    <w:semiHidden/>
    <w:qFormat/>
    <w:uiPriority w:val="2"/>
    <w:rPr>
      <w:b/>
      <w:bCs/>
      <w:kern w:val="0"/>
    </w:rPr>
  </w:style>
  <w:style w:type="character" w:customStyle="1" w:styleId="132">
    <w:name w:val="标题 8 字符"/>
    <w:basedOn w:val="90"/>
    <w:link w:val="10"/>
    <w:semiHidden/>
    <w:qFormat/>
    <w:uiPriority w:val="2"/>
    <w:rPr>
      <w:rFonts w:asciiTheme="majorHAnsi" w:hAnsiTheme="majorHAnsi" w:eastAsiaTheme="majorEastAsia" w:cstheme="majorBidi"/>
      <w:kern w:val="0"/>
    </w:rPr>
  </w:style>
  <w:style w:type="character" w:customStyle="1" w:styleId="133">
    <w:name w:val="标题 9 字符"/>
    <w:basedOn w:val="90"/>
    <w:link w:val="11"/>
    <w:semiHidden/>
    <w:qFormat/>
    <w:uiPriority w:val="2"/>
    <w:rPr>
      <w:rFonts w:asciiTheme="majorHAnsi" w:hAnsiTheme="majorHAnsi" w:eastAsiaTheme="majorEastAsia" w:cstheme="majorBidi"/>
      <w:kern w:val="0"/>
      <w:sz w:val="21"/>
      <w:szCs w:val="21"/>
    </w:rPr>
  </w:style>
  <w:style w:type="character" w:customStyle="1" w:styleId="134">
    <w:name w:val="称呼 字符"/>
    <w:basedOn w:val="90"/>
    <w:link w:val="30"/>
    <w:semiHidden/>
    <w:qFormat/>
    <w:uiPriority w:val="99"/>
    <w:rPr>
      <w:kern w:val="0"/>
    </w:rPr>
  </w:style>
  <w:style w:type="character" w:customStyle="1" w:styleId="135">
    <w:name w:val="纯文本 字符"/>
    <w:basedOn w:val="90"/>
    <w:link w:val="47"/>
    <w:semiHidden/>
    <w:qFormat/>
    <w:uiPriority w:val="99"/>
    <w:rPr>
      <w:rFonts w:hAnsi="Courier New" w:cs="Courier New" w:asciiTheme="minorEastAsia"/>
      <w:kern w:val="0"/>
    </w:rPr>
  </w:style>
  <w:style w:type="character" w:customStyle="1" w:styleId="136">
    <w:name w:val="电子邮件签名 字符"/>
    <w:basedOn w:val="90"/>
    <w:link w:val="21"/>
    <w:semiHidden/>
    <w:qFormat/>
    <w:uiPriority w:val="99"/>
    <w:rPr>
      <w:kern w:val="0"/>
    </w:rPr>
  </w:style>
  <w:style w:type="character" w:customStyle="1" w:styleId="137">
    <w:name w:val="宏文本 字符"/>
    <w:basedOn w:val="90"/>
    <w:link w:val="2"/>
    <w:semiHidden/>
    <w:qFormat/>
    <w:uiPriority w:val="99"/>
    <w:rPr>
      <w:rFonts w:ascii="Courier New" w:hAnsi="Courier New" w:eastAsia="宋体" w:cs="Courier New"/>
      <w:kern w:val="0"/>
    </w:rPr>
  </w:style>
  <w:style w:type="character" w:customStyle="1" w:styleId="138">
    <w:name w:val="结束语 字符"/>
    <w:basedOn w:val="90"/>
    <w:link w:val="32"/>
    <w:semiHidden/>
    <w:qFormat/>
    <w:uiPriority w:val="99"/>
    <w:rPr>
      <w:kern w:val="0"/>
    </w:rPr>
  </w:style>
  <w:style w:type="paragraph" w:styleId="139">
    <w:name w:val="Intense Quote"/>
    <w:basedOn w:val="1"/>
    <w:next w:val="1"/>
    <w:link w:val="140"/>
    <w:semiHidden/>
    <w:unhideWhenUsed/>
    <w:qFormat/>
    <w:uiPriority w:val="7"/>
    <w:pPr>
      <w:pBdr>
        <w:top w:val="single" w:color="DDDDDD" w:themeColor="accent1" w:sz="4" w:space="10"/>
        <w:bottom w:val="single" w:color="DDDDDD" w:themeColor="accent1" w:sz="4" w:space="10"/>
      </w:pBdr>
      <w:spacing w:before="360" w:after="360"/>
      <w:ind w:left="864" w:right="864"/>
      <w:jc w:val="center"/>
    </w:pPr>
    <w:rPr>
      <w:i/>
      <w:iCs/>
      <w:color w:val="DDDDDD" w:themeColor="accent1"/>
      <w14:textFill>
        <w14:solidFill>
          <w14:schemeClr w14:val="accent1"/>
        </w14:solidFill>
      </w14:textFill>
    </w:rPr>
  </w:style>
  <w:style w:type="character" w:customStyle="1" w:styleId="140">
    <w:name w:val="明显引用 字符"/>
    <w:basedOn w:val="90"/>
    <w:link w:val="139"/>
    <w:semiHidden/>
    <w:qFormat/>
    <w:uiPriority w:val="7"/>
    <w:rPr>
      <w:i/>
      <w:iCs/>
      <w:color w:val="DDDDDD" w:themeColor="accent1"/>
      <w:kern w:val="0"/>
      <w14:textFill>
        <w14:solidFill>
          <w14:schemeClr w14:val="accent1"/>
        </w14:solidFill>
      </w14:textFill>
    </w:rPr>
  </w:style>
  <w:style w:type="character" w:customStyle="1" w:styleId="141">
    <w:name w:val="批注文字 字符"/>
    <w:basedOn w:val="90"/>
    <w:link w:val="28"/>
    <w:semiHidden/>
    <w:qFormat/>
    <w:uiPriority w:val="99"/>
    <w:rPr>
      <w:kern w:val="0"/>
    </w:rPr>
  </w:style>
  <w:style w:type="character" w:customStyle="1" w:styleId="142">
    <w:name w:val="批注主题 字符"/>
    <w:basedOn w:val="141"/>
    <w:link w:val="85"/>
    <w:semiHidden/>
    <w:qFormat/>
    <w:uiPriority w:val="99"/>
    <w:rPr>
      <w:b/>
      <w:bCs/>
      <w:kern w:val="0"/>
    </w:rPr>
  </w:style>
  <w:style w:type="character" w:customStyle="1" w:styleId="143">
    <w:name w:val="签名 字符"/>
    <w:basedOn w:val="90"/>
    <w:link w:val="60"/>
    <w:semiHidden/>
    <w:qFormat/>
    <w:uiPriority w:val="99"/>
    <w:rPr>
      <w:kern w:val="0"/>
    </w:rPr>
  </w:style>
  <w:style w:type="character" w:customStyle="1" w:styleId="144">
    <w:name w:val="日期 字符"/>
    <w:basedOn w:val="90"/>
    <w:link w:val="52"/>
    <w:semiHidden/>
    <w:qFormat/>
    <w:uiPriority w:val="99"/>
    <w:rPr>
      <w:kern w:val="0"/>
    </w:rPr>
  </w:style>
  <w:style w:type="paragraph" w:customStyle="1" w:styleId="145">
    <w:name w:val="Bibliography"/>
    <w:basedOn w:val="1"/>
    <w:next w:val="1"/>
    <w:unhideWhenUsed/>
    <w:qFormat/>
    <w:uiPriority w:val="99"/>
    <w:pPr>
      <w:tabs>
        <w:tab w:val="left" w:pos="384"/>
      </w:tabs>
      <w:spacing w:before="60" w:after="60" w:line="340" w:lineRule="atLeast"/>
      <w:ind w:left="200" w:hanging="200" w:hangingChars="200"/>
    </w:pPr>
    <w:rPr>
      <w:sz w:val="21"/>
    </w:rPr>
  </w:style>
  <w:style w:type="character" w:customStyle="1" w:styleId="146">
    <w:name w:val="文档结构图 字符"/>
    <w:basedOn w:val="90"/>
    <w:link w:val="26"/>
    <w:semiHidden/>
    <w:qFormat/>
    <w:uiPriority w:val="99"/>
    <w:rPr>
      <w:rFonts w:ascii="Microsoft YaHei UI" w:eastAsia="Microsoft YaHei UI"/>
      <w:kern w:val="0"/>
      <w:sz w:val="18"/>
      <w:szCs w:val="18"/>
    </w:rPr>
  </w:style>
  <w:style w:type="character" w:customStyle="1" w:styleId="147">
    <w:name w:val="信息标题 字符"/>
    <w:basedOn w:val="90"/>
    <w:link w:val="79"/>
    <w:semiHidden/>
    <w:qFormat/>
    <w:uiPriority w:val="99"/>
    <w:rPr>
      <w:rFonts w:asciiTheme="majorHAnsi" w:hAnsiTheme="majorHAnsi" w:eastAsiaTheme="majorEastAsia" w:cstheme="majorBidi"/>
      <w:kern w:val="0"/>
      <w:shd w:val="pct20" w:color="auto" w:fill="auto"/>
    </w:rPr>
  </w:style>
  <w:style w:type="paragraph" w:styleId="148">
    <w:name w:val="Quote"/>
    <w:basedOn w:val="1"/>
    <w:next w:val="1"/>
    <w:link w:val="149"/>
    <w:semiHidden/>
    <w:unhideWhenUsed/>
    <w:qFormat/>
    <w:uiPriority w:val="7"/>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49">
    <w:name w:val="引用 字符"/>
    <w:basedOn w:val="90"/>
    <w:link w:val="148"/>
    <w:semiHidden/>
    <w:qFormat/>
    <w:uiPriority w:val="7"/>
    <w:rPr>
      <w:i/>
      <w:iCs/>
      <w:color w:val="404040" w:themeColor="text1" w:themeTint="BF"/>
      <w:kern w:val="0"/>
      <w14:textFill>
        <w14:solidFill>
          <w14:schemeClr w14:val="tx1">
            <w14:lumMod w14:val="75000"/>
            <w14:lumOff w14:val="25000"/>
          </w14:schemeClr>
        </w14:solidFill>
      </w14:textFill>
    </w:rPr>
  </w:style>
  <w:style w:type="character" w:customStyle="1" w:styleId="150">
    <w:name w:val="正文文本 字符"/>
    <w:basedOn w:val="90"/>
    <w:link w:val="34"/>
    <w:semiHidden/>
    <w:qFormat/>
    <w:uiPriority w:val="99"/>
    <w:rPr>
      <w:kern w:val="0"/>
    </w:rPr>
  </w:style>
  <w:style w:type="character" w:customStyle="1" w:styleId="151">
    <w:name w:val="正文文本 2 字符"/>
    <w:basedOn w:val="90"/>
    <w:link w:val="76"/>
    <w:semiHidden/>
    <w:qFormat/>
    <w:uiPriority w:val="99"/>
    <w:rPr>
      <w:kern w:val="0"/>
    </w:rPr>
  </w:style>
  <w:style w:type="character" w:customStyle="1" w:styleId="152">
    <w:name w:val="正文文本 3 字符"/>
    <w:basedOn w:val="90"/>
    <w:link w:val="31"/>
    <w:semiHidden/>
    <w:qFormat/>
    <w:uiPriority w:val="99"/>
    <w:rPr>
      <w:kern w:val="0"/>
      <w:sz w:val="16"/>
      <w:szCs w:val="16"/>
    </w:rPr>
  </w:style>
  <w:style w:type="character" w:customStyle="1" w:styleId="153">
    <w:name w:val="正文文本首行缩进 字符"/>
    <w:basedOn w:val="150"/>
    <w:link w:val="86"/>
    <w:semiHidden/>
    <w:qFormat/>
    <w:uiPriority w:val="99"/>
    <w:rPr>
      <w:kern w:val="0"/>
    </w:rPr>
  </w:style>
  <w:style w:type="character" w:customStyle="1" w:styleId="154">
    <w:name w:val="正文文本缩进 字符"/>
    <w:basedOn w:val="90"/>
    <w:link w:val="35"/>
    <w:semiHidden/>
    <w:qFormat/>
    <w:uiPriority w:val="99"/>
    <w:rPr>
      <w:kern w:val="0"/>
    </w:rPr>
  </w:style>
  <w:style w:type="character" w:customStyle="1" w:styleId="155">
    <w:name w:val="正文文本首行缩进 2 字符"/>
    <w:basedOn w:val="154"/>
    <w:link w:val="87"/>
    <w:semiHidden/>
    <w:qFormat/>
    <w:uiPriority w:val="99"/>
    <w:rPr>
      <w:kern w:val="0"/>
    </w:rPr>
  </w:style>
  <w:style w:type="character" w:customStyle="1" w:styleId="156">
    <w:name w:val="正文文本缩进 2 字符"/>
    <w:basedOn w:val="90"/>
    <w:link w:val="53"/>
    <w:semiHidden/>
    <w:qFormat/>
    <w:uiPriority w:val="99"/>
    <w:rPr>
      <w:kern w:val="0"/>
    </w:rPr>
  </w:style>
  <w:style w:type="character" w:customStyle="1" w:styleId="157">
    <w:name w:val="正文文本缩进 3 字符"/>
    <w:basedOn w:val="90"/>
    <w:link w:val="71"/>
    <w:semiHidden/>
    <w:qFormat/>
    <w:uiPriority w:val="99"/>
    <w:rPr>
      <w:kern w:val="0"/>
      <w:sz w:val="16"/>
      <w:szCs w:val="16"/>
    </w:rPr>
  </w:style>
  <w:style w:type="character" w:customStyle="1" w:styleId="158">
    <w:name w:val="注释标题 字符"/>
    <w:basedOn w:val="90"/>
    <w:link w:val="17"/>
    <w:semiHidden/>
    <w:qFormat/>
    <w:uiPriority w:val="99"/>
    <w:rPr>
      <w:kern w:val="0"/>
    </w:rPr>
  </w:style>
  <w:style w:type="paragraph" w:customStyle="1" w:styleId="159">
    <w:name w:val="封面作者信息"/>
    <w:basedOn w:val="98"/>
    <w:qFormat/>
    <w:uiPriority w:val="17"/>
    <w:pPr>
      <w:wordWrap w:val="0"/>
      <w:spacing w:before="120" w:line="360" w:lineRule="auto"/>
      <w:jc w:val="center"/>
    </w:pPr>
    <w:rPr>
      <w:rFonts w:eastAsia="仿宋"/>
      <w:sz w:val="32"/>
    </w:rPr>
  </w:style>
  <w:style w:type="paragraph" w:customStyle="1" w:styleId="160">
    <w:name w:val="封面清华大学"/>
    <w:basedOn w:val="98"/>
    <w:qFormat/>
    <w:uiPriority w:val="17"/>
    <w:pPr>
      <w:spacing w:line="240" w:lineRule="auto"/>
      <w:jc w:val="center"/>
    </w:pPr>
    <w:rPr>
      <w:rFonts w:eastAsia="隶书"/>
      <w:sz w:val="52"/>
      <w:szCs w:val="52"/>
    </w:rPr>
  </w:style>
  <w:style w:type="paragraph" w:customStyle="1" w:styleId="161">
    <w:name w:val="封面综合论文训练"/>
    <w:basedOn w:val="98"/>
    <w:qFormat/>
    <w:uiPriority w:val="17"/>
    <w:pPr>
      <w:spacing w:before="360" w:line="240" w:lineRule="auto"/>
      <w:jc w:val="center"/>
    </w:pPr>
    <w:rPr>
      <w:rFonts w:ascii="Arial" w:hAnsi="Arial" w:eastAsia="黑体"/>
      <w:b/>
      <w:sz w:val="72"/>
      <w:szCs w:val="72"/>
    </w:rPr>
  </w:style>
  <w:style w:type="paragraph" w:customStyle="1" w:styleId="162">
    <w:name w:val="封面论文题目"/>
    <w:basedOn w:val="98"/>
    <w:qFormat/>
    <w:uiPriority w:val="17"/>
    <w:pPr>
      <w:spacing w:line="300" w:lineRule="auto"/>
      <w:jc w:val="center"/>
    </w:pPr>
    <w:rPr>
      <w:rFonts w:eastAsia="黑体" w:cstheme="majorHAnsi"/>
      <w:sz w:val="52"/>
      <w:szCs w:val="52"/>
    </w:rPr>
  </w:style>
  <w:style w:type="paragraph" w:customStyle="1" w:styleId="163">
    <w:name w:val="封面题目"/>
    <w:basedOn w:val="162"/>
    <w:link w:val="168"/>
    <w:qFormat/>
    <w:uiPriority w:val="17"/>
    <w:rPr>
      <w:rFonts w:ascii="黑体" w:hAnsi="黑体"/>
      <w:sz w:val="36"/>
      <w:szCs w:val="44"/>
    </w:rPr>
  </w:style>
  <w:style w:type="paragraph" w:customStyle="1" w:styleId="164">
    <w:name w:val="书脊"/>
    <w:qFormat/>
    <w:uiPriority w:val="17"/>
    <w:pPr>
      <w:widowControl w:val="0"/>
      <w:tabs>
        <w:tab w:val="right" w:pos="13438"/>
      </w:tabs>
      <w:spacing w:line="240" w:lineRule="auto"/>
      <w:jc w:val="left"/>
      <w:textAlignment w:val="center"/>
    </w:pPr>
    <w:rPr>
      <w:rFonts w:ascii="Times New Roman" w:hAnsi="Times New Roman" w:eastAsia="仿宋" w:cstheme="minorBidi"/>
      <w:kern w:val="0"/>
      <w:sz w:val="30"/>
      <w:szCs w:val="24"/>
      <w:lang w:val="en-US" w:eastAsia="zh-CN" w:bidi="ar-SA"/>
    </w:rPr>
  </w:style>
  <w:style w:type="paragraph" w:customStyle="1" w:styleId="165">
    <w:name w:val="公式"/>
    <w:basedOn w:val="98"/>
    <w:link w:val="170"/>
    <w:qFormat/>
    <w:uiPriority w:val="4"/>
    <w:pPr>
      <w:spacing w:before="240" w:after="240"/>
      <w:jc w:val="center"/>
    </w:pPr>
  </w:style>
  <w:style w:type="paragraph" w:customStyle="1" w:styleId="166">
    <w:name w:val="附录标题 2"/>
    <w:basedOn w:val="111"/>
    <w:qFormat/>
    <w:uiPriority w:val="6"/>
    <w:pPr>
      <w:numPr>
        <w:ilvl w:val="1"/>
        <w:numId w:val="13"/>
      </w:numPr>
      <w:jc w:val="both"/>
    </w:pPr>
  </w:style>
  <w:style w:type="paragraph" w:customStyle="1" w:styleId="167">
    <w:name w:val="附录标题 3"/>
    <w:basedOn w:val="166"/>
    <w:qFormat/>
    <w:uiPriority w:val="6"/>
    <w:pPr>
      <w:numPr>
        <w:ilvl w:val="2"/>
      </w:numPr>
    </w:pPr>
  </w:style>
  <w:style w:type="character" w:customStyle="1" w:styleId="168">
    <w:name w:val="封面题目 字符"/>
    <w:basedOn w:val="112"/>
    <w:link w:val="163"/>
    <w:qFormat/>
    <w:uiPriority w:val="17"/>
    <w:rPr>
      <w:rFonts w:ascii="黑体" w:hAnsi="黑体" w:eastAsia="黑体" w:cstheme="majorHAnsi"/>
      <w:kern w:val="0"/>
      <w:sz w:val="36"/>
      <w:szCs w:val="44"/>
    </w:rPr>
  </w:style>
  <w:style w:type="paragraph" w:customStyle="1" w:styleId="169">
    <w:name w:val="符号和缩略语说明表"/>
    <w:basedOn w:val="1"/>
    <w:qFormat/>
    <w:uiPriority w:val="20"/>
    <w:pPr>
      <w:tabs>
        <w:tab w:val="left" w:pos="1920"/>
      </w:tabs>
      <w:ind w:left="800" w:hanging="800" w:hangingChars="800"/>
      <w:jc w:val="left"/>
    </w:pPr>
  </w:style>
  <w:style w:type="character" w:customStyle="1" w:styleId="170">
    <w:name w:val="公式 字符"/>
    <w:basedOn w:val="112"/>
    <w:link w:val="165"/>
    <w:qFormat/>
    <w:uiPriority w:val="4"/>
    <w:rPr>
      <w:kern w:val="0"/>
    </w:rPr>
  </w:style>
  <w:style w:type="paragraph" w:customStyle="1" w:styleId="171">
    <w:name w:val="隐藏文字"/>
    <w:basedOn w:val="1"/>
    <w:next w:val="1"/>
    <w:link w:val="172"/>
    <w:qFormat/>
    <w:uiPriority w:val="34"/>
    <w:pPr>
      <w:ind w:firstLine="480"/>
    </w:pPr>
    <w:rPr>
      <w:vanish/>
    </w:rPr>
  </w:style>
  <w:style w:type="character" w:customStyle="1" w:styleId="172">
    <w:name w:val="隐藏文字 字符"/>
    <w:basedOn w:val="90"/>
    <w:link w:val="171"/>
    <w:qFormat/>
    <w:uiPriority w:val="34"/>
    <w:rPr>
      <w:vanish/>
      <w:kern w:val="0"/>
    </w:rPr>
  </w:style>
  <w:style w:type="character" w:customStyle="1" w:styleId="173">
    <w:name w:val="TOC 1 字符"/>
    <w:basedOn w:val="90"/>
    <w:link w:val="46"/>
    <w:qFormat/>
    <w:uiPriority w:val="39"/>
    <w:rPr>
      <w:rFonts w:eastAsia="黑体"/>
    </w:rPr>
  </w:style>
  <w:style w:type="paragraph" w:customStyle="1" w:styleId="174">
    <w:name w:val="段落"/>
    <w:basedOn w:val="1"/>
    <w:qFormat/>
    <w:uiPriority w:val="0"/>
    <w:pPr>
      <w:widowControl/>
      <w:spacing w:line="420" w:lineRule="exact"/>
      <w:ind w:firstLine="520" w:firstLineChars="200"/>
      <w:textAlignment w:val="baseline"/>
    </w:pPr>
    <w:rPr>
      <w:rFonts w:cs="Times New Roman"/>
      <w:spacing w:val="10"/>
      <w:kern w:val="0"/>
      <w:szCs w:val="20"/>
    </w:rPr>
  </w:style>
  <w:style w:type="character" w:customStyle="1" w:styleId="175">
    <w:name w:val="fontstyle01"/>
    <w:basedOn w:val="90"/>
    <w:qFormat/>
    <w:uiPriority w:val="0"/>
    <w:rPr>
      <w:rFonts w:hint="eastAsia" w:ascii="宋体" w:hAnsi="宋体" w:eastAsia="宋体"/>
      <w:color w:val="000000"/>
      <w:sz w:val="24"/>
      <w:szCs w:val="24"/>
    </w:rPr>
  </w:style>
  <w:style w:type="character" w:customStyle="1" w:styleId="176">
    <w:name w:val="fontstyle21"/>
    <w:basedOn w:val="90"/>
    <w:qFormat/>
    <w:uiPriority w:val="0"/>
    <w:rPr>
      <w:rFonts w:hint="default" w:ascii="Times New Roman" w:hAnsi="Times New Roman" w:cs="Times New Roman"/>
      <w:color w:val="000000"/>
      <w:sz w:val="24"/>
      <w:szCs w:val="24"/>
    </w:rPr>
  </w:style>
  <w:style w:type="paragraph" w:customStyle="1" w:styleId="177">
    <w:name w:val="标题-插图表格清单&amp;符号缩略语说明"/>
    <w:basedOn w:val="1"/>
    <w:link w:val="178"/>
    <w:qFormat/>
    <w:uiPriority w:val="0"/>
    <w:pPr>
      <w:keepNext/>
      <w:keepLines/>
      <w:pageBreakBefore/>
      <w:widowControl/>
      <w:spacing w:before="480" w:after="360" w:line="240" w:lineRule="auto"/>
      <w:jc w:val="center"/>
    </w:pPr>
    <w:rPr>
      <w:rFonts w:eastAsia="黑体"/>
      <w:sz w:val="32"/>
    </w:rPr>
  </w:style>
  <w:style w:type="character" w:customStyle="1" w:styleId="178">
    <w:name w:val="标题-插图表格清单&amp;符号缩略语说明 字符"/>
    <w:basedOn w:val="90"/>
    <w:link w:val="177"/>
    <w:qFormat/>
    <w:uiPriority w:val="0"/>
    <w:rPr>
      <w:rFonts w:eastAsia="黑体"/>
      <w:sz w:val="32"/>
    </w:rPr>
  </w:style>
  <w:style w:type="paragraph" w:customStyle="1" w:styleId="179">
    <w:name w:val="论文正文段落"/>
    <w:basedOn w:val="1"/>
    <w:link w:val="181"/>
    <w:qFormat/>
    <w:uiPriority w:val="2"/>
    <w:pPr>
      <w:ind w:firstLine="200" w:firstLineChars="200"/>
    </w:pPr>
  </w:style>
  <w:style w:type="paragraph" w:customStyle="1" w:styleId="180">
    <w:name w:val="表-题注"/>
    <w:basedOn w:val="23"/>
    <w:link w:val="183"/>
    <w:qFormat/>
    <w:uiPriority w:val="3"/>
    <w:pPr>
      <w:spacing w:before="240" w:after="120"/>
    </w:pPr>
  </w:style>
  <w:style w:type="character" w:customStyle="1" w:styleId="181">
    <w:name w:val="论文正文段落 字符"/>
    <w:basedOn w:val="90"/>
    <w:link w:val="179"/>
    <w:qFormat/>
    <w:uiPriority w:val="2"/>
  </w:style>
  <w:style w:type="character" w:customStyle="1" w:styleId="182">
    <w:name w:val="题注 字符"/>
    <w:basedOn w:val="90"/>
    <w:link w:val="23"/>
    <w:qFormat/>
    <w:uiPriority w:val="3"/>
    <w:rPr>
      <w:rFonts w:cstheme="majorBidi"/>
      <w:kern w:val="0"/>
      <w:sz w:val="22"/>
      <w:szCs w:val="20"/>
    </w:rPr>
  </w:style>
  <w:style w:type="character" w:customStyle="1" w:styleId="183">
    <w:name w:val="表-题注 字符"/>
    <w:basedOn w:val="182"/>
    <w:link w:val="180"/>
    <w:qFormat/>
    <w:uiPriority w:val="3"/>
    <w:rPr>
      <w:rFonts w:cstheme="majorBidi"/>
      <w:kern w:val="0"/>
      <w:sz w:val="22"/>
      <w:szCs w:val="20"/>
    </w:rPr>
  </w:style>
  <w:style w:type="paragraph" w:customStyle="1" w:styleId="184">
    <w:name w:val="标题1"/>
    <w:basedOn w:val="64"/>
    <w:qFormat/>
    <w:uiPriority w:val="1"/>
    <w:pPr>
      <w:keepNext w:val="0"/>
      <w:keepLines w:val="0"/>
      <w:pageBreakBefore w:val="0"/>
      <w:adjustRightInd w:val="0"/>
      <w:spacing w:before="240" w:line="420" w:lineRule="exact"/>
      <w:outlineLvl w:val="9"/>
    </w:pPr>
    <w:rPr>
      <w:rFonts w:eastAsia="宋体" w:cs="Times New Roman"/>
      <w:bCs w:val="0"/>
      <w:kern w:val="0"/>
      <w:sz w:val="30"/>
      <w:szCs w:val="20"/>
    </w:rPr>
  </w:style>
  <w:style w:type="table" w:customStyle="1" w:styleId="185">
    <w:name w:val="网格型1"/>
    <w:basedOn w:val="88"/>
    <w:qFormat/>
    <w:uiPriority w:val="0"/>
    <w:pPr>
      <w:widowControl w:val="0"/>
      <w:spacing w:line="240" w:lineRule="auto"/>
    </w:pPr>
    <w:rPr>
      <w:rFonts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6">
    <w:name w:val="样式1"/>
    <w:basedOn w:val="64"/>
    <w:link w:val="188"/>
    <w:qFormat/>
    <w:uiPriority w:val="0"/>
  </w:style>
  <w:style w:type="paragraph" w:customStyle="1" w:styleId="187">
    <w:name w:val="章标题-无级别"/>
    <w:basedOn w:val="184"/>
    <w:next w:val="1"/>
    <w:link w:val="189"/>
    <w:qFormat/>
    <w:uiPriority w:val="0"/>
    <w:pPr>
      <w:spacing w:before="480" w:line="240" w:lineRule="auto"/>
    </w:pPr>
    <w:rPr>
      <w:rFonts w:eastAsia="黑体"/>
      <w:sz w:val="32"/>
    </w:rPr>
  </w:style>
  <w:style w:type="character" w:customStyle="1" w:styleId="188">
    <w:name w:val="样式1 字符"/>
    <w:basedOn w:val="102"/>
    <w:link w:val="186"/>
    <w:qFormat/>
    <w:uiPriority w:val="0"/>
    <w:rPr>
      <w:rFonts w:ascii="Arial" w:hAnsi="Arial" w:eastAsia="黑体" w:cstheme="majorBidi"/>
      <w:kern w:val="30"/>
      <w:sz w:val="32"/>
      <w:szCs w:val="32"/>
    </w:rPr>
  </w:style>
  <w:style w:type="character" w:customStyle="1" w:styleId="189">
    <w:name w:val="章标题-无级别 字符"/>
    <w:basedOn w:val="90"/>
    <w:link w:val="187"/>
    <w:qFormat/>
    <w:uiPriority w:val="0"/>
    <w:rPr>
      <w:rFonts w:ascii="Arial" w:hAnsi="Arial" w:eastAsia="黑体" w:cs="Times New Roman"/>
      <w:kern w:val="0"/>
      <w:sz w:val="32"/>
      <w:szCs w:val="20"/>
    </w:rPr>
  </w:style>
  <w:style w:type="table" w:customStyle="1" w:styleId="190">
    <w:name w:val="Plain Table 2"/>
    <w:basedOn w:val="88"/>
    <w:qFormat/>
    <w:uiPriority w:val="42"/>
    <w:pPr>
      <w:spacing w:line="240" w:lineRule="auto"/>
      <w:jc w:val="left"/>
    </w:pPr>
    <w:rPr>
      <w:rFonts w:cs="Times New Roman"/>
      <w:kern w:val="0"/>
      <w:sz w:val="20"/>
      <w:szCs w:val="20"/>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191">
    <w:name w:val="表单元格内文字"/>
    <w:basedOn w:val="1"/>
    <w:link w:val="192"/>
    <w:qFormat/>
    <w:uiPriority w:val="2"/>
    <w:pPr>
      <w:spacing w:before="60" w:after="60" w:line="240" w:lineRule="auto"/>
      <w:jc w:val="center"/>
    </w:pPr>
    <w:rPr>
      <w:rFonts w:cs="Times New Roman"/>
      <w:kern w:val="0"/>
      <w:sz w:val="21"/>
      <w:szCs w:val="21"/>
    </w:rPr>
  </w:style>
  <w:style w:type="character" w:customStyle="1" w:styleId="192">
    <w:name w:val="表单元格内文字 字符"/>
    <w:basedOn w:val="90"/>
    <w:link w:val="191"/>
    <w:qFormat/>
    <w:uiPriority w:val="2"/>
    <w:rPr>
      <w:rFonts w:cs="Times New Roman"/>
      <w:kern w:val="0"/>
      <w:sz w:val="21"/>
      <w:szCs w:val="21"/>
    </w:rPr>
  </w:style>
  <w:style w:type="paragraph" w:customStyle="1" w:styleId="193">
    <w:name w:val="Thesis No Indent"/>
    <w:basedOn w:val="1"/>
    <w:qFormat/>
    <w:uiPriority w:val="0"/>
    <w:pPr>
      <w:spacing w:before="0" w:after="0" w:line="400" w:lineRule="exact"/>
      <w:ind w:firstLine="0"/>
    </w:pPr>
    <w:rPr>
      <w:rFonts w:ascii="Times New Roman" w:hAnsi="Times New Roman" w:eastAsia="宋体" w:cs="Times New Roman"/>
      <w:sz w:val="24"/>
    </w:rPr>
  </w:style>
  <w:style w:type="paragraph" w:customStyle="1" w:styleId="194">
    <w:name w:val="Thesis Caption"/>
    <w:basedOn w:val="1"/>
    <w:qFormat/>
    <w:uiPriority w:val="0"/>
    <w:pPr>
      <w:spacing w:before="60" w:after="120" w:line="400" w:lineRule="exact"/>
      <w:ind w:firstLine="0"/>
      <w:jc w:val="center"/>
    </w:pPr>
    <w:rPr>
      <w:rFonts w:ascii="Times New Roman" w:hAnsi="Times New Roman" w:eastAsia="宋体" w:cs="Times New Roman"/>
      <w:sz w:val="21"/>
    </w:rPr>
  </w:style>
  <w:style w:type="paragraph" w:customStyle="1" w:styleId="195">
    <w:name w:val="Thesis Table Text"/>
    <w:basedOn w:val="1"/>
    <w:qFormat/>
    <w:uiPriority w:val="0"/>
    <w:pPr>
      <w:spacing w:before="0" w:after="0" w:line="240" w:lineRule="auto"/>
      <w:ind w:firstLine="0"/>
    </w:pPr>
    <w:rPr>
      <w:rFonts w:ascii="Times New Roman" w:hAnsi="Times New Roman" w:eastAsia="宋体" w:cs="Times New Roman"/>
      <w:sz w:val="20"/>
    </w:rPr>
  </w:style>
  <w:style w:type="paragraph" w:customStyle="1" w:styleId="196">
    <w:name w:val="Thesis References"/>
    <w:basedOn w:val="1"/>
    <w:qFormat/>
    <w:uiPriority w:val="0"/>
    <w:pPr>
      <w:spacing w:before="0" w:after="60" w:line="240" w:lineRule="auto"/>
      <w:ind w:left="420" w:hanging="420"/>
    </w:pPr>
    <w:rPr>
      <w:rFonts w:ascii="Times New Roman" w:hAnsi="Times New Roman" w:eastAsia="宋体" w:cs="Times New Roman"/>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E&#30424;\Research\&#27700;&#29983;&#24577;&#20013;&#24515;\&#27605;&#35774;\&#22312;&#24456;&#21162;&#21147;&#22320;&#20889;&#35770;&#25991;\&#28165;&#21326;&#22823;&#23398;&#26412;&#31185;&#23398;&#20301;&#35770;&#25991;&#27169;&#26495;&#19982;&#20351;&#29992;&#25351;&#21335;.dotm" TargetMode="External"/></Relationships>
</file>

<file path=word/theme/theme1.xml><?xml version="1.0" encoding="utf-8"?>
<a:theme xmlns:a="http://schemas.openxmlformats.org/drawingml/2006/main" name="Office 主题​​">
  <a:themeElements>
    <a:clrScheme name="灰度">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毕业论文">
      <a:majorFont>
        <a:latin typeface="Arial"/>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C042A65-AB21-4E1C-B74A-F3506CAB77A4}">
  <ds:schemaRefs/>
</ds:datastoreItem>
</file>

<file path=docProps/app.xml><?xml version="1.0" encoding="utf-8"?>
<Properties xmlns="http://schemas.openxmlformats.org/officeDocument/2006/extended-properties" xmlns:vt="http://schemas.openxmlformats.org/officeDocument/2006/docPropsVTypes">
  <Template>清华大学本科学位论文模板与使用指南.dotm</Template>
  <Pages>53</Pages>
  <Words>6890</Words>
  <Characters>9641</Characters>
  <Lines>50</Lines>
  <Paragraphs>14</Paragraphs>
  <TotalTime>1</TotalTime>
  <ScaleCrop>false</ScaleCrop>
  <LinksUpToDate>false</LinksUpToDate>
  <CharactersWithSpaces>10387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2024-12-16T05:15:00Z</dcterms:created>
  <dc:creator>Catherine</dc:creator>
  <cp:lastModifiedBy>孟帅(2021010910)</cp:lastModifiedBy>
  <cp:lastPrinted>2025-10-29T03:11:00Z</cp:lastPrinted>
  <dcterms:modified xsi:type="dcterms:W3CDTF">2026-05-12T07:22:48Z</dcterms:modified>
  <cp:revision>180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id="mMRJkXGT"/&gt;&lt;style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y fmtid="{D5CDD505-2E9C-101B-9397-08002B2CF9AE}" pid="4" name="KSOTemplateDocerSaveRecord">
    <vt:lpwstr>eyJoZGlkIjoiNWY4ODJiZDhkZjgyNzgzYzM1MTU3ZTJiYjA2YmE1ZmEiLCJ1c2VySWQiOiIxNDk4ODAxMTgxIn0=</vt:lpwstr>
  </property>
  <property fmtid="{D5CDD505-2E9C-101B-9397-08002B2CF9AE}" pid="5" name="KSOProductBuildVer">
    <vt:lpwstr>2052-12.1.0.25865</vt:lpwstr>
  </property>
  <property fmtid="{D5CDD505-2E9C-101B-9397-08002B2CF9AE}" pid="6" name="ICV">
    <vt:lpwstr>05C51A8E6A40406798685A54970D4924_12</vt:lpwstr>
  </property>
</Properties>
</file>