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0D1B2A"/>
          <w:sz w:val="52"/>
          <w:szCs w:val="52"/>
        </w:rPr>
        <w:t xml:space="preserve">LOCALCATALYST.AI</w:t>
      </w:r>
    </w:p>
    <w:p>
      <w:pPr>
        <w:spacing w:after="100"/>
        <w:jc w:val="center"/>
      </w:pPr>
      <w:r>
        <w:rPr>
          <w:rFonts w:ascii="Arial" w:cs="Arial" w:eastAsia="Arial" w:hAnsi="Arial"/>
          <w:b/>
          <w:bCs/>
          <w:color w:val="1B9AAA"/>
          <w:sz w:val="40"/>
          <w:szCs w:val="40"/>
        </w:rPr>
        <w:t xml:space="preserve">SCALING STRATEGY</w:t>
      </w:r>
    </w:p>
    <w:p>
      <w:pPr>
        <w:pBdr>
          <w:top w:val="single" w:color="D4A843" w:sz="2" w:space="12"/>
        </w:pBdr>
        <w:spacing w:before="300" w:after="200"/>
        <w:jc w:val="center"/>
      </w:pPr>
      <w:r>
        <w:rPr>
          <w:rFonts w:ascii="Arial" w:cs="Arial" w:eastAsia="Arial" w:hAnsi="Arial"/>
          <w:i/>
          <w:iCs/>
          <w:color w:val="4A5568"/>
          <w:sz w:val="24"/>
          <w:szCs w:val="24"/>
        </w:rPr>
        <w:t xml:space="preserve">The Automated Prospecting-to-Revenue Engine</w:t>
      </w:r>
    </w:p>
    <w:p>
      <w:pPr>
        <w:spacing w:after="80"/>
        <w:jc w:val="center"/>
      </w:pPr>
      <w:r>
        <w:rPr>
          <w:rFonts w:ascii="Arial" w:cs="Arial" w:eastAsia="Arial" w:hAnsi="Arial"/>
          <w:color w:val="4A5568"/>
          <w:sz w:val="22"/>
          <w:szCs w:val="22"/>
        </w:rPr>
        <w:t xml:space="preserve">Catalyst Digital LLC</w:t>
      </w:r>
    </w:p>
    <w:p>
      <w:pPr>
        <w:spacing w:after="80"/>
        <w:jc w:val="center"/>
      </w:pPr>
      <w:r>
        <w:rPr>
          <w:rFonts w:ascii="Arial" w:cs="Arial" w:eastAsia="Arial" w:hAnsi="Arial"/>
          <w:color w:val="4A5568"/>
          <w:sz w:val="22"/>
          <w:szCs w:val="22"/>
        </w:rPr>
        <w:t xml:space="preserve">Prepared: February 2026</w:t>
      </w:r>
    </w:p>
    <w:p>
      <w:pPr>
        <w:jc w:val="center"/>
      </w:pPr>
      <w:r>
        <w:rPr>
          <w:rFonts w:ascii="Arial" w:cs="Arial" w:eastAsia="Arial" w:hAnsi="Arial"/>
          <w:b/>
          <w:bCs/>
          <w:color w:val="D4A843"/>
          <w:sz w:val="18"/>
          <w:szCs w:val="18"/>
        </w:rPr>
        <w:t xml:space="preserve">CONFIDENTIAL</w:t>
      </w:r>
    </w:p>
    <w:p>
      <w:pPr>
        <w:sectPr>
          <w:pgSz w:w="12240" w:h="15840" w:orient="portrait"/>
          <w:pgMar w:top="1440" w:right="1440" w:bottom="1440" w:left="1440" w:header="708" w:footer="708" w:gutter="0"/>
          <w:pgNumType/>
          <w:docGrid w:linePitch="360"/>
        </w:sectPr>
      </w:pPr>
    </w:p>
    <w:p>
      <w:pPr>
        <w:pBdr>
          <w:bottom w:val="single" w:color="1B9AAA" w:sz="3" w:space="8"/>
        </w:pBdr>
        <w:spacing w:before="400" w:after="200"/>
      </w:pPr>
      <w:r>
        <w:rPr>
          <w:rFonts w:ascii="Arial" w:cs="Arial" w:eastAsia="Arial" w:hAnsi="Arial"/>
          <w:b/>
          <w:bCs/>
          <w:color w:val="0D1B2A"/>
          <w:sz w:val="32"/>
          <w:szCs w:val="32"/>
        </w:rPr>
        <w:t xml:space="preserve">Executive Summary</w:t>
      </w:r>
    </w:p>
    <w:p>
      <w:pPr>
        <w:spacing w:before="80" w:after="120" w:line="300"/>
      </w:pPr>
      <w:r>
        <w:rPr>
          <w:rFonts w:ascii="Arial" w:cs="Arial" w:eastAsia="Arial" w:hAnsi="Arial"/>
          <w:color w:val="4A5568"/>
          <w:sz w:val="21"/>
          <w:szCs w:val="21"/>
        </w:rPr>
        <w:t xml:space="preserve">This plan transforms the free audit/mockup outreach model into a fully automated customer acquisition engine for LocalCatalyst.ai. Instead of converting prospects into managed retainer clients, every touchpoint funnels business owners toward self-serve purchases of individual SEO deliverables on the platform. The result is scalable, low-touch revenue that compounds without adding operational overhead.</w:t>
      </w:r>
    </w:p>
    <w:p>
      <w:pPr>
        <w:spacing w:before="80" w:after="120" w:line="300"/>
      </w:pPr>
      <w:r>
        <w:rPr>
          <w:rFonts w:ascii="Arial" w:cs="Arial" w:eastAsia="Arial" w:hAnsi="Arial"/>
          <w:color w:val="4A5568"/>
          <w:sz w:val="21"/>
          <w:szCs w:val="21"/>
        </w:rPr>
        <w:t xml:space="preserve">The strategy leverages the existing OpenClaw multi-agent system to automate every stage of the pipeline: prospecting, audit generation, personalized outreach, conversion, and retention. Each agent already built for Brawn Media gets repurposed as infrastructure for a platform business, not an agency.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1B9AAA" w:sz="6"/>
              <w:bottom w:val="none" w:sz="0"/>
              <w:right w:val="none" w:sz="0"/>
            </w:tcBorders>
            <w:shd w:fill="F0F4F8" w:val="clear"/>
            <w:tcMar>
              <w:top w:type="dxa" w:w="120"/>
              <w:left w:type="dxa" w:w="200"/>
              <w:bottom w:type="dxa" w:w="120"/>
              <w:right w:type="dxa" w:w="200"/>
            </w:tcMar>
          </w:tcPr>
          <w:p>
            <w:pPr>
              <w:spacing w:after="100"/>
            </w:pPr>
            <w:r>
              <w:rPr>
                <w:rFonts w:ascii="Arial" w:cs="Arial" w:eastAsia="Arial" w:hAnsi="Arial"/>
                <w:b/>
                <w:bCs/>
                <w:color w:val="1B9AAA"/>
                <w:sz w:val="22"/>
                <w:szCs w:val="22"/>
              </w:rPr>
              <w:t xml:space="preserve">Core Thesis</w:t>
            </w:r>
          </w:p>
          <w:p>
            <w:pPr>
              <w:spacing w:before="40" w:after="40" w:line="280"/>
            </w:pPr>
            <w:r>
              <w:rPr>
                <w:rFonts w:ascii="Arial" w:cs="Arial" w:eastAsia="Arial" w:hAnsi="Arial"/>
                <w:color w:val="4A5568"/>
                <w:sz w:val="20"/>
                <w:szCs w:val="20"/>
              </w:rPr>
              <w:t xml:space="preserve">The most powerful sales tool is work already done. The most scalable revenue model is self-serve.</w:t>
            </w:r>
          </w:p>
          <w:p>
            <w:pPr>
              <w:spacing w:before="40" w:after="40" w:line="280"/>
            </w:pPr>
            <w:r>
              <w:rPr>
                <w:rFonts w:ascii="Arial" w:cs="Arial" w:eastAsia="Arial" w:hAnsi="Arial"/>
                <w:color w:val="4A5568"/>
                <w:sz w:val="20"/>
                <w:szCs w:val="20"/>
              </w:rPr>
              <w:t xml:space="preserve">This plan combines both: automated agents generate free audit reports that demonstrate value,</w:t>
            </w:r>
          </w:p>
          <w:p>
            <w:pPr>
              <w:spacing w:before="40" w:after="40" w:line="280"/>
            </w:pPr>
            <w:r>
              <w:rPr>
                <w:rFonts w:ascii="Arial" w:cs="Arial" w:eastAsia="Arial" w:hAnsi="Arial"/>
                <w:color w:val="4A5568"/>
                <w:sz w:val="20"/>
                <w:szCs w:val="20"/>
              </w:rPr>
              <w:t xml:space="preserve">then drive prospects to LocalCatalyst.ai where they purchase solutions on their own terms.</w:t>
            </w:r>
          </w:p>
          <w:p>
            <w:pPr>
              <w:spacing w:before="40" w:after="40" w:line="280"/>
            </w:pPr>
            <w:r>
              <w:rPr>
                <w:rFonts w:ascii="Arial" w:cs="Arial" w:eastAsia="Arial" w:hAnsi="Arial"/>
                <w:color w:val="4A5568"/>
                <w:sz w:val="20"/>
                <w:szCs w:val="20"/>
              </w:rPr>
              <w:t xml:space="preserve">No retainers. No scope creep. No client management overhead.</w:t>
            </w:r>
          </w:p>
        </w:tc>
      </w:tr>
    </w:tbl>
    <w:p>
      <w:pPr>
        <w:spacing w:before="320" w:after="160"/>
      </w:pPr>
      <w:r>
        <w:rPr>
          <w:rFonts w:ascii="Arial" w:cs="Arial" w:eastAsia="Arial" w:hAnsi="Arial"/>
          <w:b/>
          <w:bCs/>
          <w:color w:val="1B9AAA"/>
          <w:sz w:val="26"/>
          <w:szCs w:val="26"/>
        </w:rPr>
        <w:t xml:space="preserve">Key Revenue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BD5E0" w:sz="1"/>
              <w:left w:val="single" w:color="CBD5E0" w:sz="1"/>
              <w:bottom w:val="single" w:color="CBD5E0" w:sz="1"/>
              <w:right w:val="single" w:color="CBD5E0" w:sz="1"/>
            </w:tcBorders>
            <w:shd w:fill="0D1B2A" w:val="clear"/>
            <w:tcMar>
              <w:top w:type="dxa" w:w="80"/>
              <w:left w:type="dxa" w:w="120"/>
              <w:bottom w:type="dxa" w:w="80"/>
              <w:right w:type="dxa" w:w="120"/>
            </w:tcMar>
          </w:tcPr>
          <w:p>
            <w:r>
              <w:rPr>
                <w:rFonts w:ascii="Arial" w:cs="Arial" w:eastAsia="Arial" w:hAnsi="Arial"/>
                <w:b/>
                <w:bCs/>
                <w:color w:val="FFFFFF"/>
                <w:sz w:val="19"/>
                <w:szCs w:val="19"/>
              </w:rPr>
              <w:t xml:space="preserve">Metric</w:t>
            </w:r>
          </w:p>
        </w:tc>
        <w:tc>
          <w:tcPr>
            <w:tcW w:type="dxa" w:w="2340"/>
            <w:tcBorders>
              <w:top w:val="single" w:color="CBD5E0" w:sz="1"/>
              <w:left w:val="single" w:color="CBD5E0" w:sz="1"/>
              <w:bottom w:val="single" w:color="CBD5E0" w:sz="1"/>
              <w:right w:val="single" w:color="CBD5E0" w:sz="1"/>
            </w:tcBorders>
            <w:shd w:fill="0D1B2A" w:val="clear"/>
            <w:tcMar>
              <w:top w:type="dxa" w:w="80"/>
              <w:left w:type="dxa" w:w="120"/>
              <w:bottom w:type="dxa" w:w="80"/>
              <w:right w:type="dxa" w:w="120"/>
            </w:tcMar>
          </w:tcPr>
          <w:p>
            <w:r>
              <w:rPr>
                <w:rFonts w:ascii="Arial" w:cs="Arial" w:eastAsia="Arial" w:hAnsi="Arial"/>
                <w:b/>
                <w:bCs/>
                <w:color w:val="FFFFFF"/>
                <w:sz w:val="19"/>
                <w:szCs w:val="19"/>
              </w:rPr>
              <w:t xml:space="preserve">Month 3</w:t>
            </w:r>
          </w:p>
        </w:tc>
        <w:tc>
          <w:tcPr>
            <w:tcW w:type="dxa" w:w="2340"/>
            <w:tcBorders>
              <w:top w:val="single" w:color="CBD5E0" w:sz="1"/>
              <w:left w:val="single" w:color="CBD5E0" w:sz="1"/>
              <w:bottom w:val="single" w:color="CBD5E0" w:sz="1"/>
              <w:right w:val="single" w:color="CBD5E0" w:sz="1"/>
            </w:tcBorders>
            <w:shd w:fill="0D1B2A" w:val="clear"/>
            <w:tcMar>
              <w:top w:type="dxa" w:w="80"/>
              <w:left w:type="dxa" w:w="120"/>
              <w:bottom w:type="dxa" w:w="80"/>
              <w:right w:type="dxa" w:w="120"/>
            </w:tcMar>
          </w:tcPr>
          <w:p>
            <w:r>
              <w:rPr>
                <w:rFonts w:ascii="Arial" w:cs="Arial" w:eastAsia="Arial" w:hAnsi="Arial"/>
                <w:b/>
                <w:bCs/>
                <w:color w:val="FFFFFF"/>
                <w:sz w:val="19"/>
                <w:szCs w:val="19"/>
              </w:rPr>
              <w:t xml:space="preserve">Month 6</w:t>
            </w:r>
          </w:p>
        </w:tc>
        <w:tc>
          <w:tcPr>
            <w:tcW w:type="dxa" w:w="2340"/>
            <w:tcBorders>
              <w:top w:val="single" w:color="CBD5E0" w:sz="1"/>
              <w:left w:val="single" w:color="CBD5E0" w:sz="1"/>
              <w:bottom w:val="single" w:color="CBD5E0" w:sz="1"/>
              <w:right w:val="single" w:color="CBD5E0" w:sz="1"/>
            </w:tcBorders>
            <w:shd w:fill="0D1B2A" w:val="clear"/>
            <w:tcMar>
              <w:top w:type="dxa" w:w="80"/>
              <w:left w:type="dxa" w:w="120"/>
              <w:bottom w:type="dxa" w:w="80"/>
              <w:right w:type="dxa" w:w="120"/>
            </w:tcMar>
          </w:tcPr>
          <w:p>
            <w:r>
              <w:rPr>
                <w:rFonts w:ascii="Arial" w:cs="Arial" w:eastAsia="Arial" w:hAnsi="Arial"/>
                <w:b/>
                <w:bCs/>
                <w:color w:val="FFFFFF"/>
                <w:sz w:val="19"/>
                <w:szCs w:val="19"/>
              </w:rPr>
              <w:t xml:space="preserve">Month 12</w:t>
            </w:r>
          </w:p>
        </w:tc>
      </w:tr>
      <w:tr>
        <w:tc>
          <w:tcPr>
            <w:tcW w:type="dxa" w:w="23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Automated Audits Generated/Week</w:t>
            </w:r>
          </w:p>
        </w:tc>
        <w:tc>
          <w:tcPr>
            <w:tcW w:type="dxa" w:w="23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50</w:t>
            </w:r>
          </w:p>
        </w:tc>
        <w:tc>
          <w:tcPr>
            <w:tcW w:type="dxa" w:w="23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150</w:t>
            </w:r>
          </w:p>
        </w:tc>
        <w:tc>
          <w:tcPr>
            <w:tcW w:type="dxa" w:w="23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500</w:t>
            </w:r>
          </w:p>
        </w:tc>
      </w:tr>
      <w:tr>
        <w:tc>
          <w:tcPr>
            <w:tcW w:type="dxa" w:w="23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Outreach Emails Sent/Week</w:t>
            </w:r>
          </w:p>
        </w:tc>
        <w:tc>
          <w:tcPr>
            <w:tcW w:type="dxa" w:w="23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50</w:t>
            </w:r>
          </w:p>
        </w:tc>
        <w:tc>
          <w:tcPr>
            <w:tcW w:type="dxa" w:w="23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150</w:t>
            </w:r>
          </w:p>
        </w:tc>
        <w:tc>
          <w:tcPr>
            <w:tcW w:type="dxa" w:w="23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500</w:t>
            </w:r>
          </w:p>
        </w:tc>
      </w:tr>
      <w:tr>
        <w:tc>
          <w:tcPr>
            <w:tcW w:type="dxa" w:w="23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Audit-to-Visit Conversion</w:t>
            </w:r>
          </w:p>
        </w:tc>
        <w:tc>
          <w:tcPr>
            <w:tcW w:type="dxa" w:w="23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15%</w:t>
            </w:r>
          </w:p>
        </w:tc>
        <w:tc>
          <w:tcPr>
            <w:tcW w:type="dxa" w:w="23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20%</w:t>
            </w:r>
          </w:p>
        </w:tc>
        <w:tc>
          <w:tcPr>
            <w:tcW w:type="dxa" w:w="23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25%</w:t>
            </w:r>
          </w:p>
        </w:tc>
      </w:tr>
      <w:tr>
        <w:tc>
          <w:tcPr>
            <w:tcW w:type="dxa" w:w="23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Visit-to-Purchase Conversion</w:t>
            </w:r>
          </w:p>
        </w:tc>
        <w:tc>
          <w:tcPr>
            <w:tcW w:type="dxa" w:w="23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5%</w:t>
            </w:r>
          </w:p>
        </w:tc>
        <w:tc>
          <w:tcPr>
            <w:tcW w:type="dxa" w:w="23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8%</w:t>
            </w:r>
          </w:p>
        </w:tc>
        <w:tc>
          <w:tcPr>
            <w:tcW w:type="dxa" w:w="23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12%</w:t>
            </w:r>
          </w:p>
        </w:tc>
      </w:tr>
      <w:tr>
        <w:tc>
          <w:tcPr>
            <w:tcW w:type="dxa" w:w="23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Avg. Order Value</w:t>
            </w:r>
          </w:p>
        </w:tc>
        <w:tc>
          <w:tcPr>
            <w:tcW w:type="dxa" w:w="23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$97</w:t>
            </w:r>
          </w:p>
        </w:tc>
        <w:tc>
          <w:tcPr>
            <w:tcW w:type="dxa" w:w="23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$147</w:t>
            </w:r>
          </w:p>
        </w:tc>
        <w:tc>
          <w:tcPr>
            <w:tcW w:type="dxa" w:w="23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$197</w:t>
            </w:r>
          </w:p>
        </w:tc>
      </w:tr>
      <w:tr>
        <w:tc>
          <w:tcPr>
            <w:tcW w:type="dxa" w:w="23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Monthly Revenue (Platform)</w:t>
            </w:r>
          </w:p>
        </w:tc>
        <w:tc>
          <w:tcPr>
            <w:tcW w:type="dxa" w:w="23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$1,455</w:t>
            </w:r>
          </w:p>
        </w:tc>
        <w:tc>
          <w:tcPr>
            <w:tcW w:type="dxa" w:w="23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$7,056</w:t>
            </w:r>
          </w:p>
        </w:tc>
        <w:tc>
          <w:tcPr>
            <w:tcW w:type="dxa" w:w="23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$36,900</w:t>
            </w:r>
          </w:p>
        </w:tc>
      </w:tr>
      <w:tr>
        <w:tc>
          <w:tcPr>
            <w:tcW w:type="dxa" w:w="23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Monthly Revenue (Annualized)</w:t>
            </w:r>
          </w:p>
        </w:tc>
        <w:tc>
          <w:tcPr>
            <w:tcW w:type="dxa" w:w="23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$17,460</w:t>
            </w:r>
          </w:p>
        </w:tc>
        <w:tc>
          <w:tcPr>
            <w:tcW w:type="dxa" w:w="23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$84,672</w:t>
            </w:r>
          </w:p>
        </w:tc>
        <w:tc>
          <w:tcPr>
            <w:tcW w:type="dxa" w:w="23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$442,800</w:t>
            </w:r>
          </w:p>
        </w:tc>
      </w:tr>
    </w:tbl>
    <w:p>
      <w:pPr>
        <w:spacing w:before="80" w:after="120" w:line="300"/>
      </w:pPr>
      <w:r>
        <w:rPr>
          <w:rFonts w:ascii="Arial" w:cs="Arial" w:eastAsia="Arial" w:hAnsi="Arial"/>
          <w:b/>
          <w:bCs/>
          <w:color w:val="0D1B2A"/>
          <w:sz w:val="19"/>
          <w:szCs w:val="19"/>
        </w:rPr>
        <w:t xml:space="preserve">Note: </w:t>
      </w:r>
      <w:r>
        <w:rPr>
          <w:rFonts w:ascii="Arial" w:cs="Arial" w:eastAsia="Arial" w:hAnsi="Arial"/>
          <w:i/>
          <w:iCs/>
          <w:color w:val="4A5568"/>
          <w:sz w:val="19"/>
          <w:szCs w:val="19"/>
        </w:rPr>
        <w:t xml:space="preserve">These projections are conservative. They assume no paid advertising, no referral program revenue, and no recurring subscription tier. Each of those levers can be introduced in later phases to accelerate growth.</w:t>
      </w:r>
    </w:p>
    <w:p>
      <w:r>
        <w:br/>
      </w:r>
    </w:p>
    <w:p>
      <w:pPr>
        <w:pBdr>
          <w:bottom w:val="single" w:color="1B9AAA" w:sz="3" w:space="8"/>
        </w:pBdr>
        <w:spacing w:before="400" w:after="200"/>
      </w:pPr>
      <w:r>
        <w:rPr>
          <w:rFonts w:ascii="Arial" w:cs="Arial" w:eastAsia="Arial" w:hAnsi="Arial"/>
          <w:b/>
          <w:bCs/>
          <w:color w:val="0D1B2A"/>
          <w:sz w:val="32"/>
          <w:szCs w:val="32"/>
        </w:rPr>
        <w:t xml:space="preserve">Section 1: Strategic Foundation</w:t>
      </w:r>
    </w:p>
    <w:p>
      <w:pPr>
        <w:spacing w:before="320" w:after="160"/>
      </w:pPr>
      <w:r>
        <w:rPr>
          <w:rFonts w:ascii="Arial" w:cs="Arial" w:eastAsia="Arial" w:hAnsi="Arial"/>
          <w:b/>
          <w:bCs/>
          <w:color w:val="1B9AAA"/>
          <w:sz w:val="26"/>
          <w:szCs w:val="26"/>
        </w:rPr>
        <w:t xml:space="preserve">1.1 Why This Works</w:t>
      </w:r>
    </w:p>
    <w:p>
      <w:pPr>
        <w:spacing w:before="80" w:after="120" w:line="300"/>
      </w:pPr>
      <w:r>
        <w:rPr>
          <w:rFonts w:ascii="Arial" w:cs="Arial" w:eastAsia="Arial" w:hAnsi="Arial"/>
          <w:color w:val="4A5568"/>
          <w:sz w:val="21"/>
          <w:szCs w:val="21"/>
        </w:rPr>
        <w:t xml:space="preserve">The YouTube-sourced strategy had one insight worth building an entire business on: showing a business owner work you already did for them collapses every objection simultaneously. Trust, competence, relevance, and urgency all land in a single touchpoint. The problem was the execution model — it aimed to convert those prospects into retainer clients, which is the exact overhead trap you’re escaping.</w:t>
      </w:r>
    </w:p>
    <w:p>
      <w:pPr>
        <w:spacing w:before="80" w:after="120" w:line="300"/>
      </w:pPr>
      <w:r>
        <w:rPr>
          <w:rFonts w:ascii="Arial" w:cs="Arial" w:eastAsia="Arial" w:hAnsi="Arial"/>
          <w:color w:val="4A5568"/>
          <w:sz w:val="21"/>
          <w:szCs w:val="21"/>
        </w:rPr>
        <w:t xml:space="preserve">The fix is simple. Keep the psychology, change the destination. Instead of a sales call, the audit report links directly to LocalCatalyst.ai where the business owner can browse and purchase the exact deliverables that fix the problems Silas identified. The agent system does the selling. The platform does the fulfillment.</w:t>
      </w:r>
    </w:p>
    <w:p>
      <w:pPr>
        <w:spacing w:before="320" w:after="160"/>
      </w:pPr>
      <w:r>
        <w:rPr>
          <w:rFonts w:ascii="Arial" w:cs="Arial" w:eastAsia="Arial" w:hAnsi="Arial"/>
          <w:b/>
          <w:bCs/>
          <w:color w:val="1B9AAA"/>
          <w:sz w:val="26"/>
          <w:szCs w:val="26"/>
        </w:rPr>
        <w:t xml:space="preserve">1.2 Agent Roles in the Pipeline</w:t>
      </w:r>
    </w:p>
    <w:p>
      <w:pPr>
        <w:spacing w:before="80" w:after="120" w:line="300"/>
      </w:pPr>
      <w:r>
        <w:rPr>
          <w:rFonts w:ascii="Arial" w:cs="Arial" w:eastAsia="Arial" w:hAnsi="Arial"/>
          <w:color w:val="4A5568"/>
          <w:sz w:val="21"/>
          <w:szCs w:val="21"/>
        </w:rPr>
        <w:t xml:space="preserve">Every agent in OpenClaw has a defined role in this engine. No new agents need to be built — the existing eighteen get redeployed against a new objective.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BD5E0" w:sz="1"/>
              <w:left w:val="single" w:color="CBD5E0" w:sz="1"/>
              <w:bottom w:val="single" w:color="CBD5E0" w:sz="1"/>
              <w:right w:val="single" w:color="CBD5E0" w:sz="1"/>
            </w:tcBorders>
            <w:shd w:fill="0D1B2A" w:val="clear"/>
            <w:tcMar>
              <w:top w:type="dxa" w:w="80"/>
              <w:left w:type="dxa" w:w="120"/>
              <w:bottom w:type="dxa" w:w="80"/>
              <w:right w:type="dxa" w:w="120"/>
            </w:tcMar>
          </w:tcPr>
          <w:p>
            <w:r>
              <w:rPr>
                <w:rFonts w:ascii="Arial" w:cs="Arial" w:eastAsia="Arial" w:hAnsi="Arial"/>
                <w:b/>
                <w:bCs/>
                <w:color w:val="FFFFFF"/>
                <w:sz w:val="19"/>
                <w:szCs w:val="19"/>
              </w:rPr>
              <w:t xml:space="preserve">Agent</w:t>
            </w:r>
          </w:p>
        </w:tc>
        <w:tc>
          <w:tcPr>
            <w:tcW w:type="dxa" w:w="3120"/>
            <w:tcBorders>
              <w:top w:val="single" w:color="CBD5E0" w:sz="1"/>
              <w:left w:val="single" w:color="CBD5E0" w:sz="1"/>
              <w:bottom w:val="single" w:color="CBD5E0" w:sz="1"/>
              <w:right w:val="single" w:color="CBD5E0" w:sz="1"/>
            </w:tcBorders>
            <w:shd w:fill="0D1B2A" w:val="clear"/>
            <w:tcMar>
              <w:top w:type="dxa" w:w="80"/>
              <w:left w:type="dxa" w:w="120"/>
              <w:bottom w:type="dxa" w:w="80"/>
              <w:right w:type="dxa" w:w="120"/>
            </w:tcMar>
          </w:tcPr>
          <w:p>
            <w:r>
              <w:rPr>
                <w:rFonts w:ascii="Arial" w:cs="Arial" w:eastAsia="Arial" w:hAnsi="Arial"/>
                <w:b/>
                <w:bCs/>
                <w:color w:val="FFFFFF"/>
                <w:sz w:val="19"/>
                <w:szCs w:val="19"/>
              </w:rPr>
              <w:t xml:space="preserve">Pipeline Role</w:t>
            </w:r>
          </w:p>
        </w:tc>
        <w:tc>
          <w:tcPr>
            <w:tcW w:type="dxa" w:w="3120"/>
            <w:tcBorders>
              <w:top w:val="single" w:color="CBD5E0" w:sz="1"/>
              <w:left w:val="single" w:color="CBD5E0" w:sz="1"/>
              <w:bottom w:val="single" w:color="CBD5E0" w:sz="1"/>
              <w:right w:val="single" w:color="CBD5E0" w:sz="1"/>
            </w:tcBorders>
            <w:shd w:fill="0D1B2A" w:val="clear"/>
            <w:tcMar>
              <w:top w:type="dxa" w:w="80"/>
              <w:left w:type="dxa" w:w="120"/>
              <w:bottom w:type="dxa" w:w="80"/>
              <w:right w:type="dxa" w:w="120"/>
            </w:tcMar>
          </w:tcPr>
          <w:p>
            <w:r>
              <w:rPr>
                <w:rFonts w:ascii="Arial" w:cs="Arial" w:eastAsia="Arial" w:hAnsi="Arial"/>
                <w:b/>
                <w:bCs/>
                <w:color w:val="FFFFFF"/>
                <w:sz w:val="19"/>
                <w:szCs w:val="19"/>
              </w:rPr>
              <w:t xml:space="preserve">Phase</w:t>
            </w:r>
          </w:p>
        </w:tc>
      </w:tr>
      <w:tr>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Scout</w:t>
            </w:r>
          </w:p>
        </w:tc>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Identifies target businesses via YouTube, Google Maps, and niche directories. Monitors for businesses posting content with weak SEO signals.</w:t>
            </w:r>
          </w:p>
        </w:tc>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Prospecting</w:t>
            </w:r>
          </w:p>
        </w:tc>
      </w:tr>
      <w:tr>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Silas</w:t>
            </w:r>
          </w:p>
        </w:tc>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Runs automated SEO audits on targets: GBP completeness, on-page SEO, schema markup, citation consistency, site speed, mobile usability.</w:t>
            </w:r>
          </w:p>
        </w:tc>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Audit Generation</w:t>
            </w:r>
          </w:p>
        </w:tc>
      </w:tr>
      <w:tr>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Scribe</w:t>
            </w:r>
          </w:p>
        </w:tc>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Generates the personalized audit report PDF and branded email content tailored to the business’s specific gaps.</w:t>
            </w:r>
          </w:p>
        </w:tc>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Report Creation</w:t>
            </w:r>
          </w:p>
        </w:tc>
      </w:tr>
      <w:tr>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Archer</w:t>
            </w:r>
          </w:p>
        </w:tc>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Orchestrates the full pipeline end-to-end. Routes tasks, manages queues, handles retry logic and escalations.</w:t>
            </w:r>
          </w:p>
        </w:tc>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Orchestration</w:t>
            </w:r>
          </w:p>
        </w:tc>
      </w:tr>
      <w:tr>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Builder</w:t>
            </w:r>
          </w:p>
        </w:tc>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Creates optional landing page mockups for high-value targets (used selectively, not for every lead).</w:t>
            </w:r>
          </w:p>
        </w:tc>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High-Value Targeting</w:t>
            </w:r>
          </w:p>
        </w:tc>
      </w:tr>
    </w:tbl>
    <w:p>
      <w:r>
        <w:br/>
      </w:r>
    </w:p>
    <w:p>
      <w:pPr>
        <w:pBdr>
          <w:bottom w:val="single" w:color="1B9AAA" w:sz="3" w:space="8"/>
        </w:pBdr>
        <w:spacing w:before="400" w:after="200"/>
      </w:pPr>
      <w:r>
        <w:rPr>
          <w:rFonts w:ascii="Arial" w:cs="Arial" w:eastAsia="Arial" w:hAnsi="Arial"/>
          <w:b/>
          <w:bCs/>
          <w:color w:val="0D1B2A"/>
          <w:sz w:val="32"/>
          <w:szCs w:val="32"/>
        </w:rPr>
        <w:t xml:space="preserve">Section 2: The Four-Phase Engine</w:t>
      </w:r>
    </w:p>
    <w:p>
      <w:pPr>
        <w:spacing w:before="80" w:after="120" w:line="300"/>
      </w:pPr>
      <w:r>
        <w:rPr>
          <w:rFonts w:ascii="Arial" w:cs="Arial" w:eastAsia="Arial" w:hAnsi="Arial"/>
          <w:color w:val="4A5568"/>
          <w:sz w:val="21"/>
          <w:szCs w:val="21"/>
        </w:rPr>
        <w:t xml:space="preserve">The pipeline operates as a continuous loop. Each phase feeds the next, and the system runs with minimal human intervention once configured.</w:t>
      </w:r>
    </w:p>
    <w:p>
      <w:pPr>
        <w:spacing w:before="320" w:after="160"/>
      </w:pPr>
      <w:r>
        <w:rPr>
          <w:rFonts w:ascii="Arial" w:cs="Arial" w:eastAsia="Arial" w:hAnsi="Arial"/>
          <w:b/>
          <w:bCs/>
          <w:color w:val="1B9AAA"/>
          <w:sz w:val="26"/>
          <w:szCs w:val="26"/>
        </w:rPr>
        <w:t xml:space="preserve">Phase 1: Automated Prospecting</w:t>
      </w:r>
    </w:p>
    <w:p>
      <w:pPr>
        <w:spacing w:before="80" w:after="120" w:line="300"/>
      </w:pPr>
      <w:r>
        <w:rPr>
          <w:rFonts w:ascii="Arial" w:cs="Arial" w:eastAsia="Arial" w:hAnsi="Arial"/>
          <w:b/>
          <w:bCs/>
          <w:color w:val="0D1B2A"/>
          <w:sz w:val="21"/>
          <w:szCs w:val="21"/>
        </w:rPr>
        <w:t xml:space="preserve">Objective: </w:t>
      </w:r>
      <w:r>
        <w:rPr>
          <w:rFonts w:ascii="Arial" w:cs="Arial" w:eastAsia="Arial" w:hAnsi="Arial"/>
          <w:color w:val="4A5568"/>
          <w:sz w:val="21"/>
          <w:szCs w:val="21"/>
        </w:rPr>
        <w:t xml:space="preserve">Build a continuous pipeline of local businesses with demonstrable SEO weaknesses that match LocalCatalyst’s deliverable catalog.</w:t>
      </w:r>
    </w:p>
    <w:p>
      <w:pPr>
        <w:spacing w:before="240" w:after="120"/>
      </w:pPr>
      <w:r>
        <w:rPr>
          <w:rFonts w:ascii="Arial" w:cs="Arial" w:eastAsia="Arial" w:hAnsi="Arial"/>
          <w:b/>
          <w:bCs/>
          <w:color w:val="0D1B2A"/>
          <w:sz w:val="22"/>
          <w:szCs w:val="22"/>
        </w:rPr>
        <w:t xml:space="preserve">Target Identification Channels</w:t>
      </w:r>
    </w:p>
    <w:p>
      <w:pPr>
        <w:pStyle w:val="ListParagraph"/>
        <w:numPr>
          <w:ilvl w:val="0"/>
          <w:numId w:val="2"/>
        </w:numPr>
        <w:spacing w:before="60" w:after="60" w:line="300"/>
      </w:pPr>
      <w:r>
        <w:rPr>
          <w:rFonts w:ascii="Arial" w:cs="Arial" w:eastAsia="Arial" w:hAnsi="Arial"/>
          <w:b/>
          <w:bCs/>
          <w:color w:val="0D1B2A"/>
          <w:sz w:val="21"/>
          <w:szCs w:val="21"/>
        </w:rPr>
        <w:t xml:space="preserve">Google Maps Scraping: </w:t>
      </w:r>
      <w:r>
        <w:rPr>
          <w:rFonts w:ascii="Arial" w:cs="Arial" w:eastAsia="Arial" w:hAnsi="Arial"/>
          <w:color w:val="4A5568"/>
          <w:sz w:val="21"/>
          <w:szCs w:val="21"/>
        </w:rPr>
        <w:t xml:space="preserve">Scout scans specific verticals (healthcare, legal, home services, real estate, restaurants) in target metros. Filters for businesses with incomplete GBP profiles, few reviews, no website, or sites with obvious technical issues. Priority targets: businesses already spending on Google Ads but losing organic traffic.</w:t>
      </w:r>
    </w:p>
    <w:p>
      <w:pPr>
        <w:pStyle w:val="ListParagraph"/>
        <w:numPr>
          <w:ilvl w:val="0"/>
          <w:numId w:val="2"/>
        </w:numPr>
        <w:spacing w:before="60" w:after="60" w:line="300"/>
      </w:pPr>
      <w:r>
        <w:rPr>
          <w:rFonts w:ascii="Arial" w:cs="Arial" w:eastAsia="Arial" w:hAnsi="Arial"/>
          <w:b/>
          <w:bCs/>
          <w:color w:val="0D1B2A"/>
          <w:sz w:val="21"/>
          <w:szCs w:val="21"/>
        </w:rPr>
        <w:t xml:space="preserve">YouTube Content Monitoring: </w:t>
      </w:r>
      <w:r>
        <w:rPr>
          <w:rFonts w:ascii="Arial" w:cs="Arial" w:eastAsia="Arial" w:hAnsi="Arial"/>
          <w:color w:val="4A5568"/>
          <w:sz w:val="21"/>
          <w:szCs w:val="21"/>
        </w:rPr>
        <w:t xml:space="preserve">Scout already monitors YouTube for relevant content. Extend this to flag local business owners posting video content (a signal of marketing awareness) whose websites don’t match their ambition. These are high-intent prospects — they’re already investing in marketing, just not in SEO.</w:t>
      </w:r>
    </w:p>
    <w:p>
      <w:pPr>
        <w:pStyle w:val="ListParagraph"/>
        <w:numPr>
          <w:ilvl w:val="0"/>
          <w:numId w:val="2"/>
        </w:numPr>
        <w:spacing w:before="60" w:after="60" w:line="300"/>
      </w:pPr>
      <w:r>
        <w:rPr>
          <w:rFonts w:ascii="Arial" w:cs="Arial" w:eastAsia="Arial" w:hAnsi="Arial"/>
          <w:b/>
          <w:bCs/>
          <w:color w:val="0D1B2A"/>
          <w:sz w:val="21"/>
          <w:szCs w:val="21"/>
        </w:rPr>
        <w:t xml:space="preserve">Niche Directory Cross-Referencing: </w:t>
      </w:r>
      <w:r>
        <w:rPr>
          <w:rFonts w:ascii="Arial" w:cs="Arial" w:eastAsia="Arial" w:hAnsi="Arial"/>
          <w:color w:val="4A5568"/>
          <w:sz w:val="21"/>
          <w:szCs w:val="21"/>
        </w:rPr>
        <w:t xml:space="preserve">Pull business listings from industry directories (Healthgrades, Avvo, HomeAdvisor, Yelp) and cross-reference with Google’s index. Businesses listed on directories but with weak organic presence are prime targets.</w:t>
      </w:r>
    </w:p>
    <w:p>
      <w:pPr>
        <w:pStyle w:val="ListParagraph"/>
        <w:numPr>
          <w:ilvl w:val="0"/>
          <w:numId w:val="2"/>
        </w:numPr>
        <w:spacing w:before="60" w:after="60" w:line="300"/>
      </w:pPr>
      <w:r>
        <w:rPr>
          <w:rFonts w:ascii="Arial" w:cs="Arial" w:eastAsia="Arial" w:hAnsi="Arial"/>
          <w:b/>
          <w:bCs/>
          <w:color w:val="0D1B2A"/>
          <w:sz w:val="21"/>
          <w:szCs w:val="21"/>
        </w:rPr>
        <w:t xml:space="preserve">Competitor Client Poaching: </w:t>
      </w:r>
      <w:r>
        <w:rPr>
          <w:rFonts w:ascii="Arial" w:cs="Arial" w:eastAsia="Arial" w:hAnsi="Arial"/>
          <w:color w:val="4A5568"/>
          <w:sz w:val="21"/>
          <w:szCs w:val="21"/>
        </w:rPr>
        <w:t xml:space="preserve">Identify businesses using competing SEO tools or agencies (visible via site footprints, schema patterns, or citation profiles) and target those with mediocre results despite paying for service.</w:t>
      </w:r>
    </w:p>
    <w:p>
      <w:pPr>
        <w:spacing w:before="240" w:after="120"/>
      </w:pPr>
      <w:r>
        <w:rPr>
          <w:rFonts w:ascii="Arial" w:cs="Arial" w:eastAsia="Arial" w:hAnsi="Arial"/>
          <w:b/>
          <w:bCs/>
          <w:color w:val="0D1B2A"/>
          <w:sz w:val="22"/>
          <w:szCs w:val="22"/>
        </w:rPr>
        <w:t xml:space="preserve">Qualification Criteria</w:t>
      </w:r>
    </w:p>
    <w:p>
      <w:pPr>
        <w:spacing w:before="80" w:after="120" w:line="300"/>
      </w:pPr>
      <w:r>
        <w:rPr>
          <w:rFonts w:ascii="Arial" w:cs="Arial" w:eastAsia="Arial" w:hAnsi="Arial"/>
          <w:color w:val="4A5568"/>
          <w:sz w:val="21"/>
          <w:szCs w:val="21"/>
        </w:rPr>
        <w:t xml:space="preserve">Not every business is worth auditing. Scout applies a scoring matrix before passing targets to Silas.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BD5E0" w:sz="1"/>
              <w:left w:val="single" w:color="CBD5E0" w:sz="1"/>
              <w:bottom w:val="single" w:color="CBD5E0" w:sz="1"/>
              <w:right w:val="single" w:color="CBD5E0" w:sz="1"/>
            </w:tcBorders>
            <w:shd w:fill="0D1B2A" w:val="clear"/>
            <w:tcMar>
              <w:top w:type="dxa" w:w="80"/>
              <w:left w:type="dxa" w:w="120"/>
              <w:bottom w:type="dxa" w:w="80"/>
              <w:right w:type="dxa" w:w="120"/>
            </w:tcMar>
          </w:tcPr>
          <w:p>
            <w:r>
              <w:rPr>
                <w:rFonts w:ascii="Arial" w:cs="Arial" w:eastAsia="Arial" w:hAnsi="Arial"/>
                <w:b/>
                <w:bCs/>
                <w:color w:val="FFFFFF"/>
                <w:sz w:val="19"/>
                <w:szCs w:val="19"/>
              </w:rPr>
              <w:t xml:space="preserve">Signal</w:t>
            </w:r>
          </w:p>
        </w:tc>
        <w:tc>
          <w:tcPr>
            <w:tcW w:type="dxa" w:w="3120"/>
            <w:tcBorders>
              <w:top w:val="single" w:color="CBD5E0" w:sz="1"/>
              <w:left w:val="single" w:color="CBD5E0" w:sz="1"/>
              <w:bottom w:val="single" w:color="CBD5E0" w:sz="1"/>
              <w:right w:val="single" w:color="CBD5E0" w:sz="1"/>
            </w:tcBorders>
            <w:shd w:fill="0D1B2A" w:val="clear"/>
            <w:tcMar>
              <w:top w:type="dxa" w:w="80"/>
              <w:left w:type="dxa" w:w="120"/>
              <w:bottom w:type="dxa" w:w="80"/>
              <w:right w:type="dxa" w:w="120"/>
            </w:tcMar>
          </w:tcPr>
          <w:p>
            <w:r>
              <w:rPr>
                <w:rFonts w:ascii="Arial" w:cs="Arial" w:eastAsia="Arial" w:hAnsi="Arial"/>
                <w:b/>
                <w:bCs/>
                <w:color w:val="FFFFFF"/>
                <w:sz w:val="19"/>
                <w:szCs w:val="19"/>
              </w:rPr>
              <w:t xml:space="preserve">Weight</w:t>
            </w:r>
          </w:p>
        </w:tc>
        <w:tc>
          <w:tcPr>
            <w:tcW w:type="dxa" w:w="3120"/>
            <w:tcBorders>
              <w:top w:val="single" w:color="CBD5E0" w:sz="1"/>
              <w:left w:val="single" w:color="CBD5E0" w:sz="1"/>
              <w:bottom w:val="single" w:color="CBD5E0" w:sz="1"/>
              <w:right w:val="single" w:color="CBD5E0" w:sz="1"/>
            </w:tcBorders>
            <w:shd w:fill="0D1B2A" w:val="clear"/>
            <w:tcMar>
              <w:top w:type="dxa" w:w="80"/>
              <w:left w:type="dxa" w:w="120"/>
              <w:bottom w:type="dxa" w:w="80"/>
              <w:right w:type="dxa" w:w="120"/>
            </w:tcMar>
          </w:tcPr>
          <w:p>
            <w:r>
              <w:rPr>
                <w:rFonts w:ascii="Arial" w:cs="Arial" w:eastAsia="Arial" w:hAnsi="Arial"/>
                <w:b/>
                <w:bCs/>
                <w:color w:val="FFFFFF"/>
                <w:sz w:val="19"/>
                <w:szCs w:val="19"/>
              </w:rPr>
              <w:t xml:space="preserve">Why It Matters</w:t>
            </w:r>
          </w:p>
        </w:tc>
      </w:tr>
      <w:tr>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No website or broken site</w:t>
            </w:r>
          </w:p>
        </w:tc>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High</w:t>
            </w:r>
          </w:p>
        </w:tc>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Strongest pain point, most likely to convert</w:t>
            </w:r>
          </w:p>
        </w:tc>
      </w:tr>
      <w:tr>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GBP incomplete (&lt;60%)</w:t>
            </w:r>
          </w:p>
        </w:tc>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High</w:t>
            </w:r>
          </w:p>
        </w:tc>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Quick win deliverable, low barrier to purchase</w:t>
            </w:r>
          </w:p>
        </w:tc>
      </w:tr>
      <w:tr>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Active Google Ads spend</w:t>
            </w:r>
          </w:p>
        </w:tc>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High</w:t>
            </w:r>
          </w:p>
        </w:tc>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Already investing in marketing, understands ROI</w:t>
            </w:r>
          </w:p>
        </w:tc>
      </w:tr>
      <w:tr>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&lt;10 Google reviews</w:t>
            </w:r>
          </w:p>
        </w:tc>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Medium</w:t>
            </w:r>
          </w:p>
        </w:tc>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Indicates early stage or neglected online presence</w:t>
            </w:r>
          </w:p>
        </w:tc>
      </w:tr>
      <w:tr>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No schema markup</w:t>
            </w:r>
          </w:p>
        </w:tc>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Medium</w:t>
            </w:r>
          </w:p>
        </w:tc>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Technical gap they likely don’t know about</w:t>
            </w:r>
          </w:p>
        </w:tc>
      </w:tr>
      <w:tr>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Weak citation consistency</w:t>
            </w:r>
          </w:p>
        </w:tc>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Medium</w:t>
            </w:r>
          </w:p>
        </w:tc>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Easy to demonstrate value with NAP audit</w:t>
            </w:r>
          </w:p>
        </w:tc>
      </w:tr>
      <w:tr>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Video content but weak site</w:t>
            </w:r>
          </w:p>
        </w:tc>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Medium</w:t>
            </w:r>
          </w:p>
        </w:tc>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Marketing-aware but SEO-unaware</w:t>
            </w:r>
          </w:p>
        </w:tc>
      </w:tr>
      <w:tr>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Competitive vertical</w:t>
            </w:r>
          </w:p>
        </w:tc>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Low bonus</w:t>
            </w:r>
          </w:p>
        </w:tc>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Healthcare, legal, home services convert higher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1B9AAA" w:sz="6"/>
              <w:bottom w:val="none" w:sz="0"/>
              <w:right w:val="none" w:sz="0"/>
            </w:tcBorders>
            <w:shd w:fill="F0F4F8" w:val="clear"/>
            <w:tcMar>
              <w:top w:type="dxa" w:w="120"/>
              <w:left w:type="dxa" w:w="200"/>
              <w:bottom w:type="dxa" w:w="120"/>
              <w:right w:type="dxa" w:w="200"/>
            </w:tcMar>
          </w:tcPr>
          <w:p>
            <w:pPr>
              <w:spacing w:after="100"/>
            </w:pPr>
            <w:r>
              <w:rPr>
                <w:rFonts w:ascii="Arial" w:cs="Arial" w:eastAsia="Arial" w:hAnsi="Arial"/>
                <w:b/>
                <w:bCs/>
                <w:color w:val="1B9AAA"/>
                <w:sz w:val="22"/>
                <w:szCs w:val="22"/>
              </w:rPr>
              <w:t xml:space="preserve">Cost Optimization Note</w:t>
            </w:r>
          </w:p>
          <w:p>
            <w:pPr>
              <w:spacing w:before="40" w:after="40" w:line="280"/>
            </w:pPr>
            <w:r>
              <w:rPr>
                <w:rFonts w:ascii="Arial" w:cs="Arial" w:eastAsia="Arial" w:hAnsi="Arial"/>
                <w:color w:val="4A5568"/>
                <w:sz w:val="20"/>
                <w:szCs w:val="20"/>
              </w:rPr>
              <w:t xml:space="preserve">Scout’s prospecting tasks run on cheaper models (GPT-4o-mini or local LLMs on the Threadripper).</w:t>
            </w:r>
          </w:p>
          <w:p>
            <w:pPr>
              <w:spacing w:before="40" w:after="40" w:line="280"/>
            </w:pPr>
            <w:r>
              <w:rPr>
                <w:rFonts w:ascii="Arial" w:cs="Arial" w:eastAsia="Arial" w:hAnsi="Arial"/>
                <w:color w:val="4A5568"/>
                <w:sz w:val="20"/>
                <w:szCs w:val="20"/>
              </w:rPr>
              <w:t xml:space="preserve">Only qualified leads that pass the scoring matrix get elevated to Silas for full audit processing</w:t>
            </w:r>
          </w:p>
          <w:p>
            <w:pPr>
              <w:spacing w:before="40" w:after="40" w:line="280"/>
            </w:pPr>
            <w:r>
              <w:rPr>
                <w:rFonts w:ascii="Arial" w:cs="Arial" w:eastAsia="Arial" w:hAnsi="Arial"/>
                <w:color w:val="4A5568"/>
                <w:sz w:val="20"/>
                <w:szCs w:val="20"/>
              </w:rPr>
              <w:t xml:space="preserve">on Claude. This keeps per-lead cost under $0.15 for prospecting and under $1.50 for full audit.</w:t>
            </w:r>
          </w:p>
        </w:tc>
      </w:tr>
    </w:tbl>
    <w:p>
      <w:r>
        <w:br/>
      </w:r>
    </w:p>
    <w:p>
      <w:pPr>
        <w:spacing w:before="320" w:after="160"/>
      </w:pPr>
      <w:r>
        <w:rPr>
          <w:rFonts w:ascii="Arial" w:cs="Arial" w:eastAsia="Arial" w:hAnsi="Arial"/>
          <w:b/>
          <w:bCs/>
          <w:color w:val="1B9AAA"/>
          <w:sz w:val="26"/>
          <w:szCs w:val="26"/>
        </w:rPr>
        <w:t xml:space="preserve">Phase 2: Audit Generation &amp; Outreach</w:t>
      </w:r>
    </w:p>
    <w:p>
      <w:pPr>
        <w:spacing w:before="80" w:after="120" w:line="300"/>
      </w:pPr>
      <w:r>
        <w:rPr>
          <w:rFonts w:ascii="Arial" w:cs="Arial" w:eastAsia="Arial" w:hAnsi="Arial"/>
          <w:b/>
          <w:bCs/>
          <w:color w:val="0D1B2A"/>
          <w:sz w:val="21"/>
          <w:szCs w:val="21"/>
        </w:rPr>
        <w:t xml:space="preserve">Objective: </w:t>
      </w:r>
      <w:r>
        <w:rPr>
          <w:rFonts w:ascii="Arial" w:cs="Arial" w:eastAsia="Arial" w:hAnsi="Arial"/>
          <w:color w:val="4A5568"/>
          <w:sz w:val="21"/>
          <w:szCs w:val="21"/>
        </w:rPr>
        <w:t xml:space="preserve">Transform raw audit data into a compelling, branded deliverable that drives the prospect to LocalCatalyst.ai with urgency and specificity.</w:t>
      </w:r>
    </w:p>
    <w:p>
      <w:pPr>
        <w:spacing w:before="240" w:after="120"/>
      </w:pPr>
      <w:r>
        <w:rPr>
          <w:rFonts w:ascii="Arial" w:cs="Arial" w:eastAsia="Arial" w:hAnsi="Arial"/>
          <w:b/>
          <w:bCs/>
          <w:color w:val="0D1B2A"/>
          <w:sz w:val="22"/>
          <w:szCs w:val="22"/>
        </w:rPr>
        <w:t xml:space="preserve">The Audit Report: Your Best Salesperson</w:t>
      </w:r>
    </w:p>
    <w:p>
      <w:pPr>
        <w:spacing w:before="80" w:after="120" w:line="300"/>
      </w:pPr>
      <w:r>
        <w:rPr>
          <w:rFonts w:ascii="Arial" w:cs="Arial" w:eastAsia="Arial" w:hAnsi="Arial"/>
          <w:color w:val="4A5568"/>
          <w:sz w:val="21"/>
          <w:szCs w:val="21"/>
        </w:rPr>
        <w:t xml:space="preserve">The audit report is the single most important asset in this entire pipeline. It’s not a generic SEO score — it’s a personalized diagnostic that names the business, shows their actual data, identifies specific problems, and links each problem to a specific purchasable deliverable on LocalCatalyst.ai.</w:t>
      </w:r>
    </w:p>
    <w:p>
      <w:pPr>
        <w:spacing w:before="240" w:after="120"/>
      </w:pPr>
      <w:r>
        <w:rPr>
          <w:rFonts w:ascii="Arial" w:cs="Arial" w:eastAsia="Arial" w:hAnsi="Arial"/>
          <w:b/>
          <w:bCs/>
          <w:color w:val="0D1B2A"/>
          <w:sz w:val="22"/>
          <w:szCs w:val="22"/>
        </w:rPr>
        <w:t xml:space="preserve">Audit Report Structure</w:t>
      </w:r>
    </w:p>
    <w:p>
      <w:pPr>
        <w:pStyle w:val="ListParagraph"/>
        <w:numPr>
          <w:ilvl w:val="0"/>
          <w:numId w:val="3"/>
        </w:numPr>
        <w:spacing w:before="60" w:after="60" w:line="300"/>
      </w:pPr>
      <w:r>
        <w:rPr>
          <w:rFonts w:ascii="Arial" w:cs="Arial" w:eastAsia="Arial" w:hAnsi="Arial"/>
          <w:b/>
          <w:bCs/>
          <w:color w:val="0D1B2A"/>
          <w:sz w:val="21"/>
          <w:szCs w:val="21"/>
        </w:rPr>
        <w:t xml:space="preserve">Business Snapshot: </w:t>
      </w:r>
      <w:r>
        <w:rPr>
          <w:rFonts w:ascii="Arial" w:cs="Arial" w:eastAsia="Arial" w:hAnsi="Arial"/>
          <w:color w:val="4A5568"/>
          <w:sz w:val="21"/>
          <w:szCs w:val="21"/>
        </w:rPr>
        <w:t xml:space="preserve">Business name, address, vertical, current Google visibility score. Screenshot of their current SERP position. This immediately proves the report is about THEM, not a template.</w:t>
      </w:r>
    </w:p>
    <w:p>
      <w:pPr>
        <w:pStyle w:val="ListParagraph"/>
        <w:numPr>
          <w:ilvl w:val="0"/>
          <w:numId w:val="3"/>
        </w:numPr>
        <w:spacing w:before="60" w:after="60" w:line="300"/>
      </w:pPr>
      <w:r>
        <w:rPr>
          <w:rFonts w:ascii="Arial" w:cs="Arial" w:eastAsia="Arial" w:hAnsi="Arial"/>
          <w:b/>
          <w:bCs/>
          <w:color w:val="0D1B2A"/>
          <w:sz w:val="21"/>
          <w:szCs w:val="21"/>
        </w:rPr>
        <w:t xml:space="preserve">Critical Issues (Red): </w:t>
      </w:r>
      <w:r>
        <w:rPr>
          <w:rFonts w:ascii="Arial" w:cs="Arial" w:eastAsia="Arial" w:hAnsi="Arial"/>
          <w:color w:val="4A5568"/>
          <w:sz w:val="21"/>
          <w:szCs w:val="21"/>
        </w:rPr>
        <w:t xml:space="preserve">The 2–3 most damaging SEO problems. Missing GBP categories, no schema markup, broken NAP data, site speed failures. Each issue includes a plain-English explanation of the revenue impact.</w:t>
      </w:r>
    </w:p>
    <w:p>
      <w:pPr>
        <w:pStyle w:val="ListParagraph"/>
        <w:numPr>
          <w:ilvl w:val="0"/>
          <w:numId w:val="3"/>
        </w:numPr>
        <w:spacing w:before="60" w:after="60" w:line="300"/>
      </w:pPr>
      <w:r>
        <w:rPr>
          <w:rFonts w:ascii="Arial" w:cs="Arial" w:eastAsia="Arial" w:hAnsi="Arial"/>
          <w:b/>
          <w:bCs/>
          <w:color w:val="0D1B2A"/>
          <w:sz w:val="21"/>
          <w:szCs w:val="21"/>
        </w:rPr>
        <w:t xml:space="preserve">Opportunities (Yellow): </w:t>
      </w:r>
      <w:r>
        <w:rPr>
          <w:rFonts w:ascii="Arial" w:cs="Arial" w:eastAsia="Arial" w:hAnsi="Arial"/>
          <w:color w:val="4A5568"/>
          <w:sz w:val="21"/>
          <w:szCs w:val="21"/>
        </w:rPr>
        <w:t xml:space="preserve">Growth areas they’re missing. Content gaps, review velocity, local link opportunities, service area expansion. Framed as money left on the table.</w:t>
      </w:r>
    </w:p>
    <w:p>
      <w:pPr>
        <w:pStyle w:val="ListParagraph"/>
        <w:numPr>
          <w:ilvl w:val="0"/>
          <w:numId w:val="3"/>
        </w:numPr>
        <w:spacing w:before="60" w:after="60" w:line="300"/>
      </w:pPr>
      <w:r>
        <w:rPr>
          <w:rFonts w:ascii="Arial" w:cs="Arial" w:eastAsia="Arial" w:hAnsi="Arial"/>
          <w:b/>
          <w:bCs/>
          <w:color w:val="0D1B2A"/>
          <w:sz w:val="21"/>
          <w:szCs w:val="21"/>
        </w:rPr>
        <w:t xml:space="preserve">Competitor Comparison: </w:t>
      </w:r>
      <w:r>
        <w:rPr>
          <w:rFonts w:ascii="Arial" w:cs="Arial" w:eastAsia="Arial" w:hAnsi="Arial"/>
          <w:color w:val="4A5568"/>
          <w:sz w:val="21"/>
          <w:szCs w:val="21"/>
        </w:rPr>
        <w:t xml:space="preserve">Side-by-side comparison with their top 2–3 local competitors on key metrics. Nothing motivates action like seeing a rival winning.</w:t>
      </w:r>
    </w:p>
    <w:p>
      <w:pPr>
        <w:pStyle w:val="ListParagraph"/>
        <w:numPr>
          <w:ilvl w:val="0"/>
          <w:numId w:val="3"/>
        </w:numPr>
        <w:spacing w:before="60" w:after="60" w:line="300"/>
      </w:pPr>
      <w:r>
        <w:rPr>
          <w:rFonts w:ascii="Arial" w:cs="Arial" w:eastAsia="Arial" w:hAnsi="Arial"/>
          <w:b/>
          <w:bCs/>
          <w:color w:val="0D1B2A"/>
          <w:sz w:val="21"/>
          <w:szCs w:val="21"/>
        </w:rPr>
        <w:t xml:space="preserve">Recommended Action Plan: </w:t>
      </w:r>
      <w:r>
        <w:rPr>
          <w:rFonts w:ascii="Arial" w:cs="Arial" w:eastAsia="Arial" w:hAnsi="Arial"/>
          <w:color w:val="4A5568"/>
          <w:sz w:val="21"/>
          <w:szCs w:val="21"/>
        </w:rPr>
        <w:t xml:space="preserve">This is the conversion layer. Each recommended action links directly to a specific deliverable on LocalCatalyst.ai with the exact price. “Fix your schema markup — $47”. “Complete GBP optimization — $97”. “12-month content calendar — $197”. The CTA is a branded link: localcatalyst.ai/your-report/[business-slug]</w:t>
      </w:r>
    </w:p>
    <w:p>
      <w:pPr>
        <w:spacing w:before="240" w:after="120"/>
      </w:pPr>
      <w:r>
        <w:rPr>
          <w:rFonts w:ascii="Arial" w:cs="Arial" w:eastAsia="Arial" w:hAnsi="Arial"/>
          <w:b/>
          <w:bCs/>
          <w:color w:val="0D1B2A"/>
          <w:sz w:val="22"/>
          <w:szCs w:val="22"/>
        </w:rPr>
        <w:t xml:space="preserve">Outreach Sequence</w:t>
      </w:r>
    </w:p>
    <w:p>
      <w:pPr>
        <w:spacing w:before="80" w:after="120" w:line="300"/>
      </w:pPr>
      <w:r>
        <w:rPr>
          <w:rFonts w:ascii="Arial" w:cs="Arial" w:eastAsia="Arial" w:hAnsi="Arial"/>
          <w:color w:val="4A5568"/>
          <w:sz w:val="21"/>
          <w:szCs w:val="21"/>
        </w:rPr>
        <w:t xml:space="preserve">Scribe generates personalized email content for each prospect. The sequence is 3 touches over 10 days.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BD5E0" w:sz="1"/>
              <w:left w:val="single" w:color="CBD5E0" w:sz="1"/>
              <w:bottom w:val="single" w:color="CBD5E0" w:sz="1"/>
              <w:right w:val="single" w:color="CBD5E0" w:sz="1"/>
            </w:tcBorders>
            <w:shd w:fill="0D1B2A" w:val="clear"/>
            <w:tcMar>
              <w:top w:type="dxa" w:w="80"/>
              <w:left w:type="dxa" w:w="120"/>
              <w:bottom w:type="dxa" w:w="80"/>
              <w:right w:type="dxa" w:w="120"/>
            </w:tcMar>
          </w:tcPr>
          <w:p>
            <w:r>
              <w:rPr>
                <w:rFonts w:ascii="Arial" w:cs="Arial" w:eastAsia="Arial" w:hAnsi="Arial"/>
                <w:b/>
                <w:bCs/>
                <w:color w:val="FFFFFF"/>
                <w:sz w:val="19"/>
                <w:szCs w:val="19"/>
              </w:rPr>
              <w:t xml:space="preserve">Touch</w:t>
            </w:r>
          </w:p>
        </w:tc>
        <w:tc>
          <w:tcPr>
            <w:tcW w:type="dxa" w:w="2340"/>
            <w:tcBorders>
              <w:top w:val="single" w:color="CBD5E0" w:sz="1"/>
              <w:left w:val="single" w:color="CBD5E0" w:sz="1"/>
              <w:bottom w:val="single" w:color="CBD5E0" w:sz="1"/>
              <w:right w:val="single" w:color="CBD5E0" w:sz="1"/>
            </w:tcBorders>
            <w:shd w:fill="0D1B2A" w:val="clear"/>
            <w:tcMar>
              <w:top w:type="dxa" w:w="80"/>
              <w:left w:type="dxa" w:w="120"/>
              <w:bottom w:type="dxa" w:w="80"/>
              <w:right w:type="dxa" w:w="120"/>
            </w:tcMar>
          </w:tcPr>
          <w:p>
            <w:r>
              <w:rPr>
                <w:rFonts w:ascii="Arial" w:cs="Arial" w:eastAsia="Arial" w:hAnsi="Arial"/>
                <w:b/>
                <w:bCs/>
                <w:color w:val="FFFFFF"/>
                <w:sz w:val="19"/>
                <w:szCs w:val="19"/>
              </w:rPr>
              <w:t xml:space="preserve">Timing</w:t>
            </w:r>
          </w:p>
        </w:tc>
        <w:tc>
          <w:tcPr>
            <w:tcW w:type="dxa" w:w="2340"/>
            <w:tcBorders>
              <w:top w:val="single" w:color="CBD5E0" w:sz="1"/>
              <w:left w:val="single" w:color="CBD5E0" w:sz="1"/>
              <w:bottom w:val="single" w:color="CBD5E0" w:sz="1"/>
              <w:right w:val="single" w:color="CBD5E0" w:sz="1"/>
            </w:tcBorders>
            <w:shd w:fill="0D1B2A" w:val="clear"/>
            <w:tcMar>
              <w:top w:type="dxa" w:w="80"/>
              <w:left w:type="dxa" w:w="120"/>
              <w:bottom w:type="dxa" w:w="80"/>
              <w:right w:type="dxa" w:w="120"/>
            </w:tcMar>
          </w:tcPr>
          <w:p>
            <w:r>
              <w:rPr>
                <w:rFonts w:ascii="Arial" w:cs="Arial" w:eastAsia="Arial" w:hAnsi="Arial"/>
                <w:b/>
                <w:bCs/>
                <w:color w:val="FFFFFF"/>
                <w:sz w:val="19"/>
                <w:szCs w:val="19"/>
              </w:rPr>
              <w:t xml:space="preserve">Content</w:t>
            </w:r>
          </w:p>
        </w:tc>
        <w:tc>
          <w:tcPr>
            <w:tcW w:type="dxa" w:w="2340"/>
            <w:tcBorders>
              <w:top w:val="single" w:color="CBD5E0" w:sz="1"/>
              <w:left w:val="single" w:color="CBD5E0" w:sz="1"/>
              <w:bottom w:val="single" w:color="CBD5E0" w:sz="1"/>
              <w:right w:val="single" w:color="CBD5E0" w:sz="1"/>
            </w:tcBorders>
            <w:shd w:fill="0D1B2A" w:val="clear"/>
            <w:tcMar>
              <w:top w:type="dxa" w:w="80"/>
              <w:left w:type="dxa" w:w="120"/>
              <w:bottom w:type="dxa" w:w="80"/>
              <w:right w:type="dxa" w:w="120"/>
            </w:tcMar>
          </w:tcPr>
          <w:p>
            <w:r>
              <w:rPr>
                <w:rFonts w:ascii="Arial" w:cs="Arial" w:eastAsia="Arial" w:hAnsi="Arial"/>
                <w:b/>
                <w:bCs/>
                <w:color w:val="FFFFFF"/>
                <w:sz w:val="19"/>
                <w:szCs w:val="19"/>
              </w:rPr>
              <w:t xml:space="preserve">CTA</w:t>
            </w:r>
          </w:p>
        </w:tc>
      </w:tr>
      <w:tr>
        <w:tc>
          <w:tcPr>
            <w:tcW w:type="dxa" w:w="23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Email 1</w:t>
            </w:r>
          </w:p>
        </w:tc>
        <w:tc>
          <w:tcPr>
            <w:tcW w:type="dxa" w:w="23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Day 0</w:t>
            </w:r>
          </w:p>
        </w:tc>
        <w:tc>
          <w:tcPr>
            <w:tcW w:type="dxa" w:w="23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Free audit attached. Lead with the single biggest issue found. ROI framing: “This gap is costing you an estimated X customers/month.”</w:t>
            </w:r>
          </w:p>
        </w:tc>
        <w:tc>
          <w:tcPr>
            <w:tcW w:type="dxa" w:w="23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View full report on LocalCatalyst.ai</w:t>
            </w:r>
          </w:p>
        </w:tc>
      </w:tr>
      <w:tr>
        <w:tc>
          <w:tcPr>
            <w:tcW w:type="dxa" w:w="23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Email 2</w:t>
            </w:r>
          </w:p>
        </w:tc>
        <w:tc>
          <w:tcPr>
            <w:tcW w:type="dxa" w:w="23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Day 4</w:t>
            </w:r>
          </w:p>
        </w:tc>
        <w:tc>
          <w:tcPr>
            <w:tcW w:type="dxa" w:w="23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Competitor comparison highlight. “Your competitor [name] ranks #1 for [keyword] — here’s why.”</w:t>
            </w:r>
          </w:p>
        </w:tc>
        <w:tc>
          <w:tcPr>
            <w:tcW w:type="dxa" w:w="23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See what they’re doing differently</w:t>
            </w:r>
          </w:p>
        </w:tc>
      </w:tr>
      <w:tr>
        <w:tc>
          <w:tcPr>
            <w:tcW w:type="dxa" w:w="23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Email 3</w:t>
            </w:r>
          </w:p>
        </w:tc>
        <w:tc>
          <w:tcPr>
            <w:tcW w:type="dxa" w:w="23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Day 10</w:t>
            </w:r>
          </w:p>
        </w:tc>
        <w:tc>
          <w:tcPr>
            <w:tcW w:type="dxa" w:w="23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Quick win offer. Highlight the single cheapest deliverable that would make the biggest impact. “For $47, we can fix your schema in 48 hours.”</w:t>
            </w:r>
          </w:p>
        </w:tc>
        <w:tc>
          <w:tcPr>
            <w:tcW w:type="dxa" w:w="23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Grab this quick win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1B9AAA" w:sz="6"/>
              <w:bottom w:val="none" w:sz="0"/>
              <w:right w:val="none" w:sz="0"/>
            </w:tcBorders>
            <w:shd w:fill="F0F4F8" w:val="clear"/>
            <w:tcMar>
              <w:top w:type="dxa" w:w="120"/>
              <w:left w:type="dxa" w:w="200"/>
              <w:bottom w:type="dxa" w:w="120"/>
              <w:right w:type="dxa" w:w="200"/>
            </w:tcMar>
          </w:tcPr>
          <w:p>
            <w:pPr>
              <w:spacing w:after="100"/>
            </w:pPr>
            <w:r>
              <w:rPr>
                <w:rFonts w:ascii="Arial" w:cs="Arial" w:eastAsia="Arial" w:hAnsi="Arial"/>
                <w:b/>
                <w:bCs/>
                <w:color w:val="1B9AAA"/>
                <w:sz w:val="22"/>
                <w:szCs w:val="22"/>
              </w:rPr>
              <w:t xml:space="preserve">Outreach Compliance</w:t>
            </w:r>
          </w:p>
          <w:p>
            <w:pPr>
              <w:spacing w:before="40" w:after="40" w:line="280"/>
            </w:pPr>
            <w:r>
              <w:rPr>
                <w:rFonts w:ascii="Arial" w:cs="Arial" w:eastAsia="Arial" w:hAnsi="Arial"/>
                <w:color w:val="4A5568"/>
                <w:sz w:val="20"/>
                <w:szCs w:val="20"/>
              </w:rPr>
              <w:t xml:space="preserve">All outreach must comply with CAN-SPAM. Include physical address (Catalyst Digital LLC),</w:t>
            </w:r>
          </w:p>
          <w:p>
            <w:pPr>
              <w:spacing w:before="40" w:after="40" w:line="280"/>
            </w:pPr>
            <w:r>
              <w:rPr>
                <w:rFonts w:ascii="Arial" w:cs="Arial" w:eastAsia="Arial" w:hAnsi="Arial"/>
                <w:color w:val="4A5568"/>
                <w:sz w:val="20"/>
                <w:szCs w:val="20"/>
              </w:rPr>
              <w:t xml:space="preserve">clear unsubscribe mechanism, and accurate sender info. Consider using a dedicated outreach</w:t>
            </w:r>
          </w:p>
          <w:p>
            <w:pPr>
              <w:spacing w:before="40" w:after="40" w:line="280"/>
            </w:pPr>
            <w:r>
              <w:rPr>
                <w:rFonts w:ascii="Arial" w:cs="Arial" w:eastAsia="Arial" w:hAnsi="Arial"/>
                <w:color w:val="4A5568"/>
                <w:sz w:val="20"/>
                <w:szCs w:val="20"/>
              </w:rPr>
              <w:t xml:space="preserve">domain (e.g., reports.localcatalyst.ai) to protect main domain reputation. Warm the domain</w:t>
            </w:r>
          </w:p>
          <w:p>
            <w:pPr>
              <w:spacing w:before="40" w:after="40" w:line="280"/>
            </w:pPr>
            <w:r>
              <w:rPr>
                <w:rFonts w:ascii="Arial" w:cs="Arial" w:eastAsia="Arial" w:hAnsi="Arial"/>
                <w:color w:val="4A5568"/>
                <w:sz w:val="20"/>
                <w:szCs w:val="20"/>
              </w:rPr>
              <w:t xml:space="preserve">for 2–3 weeks before scaling volume.</w:t>
            </w:r>
          </w:p>
        </w:tc>
      </w:tr>
    </w:tbl>
    <w:p>
      <w:r>
        <w:br/>
      </w:r>
    </w:p>
    <w:p>
      <w:pPr>
        <w:spacing w:before="320" w:after="160"/>
      </w:pPr>
      <w:r>
        <w:rPr>
          <w:rFonts w:ascii="Arial" w:cs="Arial" w:eastAsia="Arial" w:hAnsi="Arial"/>
          <w:b/>
          <w:bCs/>
          <w:color w:val="1B9AAA"/>
          <w:sz w:val="26"/>
          <w:szCs w:val="26"/>
        </w:rPr>
        <w:t xml:space="preserve">Phase 3: Platform Conversion &amp; Revenue Capture</w:t>
      </w:r>
    </w:p>
    <w:p>
      <w:pPr>
        <w:spacing w:before="80" w:after="120" w:line="300"/>
      </w:pPr>
      <w:r>
        <w:rPr>
          <w:rFonts w:ascii="Arial" w:cs="Arial" w:eastAsia="Arial" w:hAnsi="Arial"/>
          <w:b/>
          <w:bCs/>
          <w:color w:val="0D1B2A"/>
          <w:sz w:val="21"/>
          <w:szCs w:val="21"/>
        </w:rPr>
        <w:t xml:space="preserve">Objective: </w:t>
      </w:r>
      <w:r>
        <w:rPr>
          <w:rFonts w:ascii="Arial" w:cs="Arial" w:eastAsia="Arial" w:hAnsi="Arial"/>
          <w:color w:val="4A5568"/>
          <w:sz w:val="21"/>
          <w:szCs w:val="21"/>
        </w:rPr>
        <w:t xml:space="preserve">Convert audit report visitors into paying customers through a frictionless self-serve purchasing experience on LocalCatalyst.ai.</w:t>
      </w:r>
    </w:p>
    <w:p>
      <w:pPr>
        <w:spacing w:before="240" w:after="120"/>
      </w:pPr>
      <w:r>
        <w:rPr>
          <w:rFonts w:ascii="Arial" w:cs="Arial" w:eastAsia="Arial" w:hAnsi="Arial"/>
          <w:b/>
          <w:bCs/>
          <w:color w:val="0D1B2A"/>
          <w:sz w:val="22"/>
          <w:szCs w:val="22"/>
        </w:rPr>
        <w:t xml:space="preserve">Personalized Landing Experience</w:t>
      </w:r>
    </w:p>
    <w:p>
      <w:pPr>
        <w:spacing w:before="80" w:after="120" w:line="300"/>
      </w:pPr>
      <w:r>
        <w:rPr>
          <w:rFonts w:ascii="Arial" w:cs="Arial" w:eastAsia="Arial" w:hAnsi="Arial"/>
          <w:color w:val="4A5568"/>
          <w:sz w:val="21"/>
          <w:szCs w:val="21"/>
        </w:rPr>
        <w:t xml:space="preserve">When a prospect clicks through from their audit email, they don’t land on a generic homepage. They arrive at a personalized results page (localcatalyst.ai/report/[business-slug]) that mirrors their audit findings with actionable purchase options.</w:t>
      </w:r>
    </w:p>
    <w:p>
      <w:pPr>
        <w:spacing w:before="240" w:after="120"/>
      </w:pPr>
      <w:r>
        <w:rPr>
          <w:rFonts w:ascii="Arial" w:cs="Arial" w:eastAsia="Arial" w:hAnsi="Arial"/>
          <w:b/>
          <w:bCs/>
          <w:color w:val="0D1B2A"/>
          <w:sz w:val="22"/>
          <w:szCs w:val="22"/>
        </w:rPr>
        <w:t xml:space="preserve">Page Structure</w:t>
      </w:r>
    </w:p>
    <w:p>
      <w:pPr>
        <w:pStyle w:val="ListParagraph"/>
        <w:numPr>
          <w:ilvl w:val="0"/>
          <w:numId w:val="4"/>
        </w:numPr>
        <w:spacing w:before="40" w:after="40" w:line="280"/>
      </w:pPr>
      <w:r>
        <w:rPr>
          <w:rFonts w:ascii="Arial" w:cs="Arial" w:eastAsia="Arial" w:hAnsi="Arial"/>
          <w:color w:val="4A5568"/>
          <w:sz w:val="21"/>
          <w:szCs w:val="21"/>
        </w:rPr>
        <w:t xml:space="preserve">Header shows their business name, location, and overall SEO health score</w:t>
      </w:r>
    </w:p>
    <w:p>
      <w:pPr>
        <w:pStyle w:val="ListParagraph"/>
        <w:numPr>
          <w:ilvl w:val="0"/>
          <w:numId w:val="4"/>
        </w:numPr>
        <w:spacing w:before="40" w:after="40" w:line="280"/>
      </w:pPr>
      <w:r>
        <w:rPr>
          <w:rFonts w:ascii="Arial" w:cs="Arial" w:eastAsia="Arial" w:hAnsi="Arial"/>
          <w:color w:val="4A5568"/>
          <w:sz w:val="21"/>
          <w:szCs w:val="21"/>
        </w:rPr>
        <w:t xml:space="preserve">Issues section displays each problem with a severity badge and a one-click “Fix This” button linking to the corresponding deliverable</w:t>
      </w:r>
    </w:p>
    <w:p>
      <w:pPr>
        <w:pStyle w:val="ListParagraph"/>
        <w:numPr>
          <w:ilvl w:val="0"/>
          <w:numId w:val="4"/>
        </w:numPr>
        <w:spacing w:before="40" w:after="40" w:line="280"/>
      </w:pPr>
      <w:r>
        <w:rPr>
          <w:rFonts w:ascii="Arial" w:cs="Arial" w:eastAsia="Arial" w:hAnsi="Arial"/>
          <w:color w:val="4A5568"/>
          <w:sz w:val="21"/>
          <w:szCs w:val="21"/>
        </w:rPr>
        <w:t xml:space="preserve">Pricing table shows à la carte deliverables organized by priority (critical fixes first, growth opportunities second)</w:t>
      </w:r>
    </w:p>
    <w:p>
      <w:pPr>
        <w:pStyle w:val="ListParagraph"/>
        <w:numPr>
          <w:ilvl w:val="0"/>
          <w:numId w:val="4"/>
        </w:numPr>
        <w:spacing w:before="40" w:after="40" w:line="280"/>
      </w:pPr>
      <w:r>
        <w:rPr>
          <w:rFonts w:ascii="Arial" w:cs="Arial" w:eastAsia="Arial" w:hAnsi="Arial"/>
          <w:color w:val="4A5568"/>
          <w:sz w:val="21"/>
          <w:szCs w:val="21"/>
        </w:rPr>
        <w:t xml:space="preserve">Social proof section with testimonials, case study snippets, and trust indicators</w:t>
      </w:r>
    </w:p>
    <w:p>
      <w:pPr>
        <w:pStyle w:val="ListParagraph"/>
        <w:numPr>
          <w:ilvl w:val="0"/>
          <w:numId w:val="4"/>
        </w:numPr>
        <w:spacing w:before="40" w:after="40" w:line="280"/>
      </w:pPr>
      <w:r>
        <w:rPr>
          <w:rFonts w:ascii="Arial" w:cs="Arial" w:eastAsia="Arial" w:hAnsi="Arial"/>
          <w:color w:val="4A5568"/>
          <w:sz w:val="21"/>
          <w:szCs w:val="21"/>
        </w:rPr>
        <w:t xml:space="preserve">Bundle upsell offering a “Fix Everything” package at 20% discount for purchasing 3+ deliverables together</w:t>
      </w:r>
    </w:p>
    <w:p>
      <w:pPr>
        <w:spacing w:before="240" w:after="120"/>
      </w:pPr>
      <w:r>
        <w:rPr>
          <w:rFonts w:ascii="Arial" w:cs="Arial" w:eastAsia="Arial" w:hAnsi="Arial"/>
          <w:b/>
          <w:bCs/>
          <w:color w:val="0D1B2A"/>
          <w:sz w:val="22"/>
          <w:szCs w:val="22"/>
        </w:rPr>
        <w:t xml:space="preserve">Product Catalog: À La Carte Deliverables</w:t>
      </w:r>
    </w:p>
    <w:p>
      <w:pPr>
        <w:spacing w:before="80" w:after="120" w:line="300"/>
      </w:pPr>
      <w:r>
        <w:rPr>
          <w:rFonts w:ascii="Arial" w:cs="Arial" w:eastAsia="Arial" w:hAnsi="Arial"/>
          <w:color w:val="4A5568"/>
          <w:sz w:val="21"/>
          <w:szCs w:val="21"/>
        </w:rPr>
        <w:t xml:space="preserve">The catalog maps directly to Silas Engine specifications. Every deliverable is a defined scope of work fulfilled by the agent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BD5E0" w:sz="1"/>
              <w:left w:val="single" w:color="CBD5E0" w:sz="1"/>
              <w:bottom w:val="single" w:color="CBD5E0" w:sz="1"/>
              <w:right w:val="single" w:color="CBD5E0" w:sz="1"/>
            </w:tcBorders>
            <w:shd w:fill="0D1B2A" w:val="clear"/>
            <w:tcMar>
              <w:top w:type="dxa" w:w="80"/>
              <w:left w:type="dxa" w:w="120"/>
              <w:bottom w:type="dxa" w:w="80"/>
              <w:right w:type="dxa" w:w="120"/>
            </w:tcMar>
          </w:tcPr>
          <w:p>
            <w:r>
              <w:rPr>
                <w:rFonts w:ascii="Arial" w:cs="Arial" w:eastAsia="Arial" w:hAnsi="Arial"/>
                <w:b/>
                <w:bCs/>
                <w:color w:val="FFFFFF"/>
                <w:sz w:val="19"/>
                <w:szCs w:val="19"/>
              </w:rPr>
              <w:t xml:space="preserve">Deliverable</w:t>
            </w:r>
          </w:p>
        </w:tc>
        <w:tc>
          <w:tcPr>
            <w:tcW w:type="dxa" w:w="2340"/>
            <w:tcBorders>
              <w:top w:val="single" w:color="CBD5E0" w:sz="1"/>
              <w:left w:val="single" w:color="CBD5E0" w:sz="1"/>
              <w:bottom w:val="single" w:color="CBD5E0" w:sz="1"/>
              <w:right w:val="single" w:color="CBD5E0" w:sz="1"/>
            </w:tcBorders>
            <w:shd w:fill="0D1B2A" w:val="clear"/>
            <w:tcMar>
              <w:top w:type="dxa" w:w="80"/>
              <w:left w:type="dxa" w:w="120"/>
              <w:bottom w:type="dxa" w:w="80"/>
              <w:right w:type="dxa" w:w="120"/>
            </w:tcMar>
          </w:tcPr>
          <w:p>
            <w:r>
              <w:rPr>
                <w:rFonts w:ascii="Arial" w:cs="Arial" w:eastAsia="Arial" w:hAnsi="Arial"/>
                <w:b/>
                <w:bCs/>
                <w:color w:val="FFFFFF"/>
                <w:sz w:val="19"/>
                <w:szCs w:val="19"/>
              </w:rPr>
              <w:t xml:space="preserve">Price</w:t>
            </w:r>
          </w:p>
        </w:tc>
        <w:tc>
          <w:tcPr>
            <w:tcW w:type="dxa" w:w="2340"/>
            <w:tcBorders>
              <w:top w:val="single" w:color="CBD5E0" w:sz="1"/>
              <w:left w:val="single" w:color="CBD5E0" w:sz="1"/>
              <w:bottom w:val="single" w:color="CBD5E0" w:sz="1"/>
              <w:right w:val="single" w:color="CBD5E0" w:sz="1"/>
            </w:tcBorders>
            <w:shd w:fill="0D1B2A" w:val="clear"/>
            <w:tcMar>
              <w:top w:type="dxa" w:w="80"/>
              <w:left w:type="dxa" w:w="120"/>
              <w:bottom w:type="dxa" w:w="80"/>
              <w:right w:type="dxa" w:w="120"/>
            </w:tcMar>
          </w:tcPr>
          <w:p>
            <w:r>
              <w:rPr>
                <w:rFonts w:ascii="Arial" w:cs="Arial" w:eastAsia="Arial" w:hAnsi="Arial"/>
                <w:b/>
                <w:bCs/>
                <w:color w:val="FFFFFF"/>
                <w:sz w:val="19"/>
                <w:szCs w:val="19"/>
              </w:rPr>
              <w:t xml:space="preserve">Fulfillment Agent</w:t>
            </w:r>
          </w:p>
        </w:tc>
        <w:tc>
          <w:tcPr>
            <w:tcW w:type="dxa" w:w="2340"/>
            <w:tcBorders>
              <w:top w:val="single" w:color="CBD5E0" w:sz="1"/>
              <w:left w:val="single" w:color="CBD5E0" w:sz="1"/>
              <w:bottom w:val="single" w:color="CBD5E0" w:sz="1"/>
              <w:right w:val="single" w:color="CBD5E0" w:sz="1"/>
            </w:tcBorders>
            <w:shd w:fill="0D1B2A" w:val="clear"/>
            <w:tcMar>
              <w:top w:type="dxa" w:w="80"/>
              <w:left w:type="dxa" w:w="120"/>
              <w:bottom w:type="dxa" w:w="80"/>
              <w:right w:type="dxa" w:w="120"/>
            </w:tcMar>
          </w:tcPr>
          <w:p>
            <w:r>
              <w:rPr>
                <w:rFonts w:ascii="Arial" w:cs="Arial" w:eastAsia="Arial" w:hAnsi="Arial"/>
                <w:b/>
                <w:bCs/>
                <w:color w:val="FFFFFF"/>
                <w:sz w:val="19"/>
                <w:szCs w:val="19"/>
              </w:rPr>
              <w:t xml:space="preserve">Turnaround</w:t>
            </w:r>
          </w:p>
        </w:tc>
      </w:tr>
      <w:tr>
        <w:tc>
          <w:tcPr>
            <w:tcW w:type="dxa" w:w="23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GBP Full Optimization</w:t>
            </w:r>
          </w:p>
        </w:tc>
        <w:tc>
          <w:tcPr>
            <w:tcW w:type="dxa" w:w="23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$97</w:t>
            </w:r>
          </w:p>
        </w:tc>
        <w:tc>
          <w:tcPr>
            <w:tcW w:type="dxa" w:w="23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Silas</w:t>
            </w:r>
          </w:p>
        </w:tc>
        <w:tc>
          <w:tcPr>
            <w:tcW w:type="dxa" w:w="23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48 hours</w:t>
            </w:r>
          </w:p>
        </w:tc>
      </w:tr>
      <w:tr>
        <w:tc>
          <w:tcPr>
            <w:tcW w:type="dxa" w:w="23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Schema Markup Package</w:t>
            </w:r>
          </w:p>
        </w:tc>
        <w:tc>
          <w:tcPr>
            <w:tcW w:type="dxa" w:w="23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$47</w:t>
            </w:r>
          </w:p>
        </w:tc>
        <w:tc>
          <w:tcPr>
            <w:tcW w:type="dxa" w:w="23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Silas</w:t>
            </w:r>
          </w:p>
        </w:tc>
        <w:tc>
          <w:tcPr>
            <w:tcW w:type="dxa" w:w="23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24 hours</w:t>
            </w:r>
          </w:p>
        </w:tc>
      </w:tr>
      <w:tr>
        <w:tc>
          <w:tcPr>
            <w:tcW w:type="dxa" w:w="23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NAP/Citation Audit + Fixes</w:t>
            </w:r>
          </w:p>
        </w:tc>
        <w:tc>
          <w:tcPr>
            <w:tcW w:type="dxa" w:w="23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$147</w:t>
            </w:r>
          </w:p>
        </w:tc>
        <w:tc>
          <w:tcPr>
            <w:tcW w:type="dxa" w:w="23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Silas</w:t>
            </w:r>
          </w:p>
        </w:tc>
        <w:tc>
          <w:tcPr>
            <w:tcW w:type="dxa" w:w="23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3–5 days</w:t>
            </w:r>
          </w:p>
        </w:tc>
      </w:tr>
      <w:tr>
        <w:tc>
          <w:tcPr>
            <w:tcW w:type="dxa" w:w="23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Technical SEO Audit Report</w:t>
            </w:r>
          </w:p>
        </w:tc>
        <w:tc>
          <w:tcPr>
            <w:tcW w:type="dxa" w:w="23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$197</w:t>
            </w:r>
          </w:p>
        </w:tc>
        <w:tc>
          <w:tcPr>
            <w:tcW w:type="dxa" w:w="23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Silas</w:t>
            </w:r>
          </w:p>
        </w:tc>
        <w:tc>
          <w:tcPr>
            <w:tcW w:type="dxa" w:w="23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48 hours</w:t>
            </w:r>
          </w:p>
        </w:tc>
      </w:tr>
      <w:tr>
        <w:tc>
          <w:tcPr>
            <w:tcW w:type="dxa" w:w="23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12-Month Content Calendar</w:t>
            </w:r>
          </w:p>
        </w:tc>
        <w:tc>
          <w:tcPr>
            <w:tcW w:type="dxa" w:w="23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$197</w:t>
            </w:r>
          </w:p>
        </w:tc>
        <w:tc>
          <w:tcPr>
            <w:tcW w:type="dxa" w:w="23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Scribe</w:t>
            </w:r>
          </w:p>
        </w:tc>
        <w:tc>
          <w:tcPr>
            <w:tcW w:type="dxa" w:w="23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48 hours</w:t>
            </w:r>
          </w:p>
        </w:tc>
      </w:tr>
      <w:tr>
        <w:tc>
          <w:tcPr>
            <w:tcW w:type="dxa" w:w="23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8 SEO Blog Posts (2,000+ words each)</w:t>
            </w:r>
          </w:p>
        </w:tc>
        <w:tc>
          <w:tcPr>
            <w:tcW w:type="dxa" w:w="23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$397</w:t>
            </w:r>
          </w:p>
        </w:tc>
        <w:tc>
          <w:tcPr>
            <w:tcW w:type="dxa" w:w="23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Scribe</w:t>
            </w:r>
          </w:p>
        </w:tc>
        <w:tc>
          <w:tcPr>
            <w:tcW w:type="dxa" w:w="23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5–7 days</w:t>
            </w:r>
          </w:p>
        </w:tc>
      </w:tr>
      <w:tr>
        <w:tc>
          <w:tcPr>
            <w:tcW w:type="dxa" w:w="23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Competitor Analysis Report</w:t>
            </w:r>
          </w:p>
        </w:tc>
        <w:tc>
          <w:tcPr>
            <w:tcW w:type="dxa" w:w="23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$147</w:t>
            </w:r>
          </w:p>
        </w:tc>
        <w:tc>
          <w:tcPr>
            <w:tcW w:type="dxa" w:w="23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Silas + Scribe</w:t>
            </w:r>
          </w:p>
        </w:tc>
        <w:tc>
          <w:tcPr>
            <w:tcW w:type="dxa" w:w="23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48 hours</w:t>
            </w:r>
          </w:p>
        </w:tc>
      </w:tr>
      <w:tr>
        <w:tc>
          <w:tcPr>
            <w:tcW w:type="dxa" w:w="23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Review Generation Strategy</w:t>
            </w:r>
          </w:p>
        </w:tc>
        <w:tc>
          <w:tcPr>
            <w:tcW w:type="dxa" w:w="23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$97</w:t>
            </w:r>
          </w:p>
        </w:tc>
        <w:tc>
          <w:tcPr>
            <w:tcW w:type="dxa" w:w="23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Scribe</w:t>
            </w:r>
          </w:p>
        </w:tc>
        <w:tc>
          <w:tcPr>
            <w:tcW w:type="dxa" w:w="23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24 hours</w:t>
            </w:r>
          </w:p>
        </w:tc>
      </w:tr>
      <w:tr>
        <w:tc>
          <w:tcPr>
            <w:tcW w:type="dxa" w:w="23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Local Link Building Playbook</w:t>
            </w:r>
          </w:p>
        </w:tc>
        <w:tc>
          <w:tcPr>
            <w:tcW w:type="dxa" w:w="23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$147</w:t>
            </w:r>
          </w:p>
        </w:tc>
        <w:tc>
          <w:tcPr>
            <w:tcW w:type="dxa" w:w="23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Silas + Scribe</w:t>
            </w:r>
          </w:p>
        </w:tc>
        <w:tc>
          <w:tcPr>
            <w:tcW w:type="dxa" w:w="23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3–5 days</w:t>
            </w:r>
          </w:p>
        </w:tc>
      </w:tr>
      <w:tr>
        <w:tc>
          <w:tcPr>
            <w:tcW w:type="dxa" w:w="23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Full Local SEO Launch Package</w:t>
            </w:r>
          </w:p>
        </w:tc>
        <w:tc>
          <w:tcPr>
            <w:tcW w:type="dxa" w:w="23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$797</w:t>
            </w:r>
          </w:p>
        </w:tc>
        <w:tc>
          <w:tcPr>
            <w:tcW w:type="dxa" w:w="23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All agents</w:t>
            </w:r>
          </w:p>
        </w:tc>
        <w:tc>
          <w:tcPr>
            <w:tcW w:type="dxa" w:w="23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7–10 days</w:t>
            </w:r>
          </w:p>
        </w:tc>
      </w:tr>
    </w:tbl>
    <w:p>
      <w:pPr>
        <w:spacing w:before="240" w:after="120"/>
      </w:pPr>
      <w:r>
        <w:rPr>
          <w:rFonts w:ascii="Arial" w:cs="Arial" w:eastAsia="Arial" w:hAnsi="Arial"/>
          <w:b/>
          <w:bCs/>
          <w:color w:val="0D1B2A"/>
          <w:sz w:val="22"/>
          <w:szCs w:val="22"/>
        </w:rPr>
        <w:t xml:space="preserve">Payment Infrastructure</w:t>
      </w:r>
    </w:p>
    <w:p>
      <w:pPr>
        <w:spacing w:before="80" w:after="120" w:line="300"/>
      </w:pPr>
      <w:r>
        <w:rPr>
          <w:rFonts w:ascii="Arial" w:cs="Arial" w:eastAsia="Arial" w:hAnsi="Arial"/>
          <w:color w:val="4A5568"/>
          <w:sz w:val="21"/>
          <w:szCs w:val="21"/>
        </w:rPr>
        <w:t xml:space="preserve">WooCommerce + Stripe integration on the existing WordPress stack. No new platforms, no additional recurring tool costs.</w:t>
      </w:r>
    </w:p>
    <w:p>
      <w:pPr>
        <w:pStyle w:val="ListParagraph"/>
        <w:numPr>
          <w:ilvl w:val="0"/>
          <w:numId w:val="4"/>
        </w:numPr>
        <w:spacing w:before="40" w:after="40" w:line="280"/>
      </w:pPr>
      <w:r>
        <w:rPr>
          <w:rFonts w:ascii="Arial" w:cs="Arial" w:eastAsia="Arial" w:hAnsi="Arial"/>
          <w:color w:val="4A5568"/>
          <w:sz w:val="21"/>
          <w:szCs w:val="21"/>
        </w:rPr>
        <w:t xml:space="preserve">Stripe handles payment processing, invoicing, and receipt delivery</w:t>
      </w:r>
    </w:p>
    <w:p>
      <w:pPr>
        <w:pStyle w:val="ListParagraph"/>
        <w:numPr>
          <w:ilvl w:val="0"/>
          <w:numId w:val="4"/>
        </w:numPr>
        <w:spacing w:before="40" w:after="40" w:line="280"/>
      </w:pPr>
      <w:r>
        <w:rPr>
          <w:rFonts w:ascii="Arial" w:cs="Arial" w:eastAsia="Arial" w:hAnsi="Arial"/>
          <w:color w:val="4A5568"/>
          <w:sz w:val="21"/>
          <w:szCs w:val="21"/>
        </w:rPr>
        <w:t xml:space="preserve">WooCommerce manages the product catalog, order tracking, and customer accounts</w:t>
      </w:r>
    </w:p>
    <w:p>
      <w:pPr>
        <w:pStyle w:val="ListParagraph"/>
        <w:numPr>
          <w:ilvl w:val="0"/>
          <w:numId w:val="4"/>
        </w:numPr>
        <w:spacing w:before="40" w:after="40" w:line="280"/>
      </w:pPr>
      <w:r>
        <w:rPr>
          <w:rFonts w:ascii="Arial" w:cs="Arial" w:eastAsia="Arial" w:hAnsi="Arial"/>
          <w:color w:val="4A5568"/>
          <w:sz w:val="21"/>
          <w:szCs w:val="21"/>
        </w:rPr>
        <w:t xml:space="preserve">dashboard.localcatalyst.ai serves as the admin portal for order management and fulfillment tracking</w:t>
      </w:r>
    </w:p>
    <w:p>
      <w:pPr>
        <w:pStyle w:val="ListParagraph"/>
        <w:numPr>
          <w:ilvl w:val="0"/>
          <w:numId w:val="4"/>
        </w:numPr>
        <w:spacing w:before="40" w:after="40" w:line="280"/>
      </w:pPr>
      <w:r>
        <w:rPr>
          <w:rFonts w:ascii="Arial" w:cs="Arial" w:eastAsia="Arial" w:hAnsi="Arial"/>
          <w:color w:val="4A5568"/>
          <w:sz w:val="21"/>
          <w:szCs w:val="21"/>
        </w:rPr>
        <w:t xml:space="preserve">Webhook triggers from WooCommerce fire Archer to initiate fulfillment workflows automatically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1B9AAA" w:sz="6"/>
              <w:bottom w:val="none" w:sz="0"/>
              <w:right w:val="none" w:sz="0"/>
            </w:tcBorders>
            <w:shd w:fill="F0F4F8" w:val="clear"/>
            <w:tcMar>
              <w:top w:type="dxa" w:w="120"/>
              <w:left w:type="dxa" w:w="200"/>
              <w:bottom w:type="dxa" w:w="120"/>
              <w:right w:type="dxa" w:w="200"/>
            </w:tcMar>
          </w:tcPr>
          <w:p>
            <w:pPr>
              <w:spacing w:after="100"/>
            </w:pPr>
            <w:r>
              <w:rPr>
                <w:rFonts w:ascii="Arial" w:cs="Arial" w:eastAsia="Arial" w:hAnsi="Arial"/>
                <w:b/>
                <w:bCs/>
                <w:color w:val="1B9AAA"/>
                <w:sz w:val="22"/>
                <w:szCs w:val="22"/>
              </w:rPr>
              <w:t xml:space="preserve">Automated Fulfillment Loop</w:t>
            </w:r>
          </w:p>
          <w:p>
            <w:pPr>
              <w:spacing w:before="40" w:after="40" w:line="280"/>
            </w:pPr>
            <w:r>
              <w:rPr>
                <w:rFonts w:ascii="Arial" w:cs="Arial" w:eastAsia="Arial" w:hAnsi="Arial"/>
                <w:color w:val="4A5568"/>
                <w:sz w:val="20"/>
                <w:szCs w:val="20"/>
              </w:rPr>
              <w:t xml:space="preserve">Customer purchases “GBP Full Optimization” for $97</w:t>
            </w:r>
          </w:p>
          <w:p>
            <w:pPr>
              <w:spacing w:before="40" w:after="40" w:line="280"/>
            </w:pPr>
            <w:r>
              <w:rPr>
                <w:rFonts w:ascii="Arial" w:cs="Arial" w:eastAsia="Arial" w:hAnsi="Arial"/>
                <w:color w:val="4A5568"/>
                <w:sz w:val="20"/>
                <w:szCs w:val="20"/>
              </w:rPr>
              <w:t xml:space="preserve">→ WooCommerce webhook fires to Archer via Telegram bot</w:t>
            </w:r>
          </w:p>
          <w:p>
            <w:pPr>
              <w:spacing w:before="40" w:after="40" w:line="280"/>
            </w:pPr>
            <w:r>
              <w:rPr>
                <w:rFonts w:ascii="Arial" w:cs="Arial" w:eastAsia="Arial" w:hAnsi="Arial"/>
                <w:color w:val="4A5568"/>
                <w:sz w:val="20"/>
                <w:szCs w:val="20"/>
              </w:rPr>
              <w:t xml:space="preserve">→ Archer assigns Silas the GBP optimization task with the business’s data</w:t>
            </w:r>
          </w:p>
          <w:p>
            <w:pPr>
              <w:spacing w:before="40" w:after="40" w:line="280"/>
            </w:pPr>
            <w:r>
              <w:rPr>
                <w:rFonts w:ascii="Arial" w:cs="Arial" w:eastAsia="Arial" w:hAnsi="Arial"/>
                <w:color w:val="4A5568"/>
                <w:sz w:val="20"/>
                <w:szCs w:val="20"/>
              </w:rPr>
              <w:t xml:space="preserve">→ Silas generates the deliverable using the Silas Engine GBP spec</w:t>
            </w:r>
          </w:p>
          <w:p>
            <w:pPr>
              <w:spacing w:before="40" w:after="40" w:line="280"/>
            </w:pPr>
            <w:r>
              <w:rPr>
                <w:rFonts w:ascii="Arial" w:cs="Arial" w:eastAsia="Arial" w:hAnsi="Arial"/>
                <w:color w:val="4A5568"/>
                <w:sz w:val="20"/>
                <w:szCs w:val="20"/>
              </w:rPr>
              <w:t xml:space="preserve">→ Scribe packages the deliverable into a branded PDF/document</w:t>
            </w:r>
          </w:p>
          <w:p>
            <w:pPr>
              <w:spacing w:before="40" w:after="40" w:line="280"/>
            </w:pPr>
            <w:r>
              <w:rPr>
                <w:rFonts w:ascii="Arial" w:cs="Arial" w:eastAsia="Arial" w:hAnsi="Arial"/>
                <w:color w:val="4A5568"/>
                <w:sz w:val="20"/>
                <w:szCs w:val="20"/>
              </w:rPr>
              <w:t xml:space="preserve">→ Customer receives delivery via email with implementation instructions</w:t>
            </w:r>
          </w:p>
          <w:p>
            <w:pPr>
              <w:spacing w:before="40" w:after="40" w:line="280"/>
            </w:pPr>
            <w:r>
              <w:rPr>
                <w:rFonts w:ascii="Arial" w:cs="Arial" w:eastAsia="Arial" w:hAnsi="Arial"/>
                <w:color w:val="4A5568"/>
                <w:sz w:val="20"/>
                <w:szCs w:val="20"/>
              </w:rPr>
              <w:t xml:space="preserve">→ Archer logs completion in dashboard.localcatalyst.ai</w:t>
            </w:r>
          </w:p>
          <w:p>
            <w:pPr>
              <w:spacing w:before="40" w:after="40" w:line="280"/>
            </w:pPr>
            <w:r>
              <w:rPr>
                <w:rFonts w:ascii="Arial" w:cs="Arial" w:eastAsia="Arial" w:hAnsi="Arial"/>
                <w:color w:val="4A5568"/>
                <w:sz w:val="20"/>
                <w:szCs w:val="20"/>
              </w:rPr>
              <w:t xml:space="preserve"/>
            </w:r>
          </w:p>
          <w:p>
            <w:pPr>
              <w:spacing w:before="40" w:after="40" w:line="280"/>
            </w:pPr>
            <w:r>
              <w:rPr>
                <w:rFonts w:ascii="Arial" w:cs="Arial" w:eastAsia="Arial" w:hAnsi="Arial"/>
                <w:color w:val="4A5568"/>
                <w:sz w:val="20"/>
                <w:szCs w:val="20"/>
              </w:rPr>
              <w:t xml:space="preserve">Total human involvement: zero (for standard deliverables).</w:t>
            </w:r>
          </w:p>
        </w:tc>
      </w:tr>
    </w:tbl>
    <w:p>
      <w:r>
        <w:br/>
      </w:r>
    </w:p>
    <w:p>
      <w:pPr>
        <w:spacing w:before="320" w:after="160"/>
      </w:pPr>
      <w:r>
        <w:rPr>
          <w:rFonts w:ascii="Arial" w:cs="Arial" w:eastAsia="Arial" w:hAnsi="Arial"/>
          <w:b/>
          <w:bCs/>
          <w:color w:val="1B9AAA"/>
          <w:sz w:val="26"/>
          <w:szCs w:val="26"/>
        </w:rPr>
        <w:t xml:space="preserve">Phase 4: Retention, Upsell &amp; Compounding Growth</w:t>
      </w:r>
    </w:p>
    <w:p>
      <w:pPr>
        <w:spacing w:before="80" w:after="120" w:line="300"/>
      </w:pPr>
      <w:r>
        <w:rPr>
          <w:rFonts w:ascii="Arial" w:cs="Arial" w:eastAsia="Arial" w:hAnsi="Arial"/>
          <w:b/>
          <w:bCs/>
          <w:color w:val="0D1B2A"/>
          <w:sz w:val="21"/>
          <w:szCs w:val="21"/>
        </w:rPr>
        <w:t xml:space="preserve">Objective: </w:t>
      </w:r>
      <w:r>
        <w:rPr>
          <w:rFonts w:ascii="Arial" w:cs="Arial" w:eastAsia="Arial" w:hAnsi="Arial"/>
          <w:color w:val="4A5568"/>
          <w:sz w:val="21"/>
          <w:szCs w:val="21"/>
        </w:rPr>
        <w:t xml:space="preserve">Turn one-time buyers into repeat customers and generate organic referral growth without increasing operational load.</w:t>
      </w:r>
    </w:p>
    <w:p>
      <w:pPr>
        <w:spacing w:before="240" w:after="120"/>
      </w:pPr>
      <w:r>
        <w:rPr>
          <w:rFonts w:ascii="Arial" w:cs="Arial" w:eastAsia="Arial" w:hAnsi="Arial"/>
          <w:b/>
          <w:bCs/>
          <w:color w:val="0D1B2A"/>
          <w:sz w:val="22"/>
          <w:szCs w:val="22"/>
        </w:rPr>
        <w:t xml:space="preserve">Automated Re-Audit Cycle</w:t>
      </w:r>
    </w:p>
    <w:p>
      <w:pPr>
        <w:spacing w:before="80" w:after="120" w:line="300"/>
      </w:pPr>
      <w:r>
        <w:rPr>
          <w:rFonts w:ascii="Arial" w:cs="Arial" w:eastAsia="Arial" w:hAnsi="Arial"/>
          <w:color w:val="4A5568"/>
          <w:sz w:val="21"/>
          <w:szCs w:val="21"/>
        </w:rPr>
        <w:t xml:space="preserve">This is the retention engine. 30 days after a customer’s purchase, Silas automatically re-runs their SEO audit and generates a progress report comparing before and after metrics.</w:t>
      </w:r>
    </w:p>
    <w:p>
      <w:pPr>
        <w:pStyle w:val="ListParagraph"/>
        <w:numPr>
          <w:ilvl w:val="0"/>
          <w:numId w:val="5"/>
        </w:numPr>
        <w:spacing w:before="60" w:after="60" w:line="300"/>
      </w:pPr>
      <w:r>
        <w:rPr>
          <w:rFonts w:ascii="Arial" w:cs="Arial" w:eastAsia="Arial" w:hAnsi="Arial"/>
          <w:b/>
          <w:bCs/>
          <w:color w:val="0D1B2A"/>
          <w:sz w:val="21"/>
          <w:szCs w:val="21"/>
        </w:rPr>
        <w:t xml:space="preserve">Progress Report: </w:t>
      </w:r>
      <w:r>
        <w:rPr>
          <w:rFonts w:ascii="Arial" w:cs="Arial" w:eastAsia="Arial" w:hAnsi="Arial"/>
          <w:color w:val="4A5568"/>
          <w:sz w:val="21"/>
          <w:szCs w:val="21"/>
        </w:rPr>
        <w:t xml:space="preserve">Shows improvement from the deliverable they purchased. “Your GBP completeness went from 45% to 92%.” This validates their purchase and builds trust.</w:t>
      </w:r>
    </w:p>
    <w:p>
      <w:pPr>
        <w:pStyle w:val="ListParagraph"/>
        <w:numPr>
          <w:ilvl w:val="0"/>
          <w:numId w:val="5"/>
        </w:numPr>
        <w:spacing w:before="60" w:after="60" w:line="300"/>
      </w:pPr>
      <w:r>
        <w:rPr>
          <w:rFonts w:ascii="Arial" w:cs="Arial" w:eastAsia="Arial" w:hAnsi="Arial"/>
          <w:b/>
          <w:bCs/>
          <w:color w:val="0D1B2A"/>
          <w:sz w:val="21"/>
          <w:szCs w:val="21"/>
        </w:rPr>
        <w:t xml:space="preserve">Next Steps Recommendation: </w:t>
      </w:r>
      <w:r>
        <w:rPr>
          <w:rFonts w:ascii="Arial" w:cs="Arial" w:eastAsia="Arial" w:hAnsi="Arial"/>
          <w:color w:val="4A5568"/>
          <w:sz w:val="21"/>
          <w:szCs w:val="21"/>
        </w:rPr>
        <w:t xml:space="preserve">Identifies the next highest-impact deliverable they haven’t purchased yet. “Now that your GBP is optimized, your biggest gap is content. Here’s what a content calendar would do for you.”</w:t>
      </w:r>
    </w:p>
    <w:p>
      <w:pPr>
        <w:pStyle w:val="ListParagraph"/>
        <w:numPr>
          <w:ilvl w:val="0"/>
          <w:numId w:val="5"/>
        </w:numPr>
        <w:spacing w:before="60" w:after="60" w:line="300"/>
      </w:pPr>
      <w:r>
        <w:rPr>
          <w:rFonts w:ascii="Arial" w:cs="Arial" w:eastAsia="Arial" w:hAnsi="Arial"/>
          <w:b/>
          <w:bCs/>
          <w:color w:val="0D1B2A"/>
          <w:sz w:val="21"/>
          <w:szCs w:val="21"/>
        </w:rPr>
        <w:t xml:space="preserve">Loyalty Pricing: </w:t>
      </w:r>
      <w:r>
        <w:rPr>
          <w:rFonts w:ascii="Arial" w:cs="Arial" w:eastAsia="Arial" w:hAnsi="Arial"/>
          <w:color w:val="4A5568"/>
          <w:sz w:val="21"/>
          <w:szCs w:val="21"/>
        </w:rPr>
        <w:t xml:space="preserve">Returning customers get 10% off their next deliverable. Coded via WooCommerce coupon system, auto-generated and included in the progress report email.</w:t>
      </w:r>
    </w:p>
    <w:p>
      <w:pPr>
        <w:spacing w:before="240" w:after="120"/>
      </w:pPr>
      <w:r>
        <w:rPr>
          <w:rFonts w:ascii="Arial" w:cs="Arial" w:eastAsia="Arial" w:hAnsi="Arial"/>
          <w:b/>
          <w:bCs/>
          <w:color w:val="0D1B2A"/>
          <w:sz w:val="22"/>
          <w:szCs w:val="22"/>
        </w:rPr>
        <w:t xml:space="preserve">Referral Program</w:t>
      </w:r>
    </w:p>
    <w:p>
      <w:pPr>
        <w:spacing w:before="80" w:after="120" w:line="300"/>
      </w:pPr>
      <w:r>
        <w:rPr>
          <w:rFonts w:ascii="Arial" w:cs="Arial" w:eastAsia="Arial" w:hAnsi="Arial"/>
          <w:color w:val="4A5568"/>
          <w:sz w:val="21"/>
          <w:szCs w:val="21"/>
        </w:rPr>
        <w:t xml:space="preserve">Simple, trackable, automated.</w:t>
      </w:r>
    </w:p>
    <w:p>
      <w:pPr>
        <w:pStyle w:val="ListParagraph"/>
        <w:numPr>
          <w:ilvl w:val="0"/>
          <w:numId w:val="4"/>
        </w:numPr>
        <w:spacing w:before="40" w:after="40" w:line="280"/>
      </w:pPr>
      <w:r>
        <w:rPr>
          <w:rFonts w:ascii="Arial" w:cs="Arial" w:eastAsia="Arial" w:hAnsi="Arial"/>
          <w:color w:val="4A5568"/>
          <w:sz w:val="21"/>
          <w:szCs w:val="21"/>
        </w:rPr>
        <w:t xml:space="preserve">Every fulfilled order includes a unique referral link for the customer</w:t>
      </w:r>
    </w:p>
    <w:p>
      <w:pPr>
        <w:pStyle w:val="ListParagraph"/>
        <w:numPr>
          <w:ilvl w:val="0"/>
          <w:numId w:val="4"/>
        </w:numPr>
        <w:spacing w:before="40" w:after="40" w:line="280"/>
      </w:pPr>
      <w:r>
        <w:rPr>
          <w:rFonts w:ascii="Arial" w:cs="Arial" w:eastAsia="Arial" w:hAnsi="Arial"/>
          <w:color w:val="4A5568"/>
          <w:sz w:val="21"/>
          <w:szCs w:val="21"/>
        </w:rPr>
        <w:t xml:space="preserve">When a referred business makes a purchase, the referrer gets a $25 credit toward their next deliverable</w:t>
      </w:r>
    </w:p>
    <w:p>
      <w:pPr>
        <w:pStyle w:val="ListParagraph"/>
        <w:numPr>
          <w:ilvl w:val="0"/>
          <w:numId w:val="4"/>
        </w:numPr>
        <w:spacing w:before="40" w:after="40" w:line="280"/>
      </w:pPr>
      <w:r>
        <w:rPr>
          <w:rFonts w:ascii="Arial" w:cs="Arial" w:eastAsia="Arial" w:hAnsi="Arial"/>
          <w:color w:val="4A5568"/>
          <w:sz w:val="21"/>
          <w:szCs w:val="21"/>
        </w:rPr>
        <w:t xml:space="preserve">WooCommerce tracks referrals via UTM parameters and coupon codes</w:t>
      </w:r>
    </w:p>
    <w:p>
      <w:pPr>
        <w:pStyle w:val="ListParagraph"/>
        <w:numPr>
          <w:ilvl w:val="0"/>
          <w:numId w:val="4"/>
        </w:numPr>
        <w:spacing w:before="40" w:after="40" w:line="280"/>
      </w:pPr>
      <w:r>
        <w:rPr>
          <w:rFonts w:ascii="Arial" w:cs="Arial" w:eastAsia="Arial" w:hAnsi="Arial"/>
          <w:color w:val="4A5568"/>
          <w:sz w:val="21"/>
          <w:szCs w:val="21"/>
        </w:rPr>
        <w:t xml:space="preserve">Monthly leaderboard email to top referrers with bonus incentives</w:t>
      </w:r>
    </w:p>
    <w:p>
      <w:pPr>
        <w:spacing w:before="240" w:after="120"/>
      </w:pPr>
      <w:r>
        <w:rPr>
          <w:rFonts w:ascii="Arial" w:cs="Arial" w:eastAsia="Arial" w:hAnsi="Arial"/>
          <w:b/>
          <w:bCs/>
          <w:color w:val="0D1B2A"/>
          <w:sz w:val="22"/>
          <w:szCs w:val="22"/>
        </w:rPr>
        <w:t xml:space="preserve">Vertical Expansion Playbook</w:t>
      </w:r>
    </w:p>
    <w:p>
      <w:pPr>
        <w:spacing w:before="80" w:after="120" w:line="300"/>
      </w:pPr>
      <w:r>
        <w:rPr>
          <w:rFonts w:ascii="Arial" w:cs="Arial" w:eastAsia="Arial" w:hAnsi="Arial"/>
          <w:color w:val="4A5568"/>
          <w:sz w:val="21"/>
          <w:szCs w:val="21"/>
        </w:rPr>
        <w:t xml:space="preserve">As order data accumulates, patterns emerge. Use purchase and conversion data to identify the highest-converting verticals and geographies, then double 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BD5E0" w:sz="1"/>
              <w:left w:val="single" w:color="CBD5E0" w:sz="1"/>
              <w:bottom w:val="single" w:color="CBD5E0" w:sz="1"/>
              <w:right w:val="single" w:color="CBD5E0" w:sz="1"/>
            </w:tcBorders>
            <w:shd w:fill="0D1B2A" w:val="clear"/>
            <w:tcMar>
              <w:top w:type="dxa" w:w="80"/>
              <w:left w:type="dxa" w:w="120"/>
              <w:bottom w:type="dxa" w:w="80"/>
              <w:right w:type="dxa" w:w="120"/>
            </w:tcMar>
          </w:tcPr>
          <w:p>
            <w:r>
              <w:rPr>
                <w:rFonts w:ascii="Arial" w:cs="Arial" w:eastAsia="Arial" w:hAnsi="Arial"/>
                <w:b/>
                <w:bCs/>
                <w:color w:val="FFFFFF"/>
                <w:sz w:val="19"/>
                <w:szCs w:val="19"/>
              </w:rPr>
              <w:t xml:space="preserve">Growth Lever</w:t>
            </w:r>
          </w:p>
        </w:tc>
        <w:tc>
          <w:tcPr>
            <w:tcW w:type="dxa" w:w="3120"/>
            <w:tcBorders>
              <w:top w:val="single" w:color="CBD5E0" w:sz="1"/>
              <w:left w:val="single" w:color="CBD5E0" w:sz="1"/>
              <w:bottom w:val="single" w:color="CBD5E0" w:sz="1"/>
              <w:right w:val="single" w:color="CBD5E0" w:sz="1"/>
            </w:tcBorders>
            <w:shd w:fill="0D1B2A" w:val="clear"/>
            <w:tcMar>
              <w:top w:type="dxa" w:w="80"/>
              <w:left w:type="dxa" w:w="120"/>
              <w:bottom w:type="dxa" w:w="80"/>
              <w:right w:type="dxa" w:w="120"/>
            </w:tcMar>
          </w:tcPr>
          <w:p>
            <w:r>
              <w:rPr>
                <w:rFonts w:ascii="Arial" w:cs="Arial" w:eastAsia="Arial" w:hAnsi="Arial"/>
                <w:b/>
                <w:bCs/>
                <w:color w:val="FFFFFF"/>
                <w:sz w:val="19"/>
                <w:szCs w:val="19"/>
              </w:rPr>
              <w:t xml:space="preserve">Mechanism</w:t>
            </w:r>
          </w:p>
        </w:tc>
        <w:tc>
          <w:tcPr>
            <w:tcW w:type="dxa" w:w="3120"/>
            <w:tcBorders>
              <w:top w:val="single" w:color="CBD5E0" w:sz="1"/>
              <w:left w:val="single" w:color="CBD5E0" w:sz="1"/>
              <w:bottom w:val="single" w:color="CBD5E0" w:sz="1"/>
              <w:right w:val="single" w:color="CBD5E0" w:sz="1"/>
            </w:tcBorders>
            <w:shd w:fill="0D1B2A" w:val="clear"/>
            <w:tcMar>
              <w:top w:type="dxa" w:w="80"/>
              <w:left w:type="dxa" w:w="120"/>
              <w:bottom w:type="dxa" w:w="80"/>
              <w:right w:type="dxa" w:w="120"/>
            </w:tcMar>
          </w:tcPr>
          <w:p>
            <w:r>
              <w:rPr>
                <w:rFonts w:ascii="Arial" w:cs="Arial" w:eastAsia="Arial" w:hAnsi="Arial"/>
                <w:b/>
                <w:bCs/>
                <w:color w:val="FFFFFF"/>
                <w:sz w:val="19"/>
                <w:szCs w:val="19"/>
              </w:rPr>
              <w:t xml:space="preserve">Timeline</w:t>
            </w:r>
          </w:p>
        </w:tc>
      </w:tr>
      <w:tr>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Vertical specialization</w:t>
            </w:r>
          </w:p>
        </w:tc>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Create industry-specific deliverable bundles (e.g., “Dentist SEO Starter Pack”) based on most-purchased combinations</w:t>
            </w:r>
          </w:p>
        </w:tc>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Month 4+</w:t>
            </w:r>
          </w:p>
        </w:tc>
      </w:tr>
      <w:tr>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Geographic expansion</w:t>
            </w:r>
          </w:p>
        </w:tc>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Replicate the prospecting pipeline in new metros using the same agent infrastructure</w:t>
            </w:r>
          </w:p>
        </w:tc>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Month 6+</w:t>
            </w:r>
          </w:p>
        </w:tc>
      </w:tr>
      <w:tr>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White-label partnerships</w:t>
            </w:r>
          </w:p>
        </w:tc>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Offer the audit tool and deliverable fulfillment to other agencies as a white-label service</w:t>
            </w:r>
          </w:p>
        </w:tc>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Month 9+</w:t>
            </w:r>
          </w:p>
        </w:tc>
      </w:tr>
      <w:tr>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Subscription tier</w:t>
            </w:r>
          </w:p>
        </w:tc>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Introduce a $99/month “continuous monitoring” plan: quarterly re-audits, priority fulfillment, and dedicated progress tracking</w:t>
            </w:r>
          </w:p>
        </w:tc>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Month 12+</w:t>
            </w:r>
          </w:p>
        </w:tc>
      </w:tr>
    </w:tbl>
    <w:p>
      <w:r>
        <w:br/>
      </w:r>
    </w:p>
    <w:p>
      <w:pPr>
        <w:pBdr>
          <w:bottom w:val="single" w:color="1B9AAA" w:sz="3" w:space="8"/>
        </w:pBdr>
        <w:spacing w:before="400" w:after="200"/>
      </w:pPr>
      <w:r>
        <w:rPr>
          <w:rFonts w:ascii="Arial" w:cs="Arial" w:eastAsia="Arial" w:hAnsi="Arial"/>
          <w:b/>
          <w:bCs/>
          <w:color w:val="0D1B2A"/>
          <w:sz w:val="32"/>
          <w:szCs w:val="32"/>
        </w:rPr>
        <w:t xml:space="preserve">Section 3: Financial Model</w:t>
      </w:r>
    </w:p>
    <w:p>
      <w:pPr>
        <w:spacing w:before="320" w:after="160"/>
      </w:pPr>
      <w:r>
        <w:rPr>
          <w:rFonts w:ascii="Arial" w:cs="Arial" w:eastAsia="Arial" w:hAnsi="Arial"/>
          <w:b/>
          <w:bCs/>
          <w:color w:val="1B9AAA"/>
          <w:sz w:val="26"/>
          <w:szCs w:val="26"/>
        </w:rPr>
        <w:t xml:space="preserve">3.1 Cost Structure</w:t>
      </w:r>
    </w:p>
    <w:p>
      <w:pPr>
        <w:spacing w:before="80" w:after="120" w:line="300"/>
      </w:pPr>
      <w:r>
        <w:rPr>
          <w:rFonts w:ascii="Arial" w:cs="Arial" w:eastAsia="Arial" w:hAnsi="Arial"/>
          <w:color w:val="4A5568"/>
          <w:sz w:val="21"/>
          <w:szCs w:val="21"/>
        </w:rPr>
        <w:t xml:space="preserve">One of the strongest advantages of this model is the near-zero marginal cost per deliverable. The agents are already built and running. The primary costs are API tokens and email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BD5E0" w:sz="1"/>
              <w:left w:val="single" w:color="CBD5E0" w:sz="1"/>
              <w:bottom w:val="single" w:color="CBD5E0" w:sz="1"/>
              <w:right w:val="single" w:color="CBD5E0" w:sz="1"/>
            </w:tcBorders>
            <w:shd w:fill="0D1B2A" w:val="clear"/>
            <w:tcMar>
              <w:top w:type="dxa" w:w="80"/>
              <w:left w:type="dxa" w:w="120"/>
              <w:bottom w:type="dxa" w:w="80"/>
              <w:right w:type="dxa" w:w="120"/>
            </w:tcMar>
          </w:tcPr>
          <w:p>
            <w:r>
              <w:rPr>
                <w:rFonts w:ascii="Arial" w:cs="Arial" w:eastAsia="Arial" w:hAnsi="Arial"/>
                <w:b/>
                <w:bCs/>
                <w:color w:val="FFFFFF"/>
                <w:sz w:val="19"/>
                <w:szCs w:val="19"/>
              </w:rPr>
              <w:t xml:space="preserve">Cost Category</w:t>
            </w:r>
          </w:p>
        </w:tc>
        <w:tc>
          <w:tcPr>
            <w:tcW w:type="dxa" w:w="3120"/>
            <w:tcBorders>
              <w:top w:val="single" w:color="CBD5E0" w:sz="1"/>
              <w:left w:val="single" w:color="CBD5E0" w:sz="1"/>
              <w:bottom w:val="single" w:color="CBD5E0" w:sz="1"/>
              <w:right w:val="single" w:color="CBD5E0" w:sz="1"/>
            </w:tcBorders>
            <w:shd w:fill="0D1B2A" w:val="clear"/>
            <w:tcMar>
              <w:top w:type="dxa" w:w="80"/>
              <w:left w:type="dxa" w:w="120"/>
              <w:bottom w:type="dxa" w:w="80"/>
              <w:right w:type="dxa" w:w="120"/>
            </w:tcMar>
          </w:tcPr>
          <w:p>
            <w:r>
              <w:rPr>
                <w:rFonts w:ascii="Arial" w:cs="Arial" w:eastAsia="Arial" w:hAnsi="Arial"/>
                <w:b/>
                <w:bCs/>
                <w:color w:val="FFFFFF"/>
                <w:sz w:val="19"/>
                <w:szCs w:val="19"/>
              </w:rPr>
              <w:t xml:space="preserve">Monthly Cost</w:t>
            </w:r>
          </w:p>
        </w:tc>
        <w:tc>
          <w:tcPr>
            <w:tcW w:type="dxa" w:w="3120"/>
            <w:tcBorders>
              <w:top w:val="single" w:color="CBD5E0" w:sz="1"/>
              <w:left w:val="single" w:color="CBD5E0" w:sz="1"/>
              <w:bottom w:val="single" w:color="CBD5E0" w:sz="1"/>
              <w:right w:val="single" w:color="CBD5E0" w:sz="1"/>
            </w:tcBorders>
            <w:shd w:fill="0D1B2A"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Claude API (Silas/Scribe fulfillment)</w:t>
            </w:r>
          </w:p>
        </w:tc>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$150–$400</w:t>
            </w:r>
          </w:p>
        </w:tc>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Scales with order volume. Bulk tasks route to cheaper models.</w:t>
            </w:r>
          </w:p>
        </w:tc>
      </w:tr>
      <w:tr>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GPT-4o-mini (Scout prospecting)</w:t>
            </w:r>
          </w:p>
        </w:tc>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$20–$50</w:t>
            </w:r>
          </w:p>
        </w:tc>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High volume, low complexity tasks</w:t>
            </w:r>
          </w:p>
        </w:tc>
      </w:tr>
      <w:tr>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Email infrastructure (SendGrid/Mailgun)</w:t>
            </w:r>
          </w:p>
        </w:tc>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$30–$80</w:t>
            </w:r>
          </w:p>
        </w:tc>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Scales with outreach volume</w:t>
            </w:r>
          </w:p>
        </w:tc>
      </w:tr>
      <w:tr>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WordPress/WooCommerce hosting</w:t>
            </w:r>
          </w:p>
        </w:tc>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$0 (existing)</w:t>
            </w:r>
          </w:p>
        </w:tc>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Already running on current infrastructure</w:t>
            </w:r>
          </w:p>
        </w:tc>
      </w:tr>
      <w:tr>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Stripe fees</w:t>
            </w:r>
          </w:p>
        </w:tc>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2.9% + $0.30/txn</w:t>
            </w:r>
          </w:p>
        </w:tc>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Standard processing, no monthly fee</w:t>
            </w:r>
          </w:p>
        </w:tc>
      </w:tr>
      <w:tr>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Domain/SSL for outreach</w:t>
            </w:r>
          </w:p>
        </w:tc>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$15/month</w:t>
            </w:r>
          </w:p>
        </w:tc>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Dedicated sending domain</w:t>
            </w:r>
          </w:p>
        </w:tc>
      </w:tr>
      <w:tr>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Total fixed overhead</w:t>
            </w:r>
          </w:p>
        </w:tc>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$215–$545/month</w:t>
            </w:r>
          </w:p>
        </w:tc>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Before Stripe transaction fees</w:t>
            </w:r>
          </w:p>
        </w:tc>
      </w:tr>
    </w:tbl>
    <w:p>
      <w:pPr>
        <w:spacing w:before="320" w:after="160"/>
      </w:pPr>
      <w:r>
        <w:rPr>
          <w:rFonts w:ascii="Arial" w:cs="Arial" w:eastAsia="Arial" w:hAnsi="Arial"/>
          <w:b/>
          <w:bCs/>
          <w:color w:val="1B9AAA"/>
          <w:sz w:val="26"/>
          <w:szCs w:val="26"/>
        </w:rPr>
        <w:t xml:space="preserve">3.2 Unit Economics</w:t>
      </w:r>
    </w:p>
    <w:p>
      <w:pPr>
        <w:spacing w:before="80" w:after="120" w:line="300"/>
      </w:pPr>
      <w:r>
        <w:rPr>
          <w:rFonts w:ascii="Arial" w:cs="Arial" w:eastAsia="Arial" w:hAnsi="Arial"/>
          <w:color w:val="4A5568"/>
          <w:sz w:val="21"/>
          <w:szCs w:val="21"/>
        </w:rPr>
        <w:t xml:space="preserve">At an average order value of $147, the economics are straightforward.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BD5E0" w:sz="1"/>
              <w:left w:val="single" w:color="CBD5E0" w:sz="1"/>
              <w:bottom w:val="single" w:color="CBD5E0" w:sz="1"/>
              <w:right w:val="single" w:color="CBD5E0" w:sz="1"/>
            </w:tcBorders>
            <w:shd w:fill="0D1B2A" w:val="clear"/>
            <w:tcMar>
              <w:top w:type="dxa" w:w="80"/>
              <w:left w:type="dxa" w:w="120"/>
              <w:bottom w:type="dxa" w:w="80"/>
              <w:right w:type="dxa" w:w="120"/>
            </w:tcMar>
          </w:tcPr>
          <w:p>
            <w:r>
              <w:rPr>
                <w:rFonts w:ascii="Arial" w:cs="Arial" w:eastAsia="Arial" w:hAnsi="Arial"/>
                <w:b/>
                <w:bCs/>
                <w:color w:val="FFFFFF"/>
                <w:sz w:val="19"/>
                <w:szCs w:val="19"/>
              </w:rPr>
              <w:t xml:space="preserve">Metric</w:t>
            </w:r>
          </w:p>
        </w:tc>
        <w:tc>
          <w:tcPr>
            <w:tcW w:type="dxa" w:w="4680"/>
            <w:tcBorders>
              <w:top w:val="single" w:color="CBD5E0" w:sz="1"/>
              <w:left w:val="single" w:color="CBD5E0" w:sz="1"/>
              <w:bottom w:val="single" w:color="CBD5E0" w:sz="1"/>
              <w:right w:val="single" w:color="CBD5E0" w:sz="1"/>
            </w:tcBorders>
            <w:shd w:fill="0D1B2A" w:val="clear"/>
            <w:tcMar>
              <w:top w:type="dxa" w:w="80"/>
              <w:left w:type="dxa" w:w="120"/>
              <w:bottom w:type="dxa" w:w="80"/>
              <w:right w:type="dxa" w:w="120"/>
            </w:tcMar>
          </w:tcPr>
          <w:p>
            <w:r>
              <w:rPr>
                <w:rFonts w:ascii="Arial" w:cs="Arial" w:eastAsia="Arial" w:hAnsi="Arial"/>
                <w:b/>
                <w:bCs/>
                <w:color w:val="FFFFFF"/>
                <w:sz w:val="19"/>
                <w:szCs w:val="19"/>
              </w:rPr>
              <w:t xml:space="preserve">Value</w:t>
            </w:r>
          </w:p>
        </w:tc>
      </w:tr>
      <w:tr>
        <w:tc>
          <w:tcPr>
            <w:tcW w:type="dxa" w:w="46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Average order value</w:t>
            </w:r>
          </w:p>
        </w:tc>
        <w:tc>
          <w:tcPr>
            <w:tcW w:type="dxa" w:w="46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$147</w:t>
            </w:r>
          </w:p>
        </w:tc>
      </w:tr>
      <w:tr>
        <w:tc>
          <w:tcPr>
            <w:tcW w:type="dxa" w:w="46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Stripe processing fee</w:t>
            </w:r>
          </w:p>
        </w:tc>
        <w:tc>
          <w:tcPr>
            <w:tcW w:type="dxa" w:w="46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$4.56 (3.1%)</w:t>
            </w:r>
          </w:p>
        </w:tc>
      </w:tr>
      <w:tr>
        <w:tc>
          <w:tcPr>
            <w:tcW w:type="dxa" w:w="46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API cost per deliverable</w:t>
            </w:r>
          </w:p>
        </w:tc>
        <w:tc>
          <w:tcPr>
            <w:tcW w:type="dxa" w:w="46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$1.50–$3.00</w:t>
            </w:r>
          </w:p>
        </w:tc>
      </w:tr>
      <w:tr>
        <w:tc>
          <w:tcPr>
            <w:tcW w:type="dxa" w:w="46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Gross margin per order</w:t>
            </w:r>
          </w:p>
        </w:tc>
        <w:tc>
          <w:tcPr>
            <w:tcW w:type="dxa" w:w="46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$139.44–$140.94 (94.9–95.9%)</w:t>
            </w:r>
          </w:p>
        </w:tc>
      </w:tr>
      <w:tr>
        <w:tc>
          <w:tcPr>
            <w:tcW w:type="dxa" w:w="46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Cost to acquire lead (audit + outreach)</w:t>
            </w:r>
          </w:p>
        </w:tc>
        <w:tc>
          <w:tcPr>
            <w:tcW w:type="dxa" w:w="46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$1.65</w:t>
            </w:r>
          </w:p>
        </w:tc>
      </w:tr>
      <w:tr>
        <w:tc>
          <w:tcPr>
            <w:tcW w:type="dxa" w:w="46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Leads needed per conversion (at 1% end-to-end)</w:t>
            </w:r>
          </w:p>
        </w:tc>
        <w:tc>
          <w:tcPr>
            <w:tcW w:type="dxa" w:w="46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100 audits = 1 sale</w:t>
            </w:r>
          </w:p>
        </w:tc>
      </w:tr>
      <w:tr>
        <w:tc>
          <w:tcPr>
            <w:tcW w:type="dxa" w:w="46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Customer acquisition cost</w:t>
            </w:r>
          </w:p>
        </w:tc>
        <w:tc>
          <w:tcPr>
            <w:tcW w:type="dxa" w:w="46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$165</w:t>
            </w:r>
          </w:p>
        </w:tc>
      </w:tr>
      <w:tr>
        <w:tc>
          <w:tcPr>
            <w:tcW w:type="dxa" w:w="46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LTV (avg. 2.3 purchases/customer)</w:t>
            </w:r>
          </w:p>
        </w:tc>
        <w:tc>
          <w:tcPr>
            <w:tcW w:type="dxa" w:w="46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$338</w:t>
            </w:r>
          </w:p>
        </w:tc>
      </w:tr>
      <w:tr>
        <w:tc>
          <w:tcPr>
            <w:tcW w:type="dxa" w:w="46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LTV:CAC ratio</w:t>
            </w:r>
          </w:p>
        </w:tc>
        <w:tc>
          <w:tcPr>
            <w:tcW w:type="dxa" w:w="46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2.05x (Month 3) → 4.1x (Month 12)</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1B9AAA" w:sz="6"/>
              <w:bottom w:val="none" w:sz="0"/>
              <w:right w:val="none" w:sz="0"/>
            </w:tcBorders>
            <w:shd w:fill="F0F4F8" w:val="clear"/>
            <w:tcMar>
              <w:top w:type="dxa" w:w="120"/>
              <w:left w:type="dxa" w:w="200"/>
              <w:bottom w:type="dxa" w:w="120"/>
              <w:right w:type="dxa" w:w="200"/>
            </w:tcMar>
          </w:tcPr>
          <w:p>
            <w:pPr>
              <w:spacing w:after="100"/>
            </w:pPr>
            <w:r>
              <w:rPr>
                <w:rFonts w:ascii="Arial" w:cs="Arial" w:eastAsia="Arial" w:hAnsi="Arial"/>
                <w:b/>
                <w:bCs/>
                <w:color w:val="1B9AAA"/>
                <w:sz w:val="22"/>
                <w:szCs w:val="22"/>
              </w:rPr>
              <w:t xml:space="preserve">Margin Advantage vs. Agency Model</w:t>
            </w:r>
          </w:p>
          <w:p>
            <w:pPr>
              <w:spacing w:before="40" w:after="40" w:line="280"/>
            </w:pPr>
            <w:r>
              <w:rPr>
                <w:rFonts w:ascii="Arial" w:cs="Arial" w:eastAsia="Arial" w:hAnsi="Arial"/>
                <w:color w:val="4A5568"/>
                <w:sz w:val="20"/>
                <w:szCs w:val="20"/>
              </w:rPr>
              <w:t xml:space="preserve">Brawn Media’s agency model runs at roughly 40–50% margin after labor and tool costs.</w:t>
            </w:r>
          </w:p>
          <w:p>
            <w:pPr>
              <w:spacing w:before="40" w:after="40" w:line="280"/>
            </w:pPr>
            <w:r>
              <w:rPr>
                <w:rFonts w:ascii="Arial" w:cs="Arial" w:eastAsia="Arial" w:hAnsi="Arial"/>
                <w:color w:val="4A5568"/>
                <w:sz w:val="20"/>
                <w:szCs w:val="20"/>
              </w:rPr>
              <w:t xml:space="preserve">LocalCatalyst’s à la carte model runs at 95%+ margin because the agents ARE the labor.</w:t>
            </w:r>
          </w:p>
          <w:p>
            <w:pPr>
              <w:spacing w:before="40" w:after="40" w:line="280"/>
            </w:pPr>
            <w:r>
              <w:rPr>
                <w:rFonts w:ascii="Arial" w:cs="Arial" w:eastAsia="Arial" w:hAnsi="Arial"/>
                <w:color w:val="4A5568"/>
                <w:sz w:val="20"/>
                <w:szCs w:val="20"/>
              </w:rPr>
              <w:t xml:space="preserve">At $10K/month revenue, the agency requires ~$5K in costs. The platform requires ~$500.</w:t>
            </w:r>
          </w:p>
          <w:p>
            <w:pPr>
              <w:spacing w:before="40" w:after="40" w:line="280"/>
            </w:pPr>
            <w:r>
              <w:rPr>
                <w:rFonts w:ascii="Arial" w:cs="Arial" w:eastAsia="Arial" w:hAnsi="Arial"/>
                <w:color w:val="4A5568"/>
                <w:sz w:val="20"/>
                <w:szCs w:val="20"/>
              </w:rPr>
              <w:t xml:space="preserve">This is the fundamental reason to make this transition.</w:t>
            </w:r>
          </w:p>
        </w:tc>
      </w:tr>
    </w:tbl>
    <w:p>
      <w:r>
        <w:br/>
      </w:r>
    </w:p>
    <w:p>
      <w:pPr>
        <w:pBdr>
          <w:bottom w:val="single" w:color="1B9AAA" w:sz="3" w:space="8"/>
        </w:pBdr>
        <w:spacing w:before="400" w:after="200"/>
      </w:pPr>
      <w:r>
        <w:rPr>
          <w:rFonts w:ascii="Arial" w:cs="Arial" w:eastAsia="Arial" w:hAnsi="Arial"/>
          <w:b/>
          <w:bCs/>
          <w:color w:val="0D1B2A"/>
          <w:sz w:val="32"/>
          <w:szCs w:val="32"/>
        </w:rPr>
        <w:t xml:space="preserve">Section 4: Implementation Roadmap</w:t>
      </w:r>
    </w:p>
    <w:p>
      <w:pPr>
        <w:spacing w:before="80" w:after="120" w:line="300"/>
      </w:pPr>
      <w:r>
        <w:rPr>
          <w:rFonts w:ascii="Arial" w:cs="Arial" w:eastAsia="Arial" w:hAnsi="Arial"/>
          <w:color w:val="4A5568"/>
          <w:sz w:val="21"/>
          <w:szCs w:val="21"/>
        </w:rPr>
        <w:t xml:space="preserve">This roadmap assumes the existing infrastructure is in place: OpenClaw operational, Silas Engine specs complete, WordPress site in development, Stripe integration in progress.</w:t>
      </w:r>
    </w:p>
    <w:p>
      <w:pPr>
        <w:spacing w:before="320" w:after="160"/>
      </w:pPr>
      <w:r>
        <w:rPr>
          <w:rFonts w:ascii="Arial" w:cs="Arial" w:eastAsia="Arial" w:hAnsi="Arial"/>
          <w:b/>
          <w:bCs/>
          <w:color w:val="1B9AAA"/>
          <w:sz w:val="26"/>
          <w:szCs w:val="26"/>
        </w:rPr>
        <w:t xml:space="preserve">Weeks 1–2: Foundation</w:t>
      </w:r>
    </w:p>
    <w:p>
      <w:pPr>
        <w:pStyle w:val="ListParagraph"/>
        <w:numPr>
          <w:ilvl w:val="0"/>
          <w:numId w:val="4"/>
        </w:numPr>
        <w:spacing w:before="40" w:after="40" w:line="280"/>
      </w:pPr>
      <w:r>
        <w:rPr>
          <w:rFonts w:ascii="Arial" w:cs="Arial" w:eastAsia="Arial" w:hAnsi="Arial"/>
          <w:color w:val="4A5568"/>
          <w:sz w:val="21"/>
          <w:szCs w:val="21"/>
        </w:rPr>
        <w:t xml:space="preserve">Finalize WooCommerce product catalog with all 10 core deliverables</w:t>
      </w:r>
    </w:p>
    <w:p>
      <w:pPr>
        <w:pStyle w:val="ListParagraph"/>
        <w:numPr>
          <w:ilvl w:val="0"/>
          <w:numId w:val="4"/>
        </w:numPr>
        <w:spacing w:before="40" w:after="40" w:line="280"/>
      </w:pPr>
      <w:r>
        <w:rPr>
          <w:rFonts w:ascii="Arial" w:cs="Arial" w:eastAsia="Arial" w:hAnsi="Arial"/>
          <w:color w:val="4A5568"/>
          <w:sz w:val="21"/>
          <w:szCs w:val="21"/>
        </w:rPr>
        <w:t xml:space="preserve">Build the personalized report landing page template (localcatalyst.ai/report/[slug])</w:t>
      </w:r>
    </w:p>
    <w:p>
      <w:pPr>
        <w:pStyle w:val="ListParagraph"/>
        <w:numPr>
          <w:ilvl w:val="0"/>
          <w:numId w:val="4"/>
        </w:numPr>
        <w:spacing w:before="40" w:after="40" w:line="280"/>
      </w:pPr>
      <w:r>
        <w:rPr>
          <w:rFonts w:ascii="Arial" w:cs="Arial" w:eastAsia="Arial" w:hAnsi="Arial"/>
          <w:color w:val="4A5568"/>
          <w:sz w:val="21"/>
          <w:szCs w:val="21"/>
        </w:rPr>
        <w:t xml:space="preserve">Set up WooCommerce-to-Archer webhook pipeline for automated fulfillment</w:t>
      </w:r>
    </w:p>
    <w:p>
      <w:pPr>
        <w:pStyle w:val="ListParagraph"/>
        <w:numPr>
          <w:ilvl w:val="0"/>
          <w:numId w:val="4"/>
        </w:numPr>
        <w:spacing w:before="40" w:after="40" w:line="280"/>
      </w:pPr>
      <w:r>
        <w:rPr>
          <w:rFonts w:ascii="Arial" w:cs="Arial" w:eastAsia="Arial" w:hAnsi="Arial"/>
          <w:color w:val="4A5568"/>
          <w:sz w:val="21"/>
          <w:szCs w:val="21"/>
        </w:rPr>
        <w:t xml:space="preserve">Configure dedicated outreach domain and begin warming</w:t>
      </w:r>
    </w:p>
    <w:p>
      <w:pPr>
        <w:pStyle w:val="ListParagraph"/>
        <w:numPr>
          <w:ilvl w:val="0"/>
          <w:numId w:val="4"/>
        </w:numPr>
        <w:spacing w:before="40" w:after="40" w:line="280"/>
      </w:pPr>
      <w:r>
        <w:rPr>
          <w:rFonts w:ascii="Arial" w:cs="Arial" w:eastAsia="Arial" w:hAnsi="Arial"/>
          <w:color w:val="4A5568"/>
          <w:sz w:val="21"/>
          <w:szCs w:val="21"/>
        </w:rPr>
        <w:t xml:space="preserve">Build the audit report PDF template in Scribe</w:t>
      </w:r>
    </w:p>
    <w:p>
      <w:pPr>
        <w:spacing w:before="320" w:after="160"/>
      </w:pPr>
      <w:r>
        <w:rPr>
          <w:rFonts w:ascii="Arial" w:cs="Arial" w:eastAsia="Arial" w:hAnsi="Arial"/>
          <w:b/>
          <w:bCs/>
          <w:color w:val="1B9AAA"/>
          <w:sz w:val="26"/>
          <w:szCs w:val="26"/>
        </w:rPr>
        <w:t xml:space="preserve">Weeks 3–4: Pipeline Activation</w:t>
      </w:r>
    </w:p>
    <w:p>
      <w:pPr>
        <w:pStyle w:val="ListParagraph"/>
        <w:numPr>
          <w:ilvl w:val="0"/>
          <w:numId w:val="4"/>
        </w:numPr>
        <w:spacing w:before="40" w:after="40" w:line="280"/>
      </w:pPr>
      <w:r>
        <w:rPr>
          <w:rFonts w:ascii="Arial" w:cs="Arial" w:eastAsia="Arial" w:hAnsi="Arial"/>
          <w:color w:val="4A5568"/>
          <w:sz w:val="21"/>
          <w:szCs w:val="21"/>
        </w:rPr>
        <w:t xml:space="preserve">Deploy Scout prospecting for first 3 target verticals in 2 test metros</w:t>
      </w:r>
    </w:p>
    <w:p>
      <w:pPr>
        <w:pStyle w:val="ListParagraph"/>
        <w:numPr>
          <w:ilvl w:val="0"/>
          <w:numId w:val="4"/>
        </w:numPr>
        <w:spacing w:before="40" w:after="40" w:line="280"/>
      </w:pPr>
      <w:r>
        <w:rPr>
          <w:rFonts w:ascii="Arial" w:cs="Arial" w:eastAsia="Arial" w:hAnsi="Arial"/>
          <w:color w:val="4A5568"/>
          <w:sz w:val="21"/>
          <w:szCs w:val="21"/>
        </w:rPr>
        <w:t xml:space="preserve">Generate first batch of 50 automated audits via Silas</w:t>
      </w:r>
    </w:p>
    <w:p>
      <w:pPr>
        <w:pStyle w:val="ListParagraph"/>
        <w:numPr>
          <w:ilvl w:val="0"/>
          <w:numId w:val="4"/>
        </w:numPr>
        <w:spacing w:before="40" w:after="40" w:line="280"/>
      </w:pPr>
      <w:r>
        <w:rPr>
          <w:rFonts w:ascii="Arial" w:cs="Arial" w:eastAsia="Arial" w:hAnsi="Arial"/>
          <w:color w:val="4A5568"/>
          <w:sz w:val="21"/>
          <w:szCs w:val="21"/>
        </w:rPr>
        <w:t xml:space="preserve">QA the audit reports: accuracy, branding, CTA links, deliverable mapping</w:t>
      </w:r>
    </w:p>
    <w:p>
      <w:pPr>
        <w:pStyle w:val="ListParagraph"/>
        <w:numPr>
          <w:ilvl w:val="0"/>
          <w:numId w:val="4"/>
        </w:numPr>
        <w:spacing w:before="40" w:after="40" w:line="280"/>
      </w:pPr>
      <w:r>
        <w:rPr>
          <w:rFonts w:ascii="Arial" w:cs="Arial" w:eastAsia="Arial" w:hAnsi="Arial"/>
          <w:color w:val="4A5568"/>
          <w:sz w:val="21"/>
          <w:szCs w:val="21"/>
        </w:rPr>
        <w:t xml:space="preserve">Send first outreach batch (25 emails) and measure open/click rates</w:t>
      </w:r>
    </w:p>
    <w:p>
      <w:pPr>
        <w:pStyle w:val="ListParagraph"/>
        <w:numPr>
          <w:ilvl w:val="0"/>
          <w:numId w:val="4"/>
        </w:numPr>
        <w:spacing w:before="40" w:after="40" w:line="280"/>
      </w:pPr>
      <w:r>
        <w:rPr>
          <w:rFonts w:ascii="Arial" w:cs="Arial" w:eastAsia="Arial" w:hAnsi="Arial"/>
          <w:color w:val="4A5568"/>
          <w:sz w:val="21"/>
          <w:szCs w:val="21"/>
        </w:rPr>
        <w:t xml:space="preserve">Monitor WooCommerce order flow end-to-end: purchase → Archer → fulfillment → delivery</w:t>
      </w:r>
    </w:p>
    <w:p>
      <w:pPr>
        <w:spacing w:before="320" w:after="160"/>
      </w:pPr>
      <w:r>
        <w:rPr>
          <w:rFonts w:ascii="Arial" w:cs="Arial" w:eastAsia="Arial" w:hAnsi="Arial"/>
          <w:b/>
          <w:bCs/>
          <w:color w:val="1B9AAA"/>
          <w:sz w:val="26"/>
          <w:szCs w:val="26"/>
        </w:rPr>
        <w:t xml:space="preserve">Weeks 5–8: Optimization &amp; Scale</w:t>
      </w:r>
    </w:p>
    <w:p>
      <w:pPr>
        <w:pStyle w:val="ListParagraph"/>
        <w:numPr>
          <w:ilvl w:val="0"/>
          <w:numId w:val="4"/>
        </w:numPr>
        <w:spacing w:before="40" w:after="40" w:line="280"/>
      </w:pPr>
      <w:r>
        <w:rPr>
          <w:rFonts w:ascii="Arial" w:cs="Arial" w:eastAsia="Arial" w:hAnsi="Arial"/>
          <w:color w:val="4A5568"/>
          <w:sz w:val="21"/>
          <w:szCs w:val="21"/>
        </w:rPr>
        <w:t xml:space="preserve">A/B test email subject lines, audit report format, and CTA placement</w:t>
      </w:r>
    </w:p>
    <w:p>
      <w:pPr>
        <w:pStyle w:val="ListParagraph"/>
        <w:numPr>
          <w:ilvl w:val="0"/>
          <w:numId w:val="4"/>
        </w:numPr>
        <w:spacing w:before="40" w:after="40" w:line="280"/>
      </w:pPr>
      <w:r>
        <w:rPr>
          <w:rFonts w:ascii="Arial" w:cs="Arial" w:eastAsia="Arial" w:hAnsi="Arial"/>
          <w:color w:val="4A5568"/>
          <w:sz w:val="21"/>
          <w:szCs w:val="21"/>
        </w:rPr>
        <w:t xml:space="preserve">Increase outreach volume to 50/week based on deliverability metrics</w:t>
      </w:r>
    </w:p>
    <w:p>
      <w:pPr>
        <w:pStyle w:val="ListParagraph"/>
        <w:numPr>
          <w:ilvl w:val="0"/>
          <w:numId w:val="4"/>
        </w:numPr>
        <w:spacing w:before="40" w:after="40" w:line="280"/>
      </w:pPr>
      <w:r>
        <w:rPr>
          <w:rFonts w:ascii="Arial" w:cs="Arial" w:eastAsia="Arial" w:hAnsi="Arial"/>
          <w:color w:val="4A5568"/>
          <w:sz w:val="21"/>
          <w:szCs w:val="21"/>
        </w:rPr>
        <w:t xml:space="preserve">Build the 30-day re-audit automation and progress report template</w:t>
      </w:r>
    </w:p>
    <w:p>
      <w:pPr>
        <w:pStyle w:val="ListParagraph"/>
        <w:numPr>
          <w:ilvl w:val="0"/>
          <w:numId w:val="4"/>
        </w:numPr>
        <w:spacing w:before="40" w:after="40" w:line="280"/>
      </w:pPr>
      <w:r>
        <w:rPr>
          <w:rFonts w:ascii="Arial" w:cs="Arial" w:eastAsia="Arial" w:hAnsi="Arial"/>
          <w:color w:val="4A5568"/>
          <w:sz w:val="21"/>
          <w:szCs w:val="21"/>
        </w:rPr>
        <w:t xml:space="preserve">Implement referral tracking via WooCommerce coupon system</w:t>
      </w:r>
    </w:p>
    <w:p>
      <w:pPr>
        <w:pStyle w:val="ListParagraph"/>
        <w:numPr>
          <w:ilvl w:val="0"/>
          <w:numId w:val="4"/>
        </w:numPr>
        <w:spacing w:before="40" w:after="40" w:line="280"/>
      </w:pPr>
      <w:r>
        <w:rPr>
          <w:rFonts w:ascii="Arial" w:cs="Arial" w:eastAsia="Arial" w:hAnsi="Arial"/>
          <w:color w:val="4A5568"/>
          <w:sz w:val="21"/>
          <w:szCs w:val="21"/>
        </w:rPr>
        <w:t xml:space="preserve">Review conversion data and adjust pricing/packaging as needed</w:t>
      </w:r>
    </w:p>
    <w:p>
      <w:pPr>
        <w:spacing w:before="320" w:after="160"/>
      </w:pPr>
      <w:r>
        <w:rPr>
          <w:rFonts w:ascii="Arial" w:cs="Arial" w:eastAsia="Arial" w:hAnsi="Arial"/>
          <w:b/>
          <w:bCs/>
          <w:color w:val="1B9AAA"/>
          <w:sz w:val="26"/>
          <w:szCs w:val="26"/>
        </w:rPr>
        <w:t xml:space="preserve">Weeks 9–12: Growth Mode</w:t>
      </w:r>
    </w:p>
    <w:p>
      <w:pPr>
        <w:pStyle w:val="ListParagraph"/>
        <w:numPr>
          <w:ilvl w:val="0"/>
          <w:numId w:val="4"/>
        </w:numPr>
        <w:spacing w:before="40" w:after="40" w:line="280"/>
      </w:pPr>
      <w:r>
        <w:rPr>
          <w:rFonts w:ascii="Arial" w:cs="Arial" w:eastAsia="Arial" w:hAnsi="Arial"/>
          <w:color w:val="4A5568"/>
          <w:sz w:val="21"/>
          <w:szCs w:val="21"/>
        </w:rPr>
        <w:t xml:space="preserve">Scale to 150 audits/week across 5+ verticals and 4+ metros</w:t>
      </w:r>
    </w:p>
    <w:p>
      <w:pPr>
        <w:pStyle w:val="ListParagraph"/>
        <w:numPr>
          <w:ilvl w:val="0"/>
          <w:numId w:val="4"/>
        </w:numPr>
        <w:spacing w:before="40" w:after="40" w:line="280"/>
      </w:pPr>
      <w:r>
        <w:rPr>
          <w:rFonts w:ascii="Arial" w:cs="Arial" w:eastAsia="Arial" w:hAnsi="Arial"/>
          <w:color w:val="4A5568"/>
          <w:sz w:val="21"/>
          <w:szCs w:val="21"/>
        </w:rPr>
        <w:t xml:space="preserve">Launch first industry-specific bundle based on purchase pattern data</w:t>
      </w:r>
    </w:p>
    <w:p>
      <w:pPr>
        <w:pStyle w:val="ListParagraph"/>
        <w:numPr>
          <w:ilvl w:val="0"/>
          <w:numId w:val="4"/>
        </w:numPr>
        <w:spacing w:before="40" w:after="40" w:line="280"/>
      </w:pPr>
      <w:r>
        <w:rPr>
          <w:rFonts w:ascii="Arial" w:cs="Arial" w:eastAsia="Arial" w:hAnsi="Arial"/>
          <w:color w:val="4A5568"/>
          <w:sz w:val="21"/>
          <w:szCs w:val="21"/>
        </w:rPr>
        <w:t xml:space="preserve">Evaluate white-label partnership opportunities with 2–3 agency contacts</w:t>
      </w:r>
    </w:p>
    <w:p>
      <w:pPr>
        <w:pStyle w:val="ListParagraph"/>
        <w:numPr>
          <w:ilvl w:val="0"/>
          <w:numId w:val="4"/>
        </w:numPr>
        <w:spacing w:before="40" w:after="40" w:line="280"/>
      </w:pPr>
      <w:r>
        <w:rPr>
          <w:rFonts w:ascii="Arial" w:cs="Arial" w:eastAsia="Arial" w:hAnsi="Arial"/>
          <w:color w:val="4A5568"/>
          <w:sz w:val="21"/>
          <w:szCs w:val="21"/>
        </w:rPr>
        <w:t xml:space="preserve">Build dashboard reporting for Cody to track pipeline metrics on dashboard.localcatalyst.ai</w:t>
      </w:r>
    </w:p>
    <w:p>
      <w:pPr>
        <w:pStyle w:val="ListParagraph"/>
        <w:numPr>
          <w:ilvl w:val="0"/>
          <w:numId w:val="4"/>
        </w:numPr>
        <w:spacing w:before="40" w:after="40" w:line="280"/>
      </w:pPr>
      <w:r>
        <w:rPr>
          <w:rFonts w:ascii="Arial" w:cs="Arial" w:eastAsia="Arial" w:hAnsi="Arial"/>
          <w:color w:val="4A5568"/>
          <w:sz w:val="21"/>
          <w:szCs w:val="21"/>
        </w:rPr>
        <w:t xml:space="preserve">Assess subscription tier feasibility based on repeat purchase rate</w:t>
      </w:r>
    </w:p>
    <w:p>
      <w:r>
        <w:br/>
      </w:r>
    </w:p>
    <w:p>
      <w:pPr>
        <w:pBdr>
          <w:bottom w:val="single" w:color="1B9AAA" w:sz="3" w:space="8"/>
        </w:pBdr>
        <w:spacing w:before="400" w:after="200"/>
      </w:pPr>
      <w:r>
        <w:rPr>
          <w:rFonts w:ascii="Arial" w:cs="Arial" w:eastAsia="Arial" w:hAnsi="Arial"/>
          <w:b/>
          <w:bCs/>
          <w:color w:val="0D1B2A"/>
          <w:sz w:val="32"/>
          <w:szCs w:val="32"/>
        </w:rPr>
        <w:t xml:space="preserve">Section 5: Risk Mitigation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BD5E0" w:sz="1"/>
              <w:left w:val="single" w:color="CBD5E0" w:sz="1"/>
              <w:bottom w:val="single" w:color="CBD5E0" w:sz="1"/>
              <w:right w:val="single" w:color="CBD5E0" w:sz="1"/>
            </w:tcBorders>
            <w:shd w:fill="0D1B2A" w:val="clear"/>
            <w:tcMar>
              <w:top w:type="dxa" w:w="80"/>
              <w:left w:type="dxa" w:w="120"/>
              <w:bottom w:type="dxa" w:w="80"/>
              <w:right w:type="dxa" w:w="120"/>
            </w:tcMar>
          </w:tcPr>
          <w:p>
            <w:r>
              <w:rPr>
                <w:rFonts w:ascii="Arial" w:cs="Arial" w:eastAsia="Arial" w:hAnsi="Arial"/>
                <w:b/>
                <w:bCs/>
                <w:color w:val="FFFFFF"/>
                <w:sz w:val="19"/>
                <w:szCs w:val="19"/>
              </w:rPr>
              <w:t xml:space="preserve">Risk</w:t>
            </w:r>
          </w:p>
        </w:tc>
        <w:tc>
          <w:tcPr>
            <w:tcW w:type="dxa" w:w="3120"/>
            <w:tcBorders>
              <w:top w:val="single" w:color="CBD5E0" w:sz="1"/>
              <w:left w:val="single" w:color="CBD5E0" w:sz="1"/>
              <w:bottom w:val="single" w:color="CBD5E0" w:sz="1"/>
              <w:right w:val="single" w:color="CBD5E0" w:sz="1"/>
            </w:tcBorders>
            <w:shd w:fill="0D1B2A" w:val="clear"/>
            <w:tcMar>
              <w:top w:type="dxa" w:w="80"/>
              <w:left w:type="dxa" w:w="120"/>
              <w:bottom w:type="dxa" w:w="80"/>
              <w:right w:type="dxa" w:w="120"/>
            </w:tcMar>
          </w:tcPr>
          <w:p>
            <w:r>
              <w:rPr>
                <w:rFonts w:ascii="Arial" w:cs="Arial" w:eastAsia="Arial" w:hAnsi="Arial"/>
                <w:b/>
                <w:bCs/>
                <w:color w:val="FFFFFF"/>
                <w:sz w:val="19"/>
                <w:szCs w:val="19"/>
              </w:rPr>
              <w:t xml:space="preserve">Impact</w:t>
            </w:r>
          </w:p>
        </w:tc>
        <w:tc>
          <w:tcPr>
            <w:tcW w:type="dxa" w:w="3120"/>
            <w:tcBorders>
              <w:top w:val="single" w:color="CBD5E0" w:sz="1"/>
              <w:left w:val="single" w:color="CBD5E0" w:sz="1"/>
              <w:bottom w:val="single" w:color="CBD5E0" w:sz="1"/>
              <w:right w:val="single" w:color="CBD5E0" w:sz="1"/>
            </w:tcBorders>
            <w:shd w:fill="0D1B2A" w:val="clear"/>
            <w:tcMar>
              <w:top w:type="dxa" w:w="80"/>
              <w:left w:type="dxa" w:w="120"/>
              <w:bottom w:type="dxa" w:w="80"/>
              <w:right w:type="dxa" w:w="120"/>
            </w:tcMar>
          </w:tcPr>
          <w:p>
            <w:r>
              <w:rPr>
                <w:rFonts w:ascii="Arial" w:cs="Arial" w:eastAsia="Arial" w:hAnsi="Arial"/>
                <w:b/>
                <w:bCs/>
                <w:color w:val="FFFFFF"/>
                <w:sz w:val="19"/>
                <w:szCs w:val="19"/>
              </w:rPr>
              <w:t xml:space="preserve">Mitigation</w:t>
            </w:r>
          </w:p>
        </w:tc>
      </w:tr>
      <w:tr>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Email deliverability issues</w:t>
            </w:r>
          </w:p>
        </w:tc>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High</w:t>
            </w:r>
          </w:p>
        </w:tc>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Dedicated sending domain, proper DKIM/DMARC/SPF, gradual volume ramp, clean list hygiene, real-time bounce monitoring</w:t>
            </w:r>
          </w:p>
        </w:tc>
      </w:tr>
      <w:tr>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Low conversion rates</w:t>
            </w:r>
          </w:p>
        </w:tc>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Medium</w:t>
            </w:r>
          </w:p>
        </w:tc>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Audit report A/B testing, pricing experiments, add video walkthroughs of audit findings, test phone follow-up for high-value leads</w:t>
            </w:r>
          </w:p>
        </w:tc>
      </w:tr>
      <w:tr>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Deliverable quality at scale</w:t>
            </w:r>
          </w:p>
        </w:tc>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High</w:t>
            </w:r>
          </w:p>
        </w:tc>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QA sampling protocol (review 10% of automated deliverables), customer feedback loop, Silas Engine spec compliance checks</w:t>
            </w:r>
          </w:p>
        </w:tc>
      </w:tr>
      <w:tr>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API cost spikes</w:t>
            </w:r>
          </w:p>
        </w:tc>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Medium</w:t>
            </w:r>
          </w:p>
        </w:tc>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Aggressive model routing: Scout on local LLMs, Silas bulk tasks on GPT-4o-mini, Claude reserved for high-reasoning fulfillment only</w:t>
            </w:r>
          </w:p>
        </w:tc>
      </w:tr>
      <w:tr>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Competitor replication</w:t>
            </w:r>
          </w:p>
        </w:tc>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Low</w:t>
            </w:r>
          </w:p>
        </w:tc>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Speed advantage from existing agent infrastructure. By the time competitors build similar systems, LocalCatalyst will have data moat from thousands of audits</w:t>
            </w:r>
          </w:p>
        </w:tc>
      </w:tr>
      <w:tr>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CAN-SPAM compliance</w:t>
            </w:r>
          </w:p>
        </w:tc>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High</w:t>
            </w:r>
          </w:p>
        </w:tc>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Legal review of email templates, automated unsubscribe handling, physical address in all outreach, opt-in confirmation for ongoing communication</w:t>
            </w:r>
          </w:p>
        </w:tc>
      </w:tr>
    </w:tbl>
    <w:p>
      <w:r>
        <w:br/>
      </w:r>
    </w:p>
    <w:p>
      <w:pPr>
        <w:pBdr>
          <w:bottom w:val="single" w:color="1B9AAA" w:sz="3" w:space="8"/>
        </w:pBdr>
        <w:spacing w:before="400" w:after="200"/>
      </w:pPr>
      <w:r>
        <w:rPr>
          <w:rFonts w:ascii="Arial" w:cs="Arial" w:eastAsia="Arial" w:hAnsi="Arial"/>
          <w:b/>
          <w:bCs/>
          <w:color w:val="0D1B2A"/>
          <w:sz w:val="32"/>
          <w:szCs w:val="32"/>
        </w:rPr>
        <w:t xml:space="preserve">Section 6: What Not to Do</w:t>
      </w:r>
    </w:p>
    <w:p>
      <w:pPr>
        <w:spacing w:before="80" w:after="120" w:line="300"/>
      </w:pPr>
      <w:r>
        <w:rPr>
          <w:rFonts w:ascii="Arial" w:cs="Arial" w:eastAsia="Arial" w:hAnsi="Arial"/>
          <w:color w:val="4A5568"/>
          <w:sz w:val="21"/>
          <w:szCs w:val="21"/>
        </w:rPr>
        <w:t xml:space="preserve">This section exists because the temptation to revert to the agency model will be strong, especially when early leads express interest in managed services.</w:t>
      </w:r>
    </w:p>
    <w:p>
      <w:pPr>
        <w:spacing w:before="80" w:after="120" w:line="300"/>
      </w:pPr>
      <w:r>
        <w:rPr>
          <w:rFonts w:ascii="Arial" w:cs="Arial" w:eastAsia="Arial" w:hAnsi="Arial"/>
          <w:b/>
          <w:bCs/>
          <w:color w:val="0D1B2A"/>
          <w:sz w:val="21"/>
          <w:szCs w:val="21"/>
        </w:rPr>
        <w:t xml:space="preserve">Do not offer retainers. </w:t>
      </w:r>
      <w:r>
        <w:rPr>
          <w:rFonts w:ascii="Arial" w:cs="Arial" w:eastAsia="Arial" w:hAnsi="Arial"/>
          <w:color w:val="4A5568"/>
          <w:sz w:val="21"/>
          <w:szCs w:val="21"/>
        </w:rPr>
        <w:t xml:space="preserve">Every prospect who asks for ongoing management gets redirected to the deliverable catalog or the future subscription tier. The moment you take on a retainer client through this pipeline, you’ve recreated Brawn Media under a different name.</w:t>
      </w:r>
    </w:p>
    <w:p>
      <w:pPr>
        <w:spacing w:before="80" w:after="120" w:line="300"/>
      </w:pPr>
      <w:r>
        <w:rPr>
          <w:rFonts w:ascii="Arial" w:cs="Arial" w:eastAsia="Arial" w:hAnsi="Arial"/>
          <w:b/>
          <w:bCs/>
          <w:color w:val="0D1B2A"/>
          <w:sz w:val="21"/>
          <w:szCs w:val="21"/>
        </w:rPr>
        <w:t xml:space="preserve">Do not build on Base44 or any third-party site builder. </w:t>
      </w:r>
      <w:r>
        <w:rPr>
          <w:rFonts w:ascii="Arial" w:cs="Arial" w:eastAsia="Arial" w:hAnsi="Arial"/>
          <w:color w:val="4A5568"/>
          <w:sz w:val="21"/>
          <w:szCs w:val="21"/>
        </w:rPr>
        <w:t xml:space="preserve">The original YouTube plan suggested Base44 at $160/month for mockup sites. Your WordPress stack already handles everything you need. Adding a second platform creates tool sprawl and recurring costs with no strategic value.</w:t>
      </w:r>
    </w:p>
    <w:p>
      <w:pPr>
        <w:spacing w:before="80" w:after="120" w:line="300"/>
      </w:pPr>
      <w:r>
        <w:rPr>
          <w:rFonts w:ascii="Arial" w:cs="Arial" w:eastAsia="Arial" w:hAnsi="Arial"/>
          <w:b/>
          <w:bCs/>
          <w:color w:val="0D1B2A"/>
          <w:sz w:val="21"/>
          <w:szCs w:val="21"/>
        </w:rPr>
        <w:t xml:space="preserve">Do not scale outreach before validating the conversion funnel. </w:t>
      </w:r>
      <w:r>
        <w:rPr>
          <w:rFonts w:ascii="Arial" w:cs="Arial" w:eastAsia="Arial" w:hAnsi="Arial"/>
          <w:color w:val="4A5568"/>
          <w:sz w:val="21"/>
          <w:szCs w:val="21"/>
        </w:rPr>
        <w:t xml:space="preserve">Send 25–50 emails in the first batch and track every metric before increasing volume. Scaling broken outreach just burns your sending domain.</w:t>
      </w:r>
    </w:p>
    <w:p>
      <w:pPr>
        <w:spacing w:before="80" w:after="120" w:line="300"/>
      </w:pPr>
      <w:r>
        <w:rPr>
          <w:rFonts w:ascii="Arial" w:cs="Arial" w:eastAsia="Arial" w:hAnsi="Arial"/>
          <w:b/>
          <w:bCs/>
          <w:color w:val="0D1B2A"/>
          <w:sz w:val="21"/>
          <w:szCs w:val="21"/>
        </w:rPr>
        <w:t xml:space="preserve">Do not manually fulfill orders. </w:t>
      </w:r>
      <w:r>
        <w:rPr>
          <w:rFonts w:ascii="Arial" w:cs="Arial" w:eastAsia="Arial" w:hAnsi="Arial"/>
          <w:color w:val="4A5568"/>
          <w:sz w:val="21"/>
          <w:szCs w:val="21"/>
        </w:rPr>
        <w:t xml:space="preserve">If the automation breaks, fix the automation. Do not step in and manually complete deliverables “just this once.” That path leads directly back to agency operations.</w:t>
      </w:r>
    </w:p>
    <w:p>
      <w:pPr>
        <w:spacing w:before="80" w:after="120" w:line="300"/>
      </w:pPr>
      <w:r>
        <w:rPr>
          <w:rFonts w:ascii="Arial" w:cs="Arial" w:eastAsia="Arial" w:hAnsi="Arial"/>
          <w:b/>
          <w:bCs/>
          <w:color w:val="0D1B2A"/>
          <w:sz w:val="21"/>
          <w:szCs w:val="21"/>
        </w:rPr>
        <w:t xml:space="preserve">Do not discount aggressively to close early sales. </w:t>
      </w:r>
      <w:r>
        <w:rPr>
          <w:rFonts w:ascii="Arial" w:cs="Arial" w:eastAsia="Arial" w:hAnsi="Arial"/>
          <w:color w:val="4A5568"/>
          <w:sz w:val="21"/>
          <w:szCs w:val="21"/>
        </w:rPr>
        <w:t xml:space="preserve">The prices in this plan are already positioned below what agencies charge. Discounting further trains customers to wait for deals and compresses margins that are your biggest strategic advantage.</w:t>
      </w:r>
    </w:p>
    <w:p>
      <w:r>
        <w:br/>
      </w:r>
    </w:p>
    <w:p>
      <w:pPr>
        <w:pBdr>
          <w:bottom w:val="single" w:color="1B9AAA" w:sz="3" w:space="8"/>
        </w:pBdr>
        <w:spacing w:before="400" w:after="200"/>
      </w:pPr>
      <w:r>
        <w:rPr>
          <w:rFonts w:ascii="Arial" w:cs="Arial" w:eastAsia="Arial" w:hAnsi="Arial"/>
          <w:b/>
          <w:bCs/>
          <w:color w:val="0D1B2A"/>
          <w:sz w:val="32"/>
          <w:szCs w:val="32"/>
        </w:rPr>
        <w:t xml:space="preserve">Next Steps</w:t>
      </w:r>
    </w:p>
    <w:p>
      <w:pPr>
        <w:spacing w:before="80" w:after="120" w:line="300"/>
      </w:pPr>
      <w:r>
        <w:rPr>
          <w:rFonts w:ascii="Arial" w:cs="Arial" w:eastAsia="Arial" w:hAnsi="Arial"/>
          <w:color w:val="4A5568"/>
          <w:sz w:val="21"/>
          <w:szCs w:val="21"/>
        </w:rPr>
        <w:t xml:space="preserve">This plan is ready to execute. The agents are built. The specs are written. The content is generated. The infrastructure is in development. What remains is connecting the pieces into the pipeline described above and running the first 50 audits.</w:t>
      </w:r>
    </w:p>
    <w:p>
      <w:pPr>
        <w:spacing w:before="80" w:after="120" w:line="300"/>
      </w:pPr>
      <w:r>
        <w:rPr>
          <w:rFonts w:ascii="Arial" w:cs="Arial" w:eastAsia="Arial" w:hAnsi="Arial"/>
          <w:color w:val="4A5568"/>
          <w:sz w:val="21"/>
          <w:szCs w:val="21"/>
        </w:rPr>
        <w:t xml:space="preserve">Recommended immediate actions:</w:t>
      </w:r>
    </w:p>
    <w:p>
      <w:pPr>
        <w:pStyle w:val="ListParagraph"/>
        <w:numPr>
          <w:ilvl w:val="0"/>
          <w:numId w:val="6"/>
        </w:numPr>
        <w:spacing w:before="60" w:after="60" w:line="300"/>
      </w:pPr>
      <w:r>
        <w:rPr>
          <w:rFonts w:ascii="Arial" w:cs="Arial" w:eastAsia="Arial" w:hAnsi="Arial"/>
          <w:color w:val="4A5568"/>
          <w:sz w:val="21"/>
          <w:szCs w:val="21"/>
        </w:rPr>
        <w:t xml:space="preserve">Finalize the WooCommerce product catalog and Stripe webhook integration</w:t>
      </w:r>
    </w:p>
    <w:p>
      <w:pPr>
        <w:pStyle w:val="ListParagraph"/>
        <w:numPr>
          <w:ilvl w:val="0"/>
          <w:numId w:val="6"/>
        </w:numPr>
        <w:spacing w:before="60" w:after="60" w:line="300"/>
      </w:pPr>
      <w:r>
        <w:rPr>
          <w:rFonts w:ascii="Arial" w:cs="Arial" w:eastAsia="Arial" w:hAnsi="Arial"/>
          <w:color w:val="4A5568"/>
          <w:sz w:val="21"/>
          <w:szCs w:val="21"/>
        </w:rPr>
        <w:t xml:space="preserve">Build the Scribe audit report PDF template with dynamic deliverable CTAs</w:t>
      </w:r>
    </w:p>
    <w:p>
      <w:pPr>
        <w:pStyle w:val="ListParagraph"/>
        <w:numPr>
          <w:ilvl w:val="0"/>
          <w:numId w:val="6"/>
        </w:numPr>
        <w:spacing w:before="60" w:after="60" w:line="300"/>
      </w:pPr>
      <w:r>
        <w:rPr>
          <w:rFonts w:ascii="Arial" w:cs="Arial" w:eastAsia="Arial" w:hAnsi="Arial"/>
          <w:color w:val="4A5568"/>
          <w:sz w:val="21"/>
          <w:szCs w:val="21"/>
        </w:rPr>
        <w:t xml:space="preserve">Configure Scout prospecting targets for the first 2 test metros and 3 verticals</w:t>
      </w:r>
    </w:p>
    <w:p>
      <w:pPr>
        <w:pStyle w:val="ListParagraph"/>
        <w:numPr>
          <w:ilvl w:val="0"/>
          <w:numId w:val="6"/>
        </w:numPr>
        <w:spacing w:before="60" w:after="60" w:line="300"/>
      </w:pPr>
      <w:r>
        <w:rPr>
          <w:rFonts w:ascii="Arial" w:cs="Arial" w:eastAsia="Arial" w:hAnsi="Arial"/>
          <w:color w:val="4A5568"/>
          <w:sz w:val="21"/>
          <w:szCs w:val="21"/>
        </w:rPr>
        <w:t xml:space="preserve">Set up the outreach domain and begin warming it while the catalog is finalized</w:t>
      </w:r>
    </w:p>
    <w:p>
      <w:pPr>
        <w:pStyle w:val="ListParagraph"/>
        <w:numPr>
          <w:ilvl w:val="0"/>
          <w:numId w:val="6"/>
        </w:numPr>
        <w:spacing w:before="60" w:after="60" w:line="300"/>
      </w:pPr>
      <w:r>
        <w:rPr>
          <w:rFonts w:ascii="Arial" w:cs="Arial" w:eastAsia="Arial" w:hAnsi="Arial"/>
          <w:color w:val="4A5568"/>
          <w:sz w:val="21"/>
          <w:szCs w:val="21"/>
        </w:rPr>
        <w:t xml:space="preserve">Run 10 manual test audits end-to-end to validate the full pipeline before automation</w:t>
      </w:r>
    </w:p>
    <w:p>
      <w:pPr>
        <w:spacing w:before="4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1B9AAA" w:sz="6"/>
              <w:bottom w:val="none" w:sz="0"/>
              <w:right w:val="none" w:sz="0"/>
            </w:tcBorders>
            <w:shd w:fill="F0F4F8" w:val="clear"/>
            <w:tcMar>
              <w:top w:type="dxa" w:w="120"/>
              <w:left w:type="dxa" w:w="200"/>
              <w:bottom w:type="dxa" w:w="120"/>
              <w:right w:type="dxa" w:w="200"/>
            </w:tcMar>
          </w:tcPr>
          <w:p>
            <w:pPr>
              <w:spacing w:after="100"/>
            </w:pPr>
            <w:r>
              <w:rPr>
                <w:rFonts w:ascii="Arial" w:cs="Arial" w:eastAsia="Arial" w:hAnsi="Arial"/>
                <w:b/>
                <w:bCs/>
                <w:color w:val="1B9AAA"/>
                <w:sz w:val="22"/>
                <w:szCs w:val="22"/>
              </w:rPr>
              <w:t xml:space="preserve">The Bottom Line</w:t>
            </w:r>
          </w:p>
          <w:p>
            <w:pPr>
              <w:spacing w:before="40" w:after="40" w:line="280"/>
            </w:pPr>
            <w:r>
              <w:rPr>
                <w:rFonts w:ascii="Arial" w:cs="Arial" w:eastAsia="Arial" w:hAnsi="Arial"/>
                <w:color w:val="4A5568"/>
                <w:sz w:val="20"/>
                <w:szCs w:val="20"/>
              </w:rPr>
              <w:t xml:space="preserve">You’ve already built the hardest parts: the agent system, the SEO expertise, the deliverable specs,</w:t>
            </w:r>
          </w:p>
          <w:p>
            <w:pPr>
              <w:spacing w:before="40" w:after="40" w:line="280"/>
            </w:pPr>
            <w:r>
              <w:rPr>
                <w:rFonts w:ascii="Arial" w:cs="Arial" w:eastAsia="Arial" w:hAnsi="Arial"/>
                <w:color w:val="4A5568"/>
                <w:sz w:val="20"/>
                <w:szCs w:val="20"/>
              </w:rPr>
              <w:t xml:space="preserve">and the content library. This plan is the commercial wrapper that turns all of that infrastructure</w:t>
            </w:r>
          </w:p>
          <w:p>
            <w:pPr>
              <w:spacing w:before="40" w:after="40" w:line="280"/>
            </w:pPr>
            <w:r>
              <w:rPr>
                <w:rFonts w:ascii="Arial" w:cs="Arial" w:eastAsia="Arial" w:hAnsi="Arial"/>
                <w:color w:val="4A5568"/>
                <w:sz w:val="20"/>
                <w:szCs w:val="20"/>
              </w:rPr>
              <w:t xml:space="preserve">into a revenue engine. The agency model trades time for money. This model trades automation for money.</w:t>
            </w:r>
          </w:p>
          <w:p>
            <w:pPr>
              <w:spacing w:before="40" w:after="40" w:line="280"/>
            </w:pPr>
            <w:r>
              <w:rPr>
                <w:rFonts w:ascii="Arial" w:cs="Arial" w:eastAsia="Arial" w:hAnsi="Arial"/>
                <w:color w:val="4A5568"/>
                <w:sz w:val="20"/>
                <w:szCs w:val="20"/>
              </w:rPr>
              <w:t xml:space="preserve">The ceiling on the first is your hours. The ceiling on the second is your pipeline volume.</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4A5568"/>
        <w:sz w:val="16"/>
        <w:szCs w:val="16"/>
      </w:rPr>
      <w:t xml:space="preserve">Page </w:t>
    </w:r>
    <w:r>
      <w:rPr>
        <w:rFonts w:ascii="Arial" w:cs="Arial" w:eastAsia="Arial" w:hAnsi="Arial"/>
        <w:color w:val="4A556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0" w:sz="1" w:space="4"/>
      </w:pBdr>
    </w:pPr>
    <w:r>
      <w:rPr>
        <w:rFonts w:ascii="Arial" w:cs="Arial" w:eastAsia="Arial" w:hAnsi="Arial"/>
        <w:i/>
        <w:iCs/>
        <w:color w:val="4A5568"/>
        <w:sz w:val="16"/>
        <w:szCs w:val="16"/>
      </w:rPr>
      <w:t xml:space="preserve">LocalCatalyst.ai Scaling Strategy</w:t>
    </w:r>
    <w:r>
      <w:ptab w:alignment="right" w:relativeTo="margin" w:leader="none"/>
    </w:r>
    <w:r>
      <w:rPr>
        <w:rFonts w:ascii="Arial" w:cs="Arial" w:eastAsia="Arial" w:hAnsi="Arial"/>
        <w:i/>
        <w:iCs/>
        <w:color w:val="4A5568"/>
        <w:sz w:val="16"/>
        <w:szCs w:val="16"/>
      </w:rPr>
      <w:t xml:space="preserve">Catalyst Digital LLC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5"/>
    <w:lvlOverride w:ilvl="0">
      <w:startOverride w:val="1"/>
    </w:lvlOverride>
  </w:num>
  <w:num w:numId="3">
    <w:abstractNumId w:val="6"/>
    <w:lvlOverride w:ilvl="0">
      <w:startOverride w:val="1"/>
    </w:lvlOverride>
  </w:num>
  <w:num w:numId="4">
    <w:abstractNumId w:val="2"/>
    <w:lvlOverride w:ilvl="0">
      <w:startOverride w:val="1"/>
    </w:lvlOverride>
  </w:num>
  <w:num w:numId="5">
    <w:abstractNumId w:val="8"/>
    <w:lvlOverride w:ilvl="0">
      <w:startOverride w:val="1"/>
    </w:lvlOverride>
  </w:num>
  <w:num w:numId="6">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2026-02-16T00:01:13.125Z</dcterms:created>
  <dcterms:modified xsi:type="dcterms:W3CDTF">2026-02-16T00:01:13.126Z</dcterms:modified>
</cp:coreProperties>
</file>

<file path=docProps/custom.xml><?xml version="1.0" encoding="utf-8"?>
<Properties xmlns="http://schemas.openxmlformats.org/officeDocument/2006/custom-properties" xmlns:vt="http://schemas.openxmlformats.org/officeDocument/2006/docPropsVTypes"/>
</file>