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51E7" w14:textId="246E76C0" w:rsidR="001D3EB3" w:rsidRDefault="001D3EB3" w:rsidP="001D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EB3">
        <w:rPr>
          <w:rStyle w:val="Heading1Char"/>
        </w:rPr>
        <w:t>Blue_Team_Course</w:t>
      </w:r>
      <w:proofErr w:type="spellEnd"/>
      <w:r w:rsidRPr="001D3EB3">
        <w:rPr>
          <w:rStyle w:val="Heading1Char"/>
        </w:rPr>
        <w:t xml:space="preserve"> Incident </w:t>
      </w:r>
      <w:proofErr w:type="spellStart"/>
      <w:r w:rsidRPr="001D3EB3">
        <w:rPr>
          <w:rStyle w:val="Heading1Char"/>
        </w:rPr>
        <w:t>response</w:t>
      </w:r>
      <w:proofErr w:type="spellEnd"/>
      <w:r w:rsidRPr="001D3EB3">
        <w:rPr>
          <w:rStyle w:val="Heading1Char"/>
        </w:rPr>
        <w:t xml:space="preserve"> notes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A3F868" w14:textId="77777777" w:rsidR="001D3EB3" w:rsidRDefault="001D3EB3" w:rsidP="001D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4F0F6" w14:textId="5E59E49B" w:rsidR="001D3EB3" w:rsidRPr="001D3EB3" w:rsidRDefault="001D3EB3" w:rsidP="001D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sz w:val="24"/>
          <w:szCs w:val="24"/>
        </w:rPr>
        <w:t>Incident</w:t>
      </w: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uses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respond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to and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a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cyber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attack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D9CE748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Incident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reactive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approach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closely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aligned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disaster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recovery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efforts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Responding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organized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manner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money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reducing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recovery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618DCB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9A061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incidents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but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become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incidents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A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anything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could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have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implication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such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causing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damage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disruption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incidents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have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resulted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damage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EDA77D6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Many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have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handling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computer-security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incidents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known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having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Incident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Plan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(IRP).  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Many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these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plans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based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NIST SP 800 61r2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guidelines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E343B56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sz w:val="24"/>
          <w:szCs w:val="24"/>
        </w:rPr>
        <w:t>Full </w:t>
      </w: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NIST</w:t>
      </w:r>
      <w:r w:rsidRPr="001D3EB3">
        <w:rPr>
          <w:rFonts w:ascii="Times New Roman" w:eastAsia="Times New Roman" w:hAnsi="Times New Roman" w:cs="Times New Roman"/>
          <w:sz w:val="24"/>
          <w:szCs w:val="24"/>
        </w:rPr>
        <w:t> publication: </w:t>
      </w:r>
      <w:hyperlink r:id="rId5" w:history="1">
        <w:r w:rsidRPr="001D3EB3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https://nvlpubs.nist.gov/nistpubs/SpecialPublications/NIST.SP.800-61r2.pdf</w:t>
        </w:r>
      </w:hyperlink>
    </w:p>
    <w:p w14:paraId="24D52FFB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E6C94" w14:textId="77777777" w:rsidR="001D3EB3" w:rsidRPr="001D3EB3" w:rsidRDefault="001D3EB3" w:rsidP="001D3EB3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</w:rPr>
      </w:pP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Important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Terms</w:t>
      </w:r>
      <w:proofErr w:type="spellEnd"/>
      <w:r w:rsidRPr="001D3EB3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</w:rPr>
        <w:t>:</w:t>
      </w:r>
    </w:p>
    <w:p w14:paraId="55B82CAD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6CA8F" w14:textId="316B27B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09CA73" wp14:editId="7A2325B9">
            <wp:extent cx="5715000" cy="2686050"/>
            <wp:effectExtent l="0" t="0" r="0" b="0"/>
            <wp:docPr id="2" name="Picture 2" descr="DMZ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MZ Conce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7E07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0C796" w14:textId="77777777" w:rsidR="001D3EB3" w:rsidRPr="001D3EB3" w:rsidRDefault="001D3EB3" w:rsidP="001D3EB3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Group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Policies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:</w:t>
      </w:r>
    </w:p>
    <w:p w14:paraId="1B956E55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A Group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Policy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collection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administrators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Microsoft Management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(MMC) Group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Policy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Editor.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GPO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associated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lastRenderedPageBreak/>
        <w:t>with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or more of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Active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containers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sites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domains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>, or 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organizational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units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OUs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EB66622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8FA1F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053F3" w14:textId="77777777" w:rsidR="001D3EB3" w:rsidRPr="001D3EB3" w:rsidRDefault="001D3EB3" w:rsidP="001D3EB3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Incident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Response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Life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Cycle</w:t>
      </w:r>
      <w:proofErr w:type="spellEnd"/>
    </w:p>
    <w:p w14:paraId="35415F34" w14:textId="690054CE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A86A5B" wp14:editId="50E7D5C2">
            <wp:extent cx="576072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2423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D08CF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reading: </w:t>
      </w:r>
      <w:hyperlink r:id="rId8" w:history="1">
        <w:r w:rsidRPr="001D3EB3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https://cybersecurity.att.com/resource-center/ebook/insider-guide-to-incident-response/incident-response-tools</w:t>
        </w:r>
      </w:hyperlink>
    </w:p>
    <w:p w14:paraId="2177F2F3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01099" w14:textId="77777777" w:rsidR="001D3EB3" w:rsidRPr="001D3EB3" w:rsidRDefault="001D3EB3" w:rsidP="001D3EB3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Basic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Wireshark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queries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 &amp;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filters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:</w:t>
      </w:r>
    </w:p>
    <w:p w14:paraId="2A797987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, 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tcp.port</w:t>
      </w:r>
      <w:proofErr w:type="spellEnd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 xml:space="preserve"> == 80 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displays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packets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have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 of 80 (HTTP), and 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tcp.window_size_value</w:t>
      </w:r>
      <w:proofErr w:type="spellEnd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 xml:space="preserve"> &gt;= 8000 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displays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TCP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packets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window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8000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bytes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over.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filter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chained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logical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including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and (&amp;&amp;)</w:t>
      </w: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 and </w:t>
      </w:r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(or/||)</w:t>
      </w: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to display TCP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packets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addressed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192.168.1.7,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ip.dst_host</w:t>
      </w:r>
      <w:proofErr w:type="spellEnd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 xml:space="preserve"> == 192.168.1.7 &amp;&amp; 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tcp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to display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either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NTP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traffic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UDP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traffic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/to port 20000,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ntp</w:t>
      </w:r>
      <w:proofErr w:type="spellEnd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 xml:space="preserve"> or 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udp.port</w:t>
      </w:r>
      <w:proofErr w:type="spellEnd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 xml:space="preserve"> == 20000</w:t>
      </w: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(!)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excludes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specific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packets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being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displayed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such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 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not</w:t>
      </w:r>
      <w:proofErr w:type="spellEnd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 xml:space="preserve"> ftp</w:t>
      </w: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to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exclude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FTP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packets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being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displayed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packet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list.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brackets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together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137EF83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C224C" w14:textId="77777777" w:rsidR="001D3EB3" w:rsidRPr="001D3EB3" w:rsidRDefault="001D3EB3" w:rsidP="001D3EB3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Windows Management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Instrumentation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:</w:t>
      </w:r>
    </w:p>
    <w:p w14:paraId="62EC8FCE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 Management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Instrumentation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(WMI)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 of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a Windows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system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 WMI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provides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 of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remote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computer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systems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remotely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execute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systems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uses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WMI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remote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hyperlink r:id="rId9" w:history="1"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24"/>
            <w:szCs w:val="24"/>
            <w:u w:val="single"/>
          </w:rPr>
          <w:t xml:space="preserve">Server </w:t>
        </w:r>
        <w:proofErr w:type="spellStart"/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24"/>
            <w:szCs w:val="24"/>
            <w:u w:val="single"/>
          </w:rPr>
          <w:t>Message</w:t>
        </w:r>
        <w:proofErr w:type="spellEnd"/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24"/>
            <w:szCs w:val="24"/>
            <w:u w:val="single"/>
          </w:rPr>
          <w:t xml:space="preserve"> </w:t>
        </w:r>
        <w:proofErr w:type="spellStart"/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24"/>
            <w:szCs w:val="24"/>
            <w:u w:val="single"/>
          </w:rPr>
          <w:t>Block</w:t>
        </w:r>
        <w:proofErr w:type="spellEnd"/>
      </w:hyperlink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 (SMB) and 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"https://en.wikipedia.org/wiki/Remote_procedure_call" </w:instrText>
      </w: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1D3EB3">
        <w:rPr>
          <w:rFonts w:ascii="Times New Roman" w:eastAsia="Times New Roman" w:hAnsi="Times New Roman" w:cs="Times New Roman"/>
          <w:b/>
          <w:bCs/>
          <w:color w:val="006E7E"/>
          <w:sz w:val="24"/>
          <w:szCs w:val="24"/>
          <w:u w:val="single"/>
        </w:rPr>
        <w:t>Remote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006E7E"/>
          <w:sz w:val="24"/>
          <w:szCs w:val="24"/>
          <w:u w:val="single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006E7E"/>
          <w:sz w:val="24"/>
          <w:szCs w:val="24"/>
          <w:u w:val="single"/>
        </w:rPr>
        <w:t>Procedure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006E7E"/>
          <w:sz w:val="24"/>
          <w:szCs w:val="24"/>
          <w:u w:val="single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006E7E"/>
          <w:sz w:val="24"/>
          <w:szCs w:val="24"/>
          <w:u w:val="single"/>
        </w:rPr>
        <w:t>Call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006E7E"/>
          <w:sz w:val="24"/>
          <w:szCs w:val="24"/>
          <w:u w:val="single"/>
        </w:rPr>
        <w:t xml:space="preserve"> Service</w:t>
      </w: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(RPCS). MITRE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states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organisations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should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monitor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WMI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Monitoring (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Sysmon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Sysinternals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could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monitor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IDs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855B5A4" w14:textId="77777777" w:rsidR="001D3EB3" w:rsidRPr="001D3EB3" w:rsidRDefault="001D3EB3" w:rsidP="001D3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24"/>
            <w:szCs w:val="24"/>
          </w:rPr>
          <w:t>Sysmon</w:t>
        </w:r>
        <w:proofErr w:type="spellEnd"/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24"/>
            <w:szCs w:val="24"/>
          </w:rPr>
          <w:t xml:space="preserve"> Event ID 19</w:t>
        </w:r>
      </w:hyperlink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WmiEventFilter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detected</w:t>
      </w:r>
      <w:proofErr w:type="spellEnd"/>
    </w:p>
    <w:p w14:paraId="7B262C51" w14:textId="77777777" w:rsidR="001D3EB3" w:rsidRPr="001D3EB3" w:rsidRDefault="001D3EB3" w:rsidP="001D3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24"/>
            <w:szCs w:val="24"/>
          </w:rPr>
          <w:t>Sysmon</w:t>
        </w:r>
        <w:proofErr w:type="spellEnd"/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24"/>
            <w:szCs w:val="24"/>
          </w:rPr>
          <w:t xml:space="preserve"> Event ID 20</w:t>
        </w:r>
      </w:hyperlink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WmiEventConsumer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detected</w:t>
      </w:r>
      <w:proofErr w:type="spellEnd"/>
    </w:p>
    <w:p w14:paraId="027F142B" w14:textId="77777777" w:rsidR="001D3EB3" w:rsidRPr="001D3EB3" w:rsidRDefault="001D3EB3" w:rsidP="001D3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24"/>
            <w:szCs w:val="24"/>
          </w:rPr>
          <w:t>Sysmon</w:t>
        </w:r>
        <w:proofErr w:type="spellEnd"/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24"/>
            <w:szCs w:val="24"/>
          </w:rPr>
          <w:t xml:space="preserve"> Event ID 21</w:t>
        </w:r>
      </w:hyperlink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WmiEventConsumerToFilter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detected</w:t>
      </w:r>
      <w:proofErr w:type="spellEnd"/>
    </w:p>
    <w:p w14:paraId="60356918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DB5C1" w14:textId="77777777" w:rsidR="001D3EB3" w:rsidRPr="001D3EB3" w:rsidRDefault="001D3EB3" w:rsidP="001D3EB3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hyperlink r:id="rId13" w:history="1"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30"/>
            <w:szCs w:val="30"/>
            <w:u w:val="single"/>
          </w:rPr>
          <w:t xml:space="preserve">LSASS </w:t>
        </w:r>
        <w:proofErr w:type="spellStart"/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30"/>
            <w:szCs w:val="30"/>
            <w:u w:val="single"/>
          </w:rPr>
          <w:t>Memory</w:t>
        </w:r>
        <w:proofErr w:type="spellEnd"/>
        <w:r w:rsidRPr="001D3EB3">
          <w:rPr>
            <w:rFonts w:ascii="Times New Roman" w:eastAsia="Times New Roman" w:hAnsi="Times New Roman" w:cs="Times New Roman"/>
            <w:b/>
            <w:bCs/>
            <w:color w:val="006E7E"/>
            <w:sz w:val="30"/>
            <w:szCs w:val="30"/>
            <w:u w:val="single"/>
          </w:rPr>
          <w:t xml:space="preserve"> – T1003.1:</w:t>
        </w:r>
      </w:hyperlink>
    </w:p>
    <w:p w14:paraId="35029D82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Authority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Subsystem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(LSASS).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user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logs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onto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Windows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their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stored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LSASS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accessed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a SYSTEM-level user.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adversary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account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able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dump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everything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LSASS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brute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force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hashes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retrieve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plaintext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versions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dumping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programs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such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Mimikatz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do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0614963" w14:textId="77777777" w:rsidR="001D3EB3" w:rsidRPr="001D3EB3" w:rsidRDefault="001D3EB3" w:rsidP="001D3EB3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Useful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 CMD &amp;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PowerShell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commands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:</w:t>
      </w:r>
    </w:p>
    <w:p w14:paraId="6F49278A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ECB66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wmic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get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executablepath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-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will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display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running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associated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was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executed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F4DE20A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net user - 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prints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a list of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</w:p>
    <w:p w14:paraId="19E59F9B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net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localgroup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administrators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prints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administrators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(or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whatever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specified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28CE75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query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| more</w:t>
      </w:r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services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52D7A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  -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prints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ports</w:t>
      </w:r>
      <w:proofErr w:type="spellEnd"/>
    </w:p>
    <w:p w14:paraId="092E8C66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CC7D2" w14:textId="77777777" w:rsidR="001D3EB3" w:rsidRPr="001D3EB3" w:rsidRDefault="001D3EB3" w:rsidP="001D3EB3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PowerShell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:</w:t>
      </w:r>
    </w:p>
    <w:p w14:paraId="201AA7EC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8BA0A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5D90B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Get-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NetIPConfiguration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Get-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NetIPAddress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-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network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related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info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943272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Get-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LocalUser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Get-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LocalUser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BTLO |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</w:t>
      </w:r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-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use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specific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username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list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every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property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wildcard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*</w:t>
      </w:r>
    </w:p>
    <w:p w14:paraId="126002C7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Get-Service |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 -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eq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Running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 |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Out-GridView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-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above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command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let’s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us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quickly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identify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running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services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system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By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piping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 | )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command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Out-GridView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are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telling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PowerShell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show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us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results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a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nice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windows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which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much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easier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work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than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outputting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results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PowerShell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window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8574B16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Get-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|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-Table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priority</w:t>
      </w:r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-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Another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great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command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ability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group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running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processes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by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their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priority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Using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above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command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see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ID (PID), and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other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where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different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priority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ratings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are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grouped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into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tables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7E846B6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Get-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-Id '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idhere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' | 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</w:t>
      </w:r>
      <w:r w:rsidRPr="001D3EB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- 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collect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specific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service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by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including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command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(-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namehere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’) or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Id, as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shown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above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below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Piping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*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provides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us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properties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4ED850A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Get-</w:t>
      </w:r>
      <w:proofErr w:type="spellStart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ScheduledTask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 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Similar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Services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Scheduled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Tasks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are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often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abused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utilized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persistence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technique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above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command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we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list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tasks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that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are set to run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after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certain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>conditions</w:t>
      </w:r>
      <w:proofErr w:type="spellEnd"/>
      <w:r w:rsidRPr="001D3E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are met.</w:t>
      </w:r>
    </w:p>
    <w:p w14:paraId="6715B110" w14:textId="77777777" w:rsidR="001D3EB3" w:rsidRPr="001D3EB3" w:rsidRDefault="001D3EB3" w:rsidP="001D3EB3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DeepBlueCLI</w:t>
      </w:r>
      <w:proofErr w:type="spellEnd"/>
      <w:r w:rsidRPr="001D3EB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:</w:t>
      </w:r>
    </w:p>
    <w:p w14:paraId="4636AA40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wide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attacks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provided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relevant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Cringedows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logs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Sysmon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logs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2E2142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real-time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local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sys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logs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we'd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BEA9CF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 xml:space="preserve">./DeepBlue.ps1 -log 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security</w:t>
      </w:r>
      <w:proofErr w:type="spellEnd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 xml:space="preserve"> .\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path</w:t>
      </w:r>
      <w:proofErr w:type="spellEnd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\to\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an</w:t>
      </w:r>
      <w:proofErr w:type="spellEnd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\.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evtx</w:t>
      </w:r>
      <w:proofErr w:type="spellEnd"/>
    </w:p>
    <w:p w14:paraId="2B8532F5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 xml:space="preserve">./DeepBlue.ps1 -log </w:t>
      </w:r>
      <w:proofErr w:type="spellStart"/>
      <w:r w:rsidRPr="001D3EB3">
        <w:rPr>
          <w:rFonts w:ascii="Courier New" w:eastAsia="Times New Roman" w:hAnsi="Courier New" w:cs="Courier New"/>
          <w:b/>
          <w:bCs/>
          <w:sz w:val="20"/>
          <w:szCs w:val="20"/>
          <w:bdr w:val="single" w:sz="6" w:space="1" w:color="E9E9E9" w:frame="1"/>
          <w:shd w:val="clear" w:color="auto" w:fill="F5F5F5"/>
        </w:rPr>
        <w:t>system</w:t>
      </w:r>
      <w:proofErr w:type="spellEnd"/>
    </w:p>
    <w:p w14:paraId="3000A2CB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20BA8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t>guide</w:t>
      </w:r>
      <w:proofErr w:type="spellEnd"/>
      <w:r w:rsidRPr="001D3EB3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1D3EB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3EB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"https://www.cyberhuntingguide.net/deepbluecli-logs-powershell-free.html" \l ":~:text=DeepBlueCLI%20is%20a%20tool%20to%20log%20PowerShell%20events.,attacker%20can%20use%20these%20tools%20without%20being%20captured." </w:instrText>
      </w:r>
      <w:r w:rsidRPr="001D3EB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3EB3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DeepBlueCLI</w:t>
      </w:r>
      <w:proofErr w:type="spellEnd"/>
      <w:r w:rsidRPr="001D3EB3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(</w:t>
      </w:r>
      <w:proofErr w:type="spellStart"/>
      <w:r w:rsidRPr="001D3EB3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logs</w:t>
      </w:r>
      <w:proofErr w:type="spellEnd"/>
      <w:r w:rsidRPr="001D3EB3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</w:t>
      </w:r>
      <w:proofErr w:type="spellStart"/>
      <w:r w:rsidRPr="001D3EB3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Powershell</w:t>
      </w:r>
      <w:proofErr w:type="spellEnd"/>
      <w:r w:rsidRPr="001D3EB3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, </w:t>
      </w:r>
      <w:proofErr w:type="spellStart"/>
      <w:r w:rsidRPr="001D3EB3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free</w:t>
      </w:r>
      <w:proofErr w:type="spellEnd"/>
      <w:r w:rsidRPr="001D3EB3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) (cyberhuntingguide.net)</w:t>
      </w:r>
      <w:r w:rsidRPr="001D3EB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935F190" w14:textId="77777777" w:rsidR="001D3EB3" w:rsidRPr="001D3EB3" w:rsidRDefault="001D3EB3" w:rsidP="001D3EB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5F554" w14:textId="77777777" w:rsidR="001913F5" w:rsidRDefault="001913F5"/>
    <w:sectPr w:rsidR="00191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03EE"/>
    <w:multiLevelType w:val="multilevel"/>
    <w:tmpl w:val="F938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B3"/>
    <w:rsid w:val="001913F5"/>
    <w:rsid w:val="001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3D39"/>
  <w15:chartTrackingRefBased/>
  <w15:docId w15:val="{58AC567D-EF56-4FF8-91A2-BA642D6B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3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3E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3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EB3"/>
    <w:rPr>
      <w:b/>
      <w:bCs/>
    </w:rPr>
  </w:style>
  <w:style w:type="character" w:styleId="Emphasis">
    <w:name w:val="Emphasis"/>
    <w:basedOn w:val="DefaultParagraphFont"/>
    <w:uiPriority w:val="20"/>
    <w:qFormat/>
    <w:rsid w:val="001D3E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3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security.att.com/resource-center/ebook/insider-guide-to-incident-response/incident-response-tools" TargetMode="External"/><Relationship Id="rId13" Type="http://schemas.openxmlformats.org/officeDocument/2006/relationships/hyperlink" Target="https://attack.mitre.org/techniques/T1003/00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ultimatewindowssecurity.com/securitylog/encyclopedia/event.aspx?eventid=90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ultimatewindowssecurity.com/securitylog/encyclopedia/event.aspx?eventid=90020" TargetMode="External"/><Relationship Id="rId5" Type="http://schemas.openxmlformats.org/officeDocument/2006/relationships/hyperlink" Target="https://nvlpubs.nist.gov/nistpubs/SpecialPublications/NIST.SP.800-61r2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ltimatewindowssecurity.com/securitylog/encyclopedia/event.aspx?eventid=90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rver_Message_Blo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969</Words>
  <Characters>5527</Characters>
  <Application>Microsoft Office Word</Application>
  <DocSecurity>0</DocSecurity>
  <Lines>46</Lines>
  <Paragraphs>12</Paragraphs>
  <ScaleCrop>false</ScaleCrop>
  <Company>ESET, spol. s r.o.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Korba</dc:creator>
  <cp:keywords/>
  <dc:description/>
  <cp:lastModifiedBy>Peter Korba</cp:lastModifiedBy>
  <cp:revision>1</cp:revision>
  <dcterms:created xsi:type="dcterms:W3CDTF">2022-09-08T13:58:00Z</dcterms:created>
  <dcterms:modified xsi:type="dcterms:W3CDTF">2022-09-08T13:59:00Z</dcterms:modified>
</cp:coreProperties>
</file>