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AAF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09950" cy="8826500"/>
            <wp:effectExtent l="0" t="0" r="0" b="0"/>
            <wp:docPr id="1" name="图片 1" descr="保障检视详细流程步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保障检视详细流程步骤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82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E9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一、找资料</w:t>
      </w:r>
    </w:p>
    <w:p w14:paraId="446567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1.1 查客户信息（调用内网工具＋工具内部客户档案）</w:t>
      </w:r>
    </w:p>
    <w:p w14:paraId="78A7EC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1.2 查中银保信信息（调用内网工具）</w:t>
      </w:r>
    </w:p>
    <w:p w14:paraId="46C83FB8">
      <w:pPr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lang w:eastAsia="zh-CN"/>
        </w:rPr>
        <w:t>1.3 采集本次检视的触发场景（孤儿单／生命事件如生育购房换工作／年度例检／身边确诊等）——决定下游全部叙事调性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补充触发场景全集，及对应的各个触发场景和叙事调性</w:t>
      </w:r>
      <w:r>
        <w:rPr>
          <w:rFonts w:hint="eastAsia"/>
          <w:color w:val="FF0000"/>
          <w:highlight w:val="yellow"/>
          <w:lang w:eastAsia="zh-CN"/>
        </w:rPr>
        <w:t>】</w:t>
      </w:r>
      <w:r>
        <w:rPr>
          <w:rFonts w:hint="eastAsia"/>
          <w:color w:val="FF0000"/>
          <w:highlight w:val="yellow"/>
          <w:lang w:eastAsia="zh-CN"/>
        </w:rPr>
        <w:object>
          <v:shape id="_x0000_i1034" o:spt="75" type="#_x0000_t75" style="height:65.25pt;width:72.4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34" DrawAspect="Icon" ObjectID="_1468075725" r:id="rId5">
            <o:LockedField>false</o:LockedField>
          </o:OLEObject>
        </w:object>
      </w:r>
    </w:p>
    <w:p w14:paraId="18FC63F9">
      <w:pPr>
        <w:rPr>
          <w:rFonts w:hint="eastAsia"/>
          <w:color w:val="FF0000"/>
          <w:lang w:eastAsia="zh-CN"/>
        </w:rPr>
      </w:pPr>
      <w:r>
        <w:rPr>
          <w:rFonts w:hint="eastAsia" w:eastAsiaTheme="minorEastAsia"/>
          <w:lang w:eastAsia="zh-CN"/>
        </w:rPr>
        <w:t>1.4 根据已有信息向代理人确认，并引导补充关键信息；补充分两类字段：①精算所需字段（服务计算）②处境/心理字段（人生阶段、目标、风险态度、担忧点——服务后续客户分析与情境模拟）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补充所需全部字段及信息，包括字段清单、内容、重要程度等</w:t>
      </w:r>
      <w:r>
        <w:rPr>
          <w:rFonts w:hint="eastAsia"/>
          <w:color w:val="FF0000"/>
          <w:lang w:eastAsia="zh-CN"/>
        </w:rPr>
        <w:t>】</w:t>
      </w:r>
      <w:r>
        <w:rPr>
          <w:rFonts w:hint="eastAsia"/>
          <w:color w:val="FF0000"/>
          <w:lang w:eastAsia="zh-CN"/>
        </w:rPr>
        <w:br w:type="textWrapping"/>
      </w: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补充向代理人追问的策略，包括追问轮次数、追问字段优先级、每次追问内容规则等</w:t>
      </w:r>
      <w:r>
        <w:rPr>
          <w:rFonts w:hint="eastAsia"/>
          <w:color w:val="FF0000"/>
          <w:lang w:eastAsia="zh-CN"/>
        </w:rPr>
        <w:t>】</w:t>
      </w:r>
    </w:p>
    <w:p w14:paraId="7F528081">
      <w:pPr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object>
          <v:shape id="_x0000_i1026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7">
            <o:LockedField>false</o:LockedField>
          </o:OLEObject>
        </w:object>
      </w:r>
      <w:r>
        <w:rPr>
          <w:rFonts w:hint="eastAsia"/>
          <w:color w:val="auto"/>
          <w:highlight w:val="none"/>
          <w:lang w:val="en-US" w:eastAsia="zh-CN"/>
        </w:rPr>
        <w:t>接入内网工具，可优先关注“本设计”sheet，“自行计算”sheet用于参考客户信息字段设计</w:t>
      </w:r>
    </w:p>
    <w:p w14:paraId="0645B1A1">
      <w:pPr>
        <w:rPr>
          <w:rFonts w:hint="eastAsia" w:eastAsiaTheme="minorEastAsia"/>
          <w:lang w:eastAsia="zh-CN"/>
        </w:rPr>
      </w:pPr>
    </w:p>
    <w:p w14:paraId="16D302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二、算缺口（只算，不叙事）</w:t>
      </w:r>
    </w:p>
    <w:p w14:paraId="6B017E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2.1 直接调用公司内网保障检视缺口测算工具，得到唯一权威的六维数字（调用内网工具）</w:t>
      </w:r>
    </w:p>
    <w:p w14:paraId="77886578">
      <w:pPr>
        <w:rPr>
          <w:rFonts w:hint="eastAsia" w:eastAsiaTheme="minorEastAsia"/>
          <w:color w:val="588E32" w:themeColor="accent4" w:themeShade="BF"/>
          <w:lang w:eastAsia="zh-CN"/>
        </w:rPr>
      </w:pPr>
      <w:r>
        <w:rPr>
          <w:rFonts w:hint="eastAsia"/>
          <w:color w:val="588E32" w:themeColor="accent4" w:themeShade="BF"/>
          <w:lang w:eastAsia="zh-CN"/>
        </w:rPr>
        <w:t>【</w:t>
      </w:r>
      <w:r>
        <w:rPr>
          <w:rFonts w:hint="eastAsia"/>
          <w:color w:val="588E32" w:themeColor="accent4" w:themeShade="BF"/>
          <w:lang w:val="en-US" w:eastAsia="zh-CN"/>
        </w:rPr>
        <w:t>补充内网工具的输出样例、具体格式和含义等，</w:t>
      </w:r>
      <w:r>
        <w:rPr>
          <w:rFonts w:hint="eastAsia"/>
          <w:color w:val="588E32" w:themeColor="accent4" w:themeShade="BF"/>
          <w:lang w:val="en-US" w:eastAsia="zh-CN"/>
        </w:rPr>
        <w:object>
          <v:shape id="_x0000_i1027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9">
            <o:LockedField>false</o:LockedField>
          </o:OLEObject>
        </w:object>
      </w:r>
      <w:r>
        <w:rPr>
          <w:rFonts w:hint="eastAsia"/>
          <w:color w:val="588E32" w:themeColor="accent4" w:themeShade="BF"/>
          <w:lang w:eastAsia="zh-CN"/>
        </w:rPr>
        <w:t>】</w:t>
      </w:r>
    </w:p>
    <w:p w14:paraId="3F757275">
      <w:pPr>
        <w:rPr>
          <w:rFonts w:hint="eastAsia" w:eastAsiaTheme="minorEastAsia"/>
          <w:lang w:eastAsia="zh-CN"/>
        </w:rPr>
      </w:pPr>
    </w:p>
    <w:p w14:paraId="524432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三、固化诊断内核（不生成任何文字，只固化事实）</w:t>
      </w:r>
      <w:bookmarkStart w:id="0" w:name="_GoBack"/>
      <w:bookmarkEnd w:id="0"/>
    </w:p>
    <w:p w14:paraId="3C6880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3.1 固化六维数字、缺口项、保留项（一等输出，显性标注"这张保单很好/这项不必买/旧条款要保住"等）</w:t>
      </w:r>
    </w:p>
    <w:p w14:paraId="672DD905">
      <w:pPr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补充保障检视 skill逻辑、诊断内核判断逻辑等</w:t>
      </w:r>
      <w:r>
        <w:rPr>
          <w:rFonts w:hint="eastAsia"/>
          <w:color w:val="FF0000"/>
          <w:lang w:eastAsia="zh-CN"/>
        </w:rPr>
        <w:t>】</w:t>
      </w:r>
    </w:p>
    <w:p w14:paraId="1EABDEF0">
      <w:pPr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eastAsia="zh-CN"/>
        </w:rPr>
        <w:object>
          <v:shape id="_x0000_i1028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Word.Document.12" ShapeID="_x0000_i1028" DrawAspect="Icon" ObjectID="_1468075728" r:id="rId11">
            <o:LockedField>false</o:LockedField>
          </o:OLEObject>
        </w:object>
      </w:r>
      <w:r>
        <w:rPr>
          <w:rFonts w:hint="eastAsia"/>
          <w:color w:val="FF0000"/>
          <w:highlight w:val="none"/>
          <w:lang w:val="en-US" w:eastAsia="zh-CN"/>
        </w:rPr>
        <w:t>这是这一层的核心目的与逻辑，大模型输出的MD文件，可能和实际落地细节有偏差。所以，这是一份"为什么这么设计"的总述,不是"具体怎么做"的细节。细节会随落地变,但核心逻辑不该变。可以以核心目的为纲，参考MD文件调整。</w:t>
      </w:r>
    </w:p>
    <w:p w14:paraId="3DB5F4F8">
      <w:pPr>
        <w:rPr>
          <w:rFonts w:hint="default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eastAsia="zh-CN"/>
        </w:rPr>
        <w:object>
          <v:shape id="_x0000_i1029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Package" ShapeID="_x0000_i1029" DrawAspect="Icon" ObjectID="_1468075729" r:id="rId13">
            <o:LockedField>false</o:LockedField>
          </o:OLEObject>
        </w:object>
      </w:r>
      <w:r>
        <w:rPr>
          <w:rFonts w:hint="eastAsia"/>
          <w:color w:val="FF0000"/>
          <w:highlight w:val="none"/>
          <w:lang w:val="en-US" w:eastAsia="zh-CN"/>
        </w:rPr>
        <w:t>这是大模型输出的schema和设计文档</w:t>
      </w:r>
    </w:p>
    <w:p w14:paraId="37971541">
      <w:pPr>
        <w:rPr>
          <w:rFonts w:hint="default"/>
          <w:color w:val="FF0000"/>
          <w:lang w:val="en-US" w:eastAsia="zh-CN"/>
        </w:rPr>
      </w:pPr>
    </w:p>
    <w:p w14:paraId="47C7A17B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Theme="minorEastAsia"/>
          <w:lang w:eastAsia="zh-CN"/>
        </w:rPr>
        <w:t>3.2 确定缺口优先级排序＋判定客户类型（标准／高客，决定走收入替代线还是保单三角架构线）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补充优先级排序逻辑等，当前可依据模型自身能力跑通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】</w:t>
      </w:r>
    </w:p>
    <w:p w14:paraId="5B6D54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3.3 挂接触发场景，形成本次检视的完整事实底座——对内对外两份报告此后都是它的渲染，保证同源不漂移</w:t>
      </w:r>
    </w:p>
    <w:p w14:paraId="1AAA089D">
      <w:pPr>
        <w:rPr>
          <w:rFonts w:hint="eastAsia" w:eastAsiaTheme="minorEastAsia"/>
          <w:lang w:eastAsia="zh-CN"/>
        </w:rPr>
      </w:pPr>
    </w:p>
    <w:p w14:paraId="614E19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四、代理人复核闸门</w:t>
      </w:r>
    </w:p>
    <w:p w14:paraId="02614F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4.1 先出对内报告 → 代理人查看、调整、确认 → 再据此定稿对外报告（既是质控，也是对外准销售材料的合规责任落点）</w:t>
      </w:r>
    </w:p>
    <w:p w14:paraId="4BF21B17">
      <w:pPr>
        <w:rPr>
          <w:rFonts w:hint="eastAsia" w:eastAsiaTheme="minorEastAsia"/>
          <w:lang w:eastAsia="zh-CN"/>
        </w:rPr>
      </w:pPr>
    </w:p>
    <w:p w14:paraId="292FD3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五、生成对内报告（给代理人完整渲染）</w:t>
      </w:r>
    </w:p>
    <w:p w14:paraId="3DE361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5.1 客户分析（客户分析 skill）</w:t>
      </w:r>
    </w:p>
    <w:p w14:paraId="0FE6A48E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补充客户分析skill等，当前可依据模型自身能力跑通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】</w:t>
      </w:r>
    </w:p>
    <w:p w14:paraId="59D34B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5.2 测算明细：为内核里的数字选择一种推导框架呈现（生命价值法给上限锚、遗属需求法等；高客不适用此四法，走三角架构叙事）（保障检视 skill）</w:t>
      </w:r>
    </w:p>
    <w:p w14:paraId="04FDB632">
      <w:pPr>
        <w:rPr>
          <w:rFonts w:hint="eastAsia" w:eastAsiaTheme="minorEastAsia"/>
          <w:lang w:eastAsia="zh-CN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补充保障检视skill逻辑等</w:t>
      </w:r>
      <w:r>
        <w:rPr>
          <w:rFonts w:hint="eastAsia"/>
          <w:color w:val="FF0000"/>
          <w:lang w:eastAsia="zh-CN"/>
        </w:rPr>
        <w:t>】</w:t>
      </w:r>
      <w:r>
        <w:rPr>
          <w:rFonts w:hint="eastAsia"/>
          <w:color w:val="FF0000"/>
          <w:lang w:eastAsia="zh-CN"/>
        </w:rPr>
        <w:br w:type="textWrapping"/>
      </w:r>
      <w:r>
        <w:rPr>
          <w:rFonts w:hint="eastAsia"/>
          <w:color w:val="FF0000"/>
          <w:highlight w:val="yellow"/>
          <w:lang w:eastAsia="zh-CN"/>
        </w:rPr>
        <w:object>
          <v:shape id="_x0000_i1035" o:spt="75" type="#_x0000_t75" style="height:65.25pt;width:72.4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xcel.Sheet.12" ShapeID="_x0000_i1035" DrawAspect="Icon" ObjectID="_1468075730" r:id="rId15">
            <o:LockedField>false</o:LockedField>
          </o:OLEObject>
        </w:object>
      </w:r>
    </w:p>
    <w:p w14:paraId="17F6392E">
      <w:pPr>
        <w:rPr>
          <w:rFonts w:hint="eastAsia"/>
          <w:color w:val="FF0000"/>
          <w:highlight w:val="yellow"/>
          <w:lang w:eastAsia="zh-CN"/>
        </w:rPr>
      </w:pPr>
      <w:r>
        <w:rPr>
          <w:rFonts w:hint="eastAsia" w:eastAsiaTheme="minorEastAsia"/>
          <w:lang w:eastAsia="zh-CN"/>
        </w:rPr>
        <w:t>5.3 决策建议（缺口的轻重缓急与补足方向，哪一维最紧急、加保 / 新单 / 减额缴清 / 退保怎么决策、按什么顺序动、为什么）——不产出"买什么"，产品/预算/附加险留给方案推荐模块，合规闸门也留在那边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补充保障检视skill逻辑等</w:t>
      </w:r>
      <w:r>
        <w:rPr>
          <w:rFonts w:hint="eastAsia"/>
          <w:color w:val="FF0000"/>
          <w:lang w:eastAsia="zh-CN"/>
        </w:rPr>
        <w:t>】</w:t>
      </w:r>
      <w:r>
        <w:rPr>
          <w:rFonts w:hint="eastAsia"/>
          <w:color w:val="FF0000"/>
          <w:lang w:eastAsia="zh-CN"/>
        </w:rPr>
        <w:br w:type="textWrapping"/>
      </w:r>
      <w:r>
        <w:rPr>
          <w:rFonts w:hint="eastAsia"/>
          <w:color w:val="FF0000"/>
          <w:highlight w:val="yellow"/>
          <w:lang w:eastAsia="zh-CN"/>
        </w:rPr>
        <w:object>
          <v:shape id="_x0000_i1036" o:spt="75" type="#_x0000_t75" style="height:65.25pt;width:72.4pt;" o:ole="t" filled="f" o:preferrelative="t" stroked="f" coordsize="21600,21600"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xcel.Sheet.12" ShapeID="_x0000_i1036" DrawAspect="Icon" ObjectID="_1468075731" r:id="rId17">
            <o:LockedField>false</o:LockedField>
          </o:OLEObject>
        </w:object>
      </w:r>
    </w:p>
    <w:p w14:paraId="5C782C04">
      <w:pPr>
        <w:rPr>
          <w:rFonts w:hint="eastAsia"/>
          <w:color w:val="FF0000"/>
          <w:highlight w:val="yellow"/>
          <w:lang w:eastAsia="zh-CN"/>
        </w:rPr>
      </w:pPr>
    </w:p>
    <w:p w14:paraId="5EE7F06E">
      <w:pPr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eastAsia="zh-CN"/>
        </w:rPr>
        <w:object>
          <v:shape id="_x0000_i1037" o:spt="75" type="#_x0000_t75" style="height:65.25pt;width:72.4pt;" o:ole="t" filled="f" o:preferrelative="t" stroked="f" coordsize="21600,21600"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xcel.Sheet.12" ShapeID="_x0000_i1037" DrawAspect="Icon" ObjectID="_1468075732" r:id="rId19">
            <o:LockedField>false</o:LockedField>
          </o:OLEObject>
        </w:object>
      </w:r>
      <w:r>
        <w:rPr>
          <w:rFonts w:hint="eastAsia"/>
          <w:color w:val="FF0000"/>
          <w:highlight w:val="yellow"/>
          <w:lang w:val="en-US" w:eastAsia="zh-CN"/>
        </w:rPr>
        <w:t>与1.3、3.1、5.2、5.3做了一致性校验，整体关系映射结构总梳理。</w:t>
      </w:r>
    </w:p>
    <w:p w14:paraId="5D72B844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Theme="minorEastAsia"/>
          <w:lang w:eastAsia="zh-CN"/>
        </w:rPr>
        <w:t>5.4 面访目标计划（面访计划 skill）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补充面访计划skill等，当前可依据模型自身能力跑通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】</w:t>
      </w:r>
    </w:p>
    <w:p w14:paraId="2DDBF943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Theme="minorEastAsia"/>
          <w:lang w:eastAsia="zh-CN"/>
        </w:rPr>
        <w:t>5.5 面访话术（销售话术 skill）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补充销售话术skill等，当前可依据模型自身能力跑通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】</w:t>
      </w:r>
    </w:p>
    <w:p w14:paraId="555E48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5.6 异议处理（销售话术 skill）</w:t>
      </w:r>
    </w:p>
    <w:p w14:paraId="52438025">
      <w:pPr>
        <w:rPr>
          <w:rFonts w:hint="eastAsia" w:eastAsiaTheme="minor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【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补充销售话术skill等，当前可依据模型自身能力跑通</w:t>
      </w:r>
      <w:r>
        <w:rPr>
          <w:rFonts w:hint="eastAsia"/>
          <w:color w:val="4874CB" w:themeColor="accent1"/>
          <w:lang w:eastAsia="zh-CN"/>
          <w14:textFill>
            <w14:solidFill>
              <w14:schemeClr w14:val="accent1"/>
            </w14:solidFill>
          </w14:textFill>
        </w:rPr>
        <w:t>】</w:t>
      </w:r>
    </w:p>
    <w:p w14:paraId="45A59F5B">
      <w:pPr>
        <w:rPr>
          <w:rFonts w:hint="eastAsia"/>
          <w:lang w:val="en-US" w:eastAsia="zh-CN"/>
        </w:rPr>
      </w:pPr>
      <w:r>
        <w:rPr>
          <w:rFonts w:hint="eastAsia"/>
          <w:color w:val="588E32" w:themeColor="accent4" w:themeShade="BF"/>
          <w:lang w:eastAsia="zh-CN"/>
        </w:rPr>
        <w:t>【</w:t>
      </w:r>
      <w:r>
        <w:rPr>
          <w:rFonts w:hint="eastAsia"/>
          <w:color w:val="588E32" w:themeColor="accent4" w:themeShade="BF"/>
          <w:lang w:val="en-US" w:eastAsia="zh-CN"/>
        </w:rPr>
        <w:t>报告样例已有：</w:t>
      </w:r>
      <w:r>
        <w:rPr>
          <w:rFonts w:hint="eastAsia"/>
          <w:lang w:val="en-US" w:eastAsia="zh-CN"/>
        </w:rPr>
        <w:object>
          <v:shape id="_x0000_i1030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Package" ShapeID="_x0000_i1030" DrawAspect="Icon" ObjectID="_1468075733" r:id="rId21">
            <o:LockedField>false</o:LockedField>
          </o:OLEObject>
        </w:object>
      </w:r>
      <w:r>
        <w:rPr>
          <w:rFonts w:hint="eastAsia"/>
          <w:color w:val="588E32" w:themeColor="accent4" w:themeShade="BF"/>
          <w:lang w:val="en-US" w:eastAsia="zh-CN"/>
        </w:rPr>
        <w:t>】</w:t>
      </w:r>
    </w:p>
    <w:p w14:paraId="0F762841">
      <w:pPr>
        <w:rPr>
          <w:rFonts w:hint="eastAsia"/>
          <w:lang w:val="en-US" w:eastAsia="zh-CN"/>
        </w:rPr>
      </w:pPr>
    </w:p>
    <w:p w14:paraId="52025185">
      <w:pPr>
        <w:rPr>
          <w:rFonts w:hint="eastAsia"/>
          <w:lang w:val="en-US" w:eastAsia="zh-CN"/>
        </w:rPr>
      </w:pPr>
    </w:p>
    <w:p w14:paraId="558849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六、生成对外报告（给客户，内核的受控子集）</w:t>
      </w:r>
    </w:p>
    <w:p w14:paraId="0E98DD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6.1 保障检视诊断（渲染自内核）</w:t>
      </w:r>
    </w:p>
    <w:p w14:paraId="40B646B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6.2 检视后决策建议，显性包含保留项/不建议动、及5.3决策建议（渲染自内核）</w:t>
      </w:r>
    </w:p>
    <w:p w14:paraId="4C337B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6.3 情境模拟：必须锚定已算出的真实数字与真实条款（如"今天出事，钱从哪来、多久到、够撑几年"的推演链），不自由发挥、不夸大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color w:val="588E32" w:themeColor="accent4" w:themeShade="BF"/>
          <w:lang w:eastAsia="zh-CN"/>
        </w:rPr>
        <w:t>【</w:t>
      </w:r>
      <w:r>
        <w:rPr>
          <w:rFonts w:hint="eastAsia"/>
          <w:color w:val="588E32" w:themeColor="accent4" w:themeShade="BF"/>
          <w:lang w:val="en-US" w:eastAsia="zh-CN"/>
        </w:rPr>
        <w:t>报告样例已有：</w:t>
      </w:r>
      <w:r>
        <w:rPr>
          <w:rFonts w:hint="eastAsia"/>
          <w:lang w:val="en-US" w:eastAsia="zh-CN"/>
        </w:rPr>
        <w:object>
          <v:shape id="_x0000_i1031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Package" ShapeID="_x0000_i1031" DrawAspect="Icon" ObjectID="_1468075734" r:id="rId23">
            <o:LockedField>false</o:LockedField>
          </o:OLEObject>
        </w:object>
      </w:r>
      <w:r>
        <w:rPr>
          <w:rFonts w:hint="eastAsia"/>
          <w:color w:val="588E32" w:themeColor="accent4" w:themeShade="BF"/>
          <w:lang w:eastAsia="zh-CN"/>
        </w:rPr>
        <w:t>】</w:t>
      </w:r>
    </w:p>
    <w:p w14:paraId="0D9C1F55">
      <w:pPr>
        <w:rPr>
          <w:rFonts w:hint="eastAsia" w:eastAsiaTheme="minorEastAsia"/>
          <w:lang w:eastAsia="zh-CN"/>
        </w:rPr>
      </w:pPr>
    </w:p>
    <w:p w14:paraId="515EEC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七、贯穿全流程的输出规范（不是步骤，是属性）</w:t>
      </w:r>
    </w:p>
    <w:p w14:paraId="08A0D5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去 AI 味／有温度／降调，做成所有生成 skill 的统一输出契约（style 层），靠上游喂具体数字与真实话术素材实现，而非末端润色器。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br w:type="textWrapping"/>
      </w:r>
    </w:p>
    <w:p w14:paraId="564E723C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整体规划：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object>
          <v:shape id="_x0000_i1032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Word.Document.12" ShapeID="_x0000_i1032" DrawAspect="Icon" ObjectID="_1468075735" r:id="rId25">
            <o:LockedField>false</o:LockedField>
          </o:OLEObject>
        </w:object>
      </w:r>
    </w:p>
    <w:p w14:paraId="419B7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所需书籍：</w:t>
      </w:r>
    </w:p>
    <w:p w14:paraId="33CEA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3" o:spt="75" type="#_x0000_t75" style="height:65.25pt;width:72.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xcel.Sheet.12" ShapeID="_x0000_i1033" DrawAspect="Icon" ObjectID="_1468075736" r:id="rId2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D0283"/>
    <w:rsid w:val="20E65674"/>
    <w:rsid w:val="27A22014"/>
    <w:rsid w:val="28350F54"/>
    <w:rsid w:val="3981719A"/>
    <w:rsid w:val="43770EFE"/>
    <w:rsid w:val="476218A5"/>
    <w:rsid w:val="4CC4089B"/>
    <w:rsid w:val="4F907795"/>
    <w:rsid w:val="521E3449"/>
    <w:rsid w:val="7DAA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13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e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e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emf"/><Relationship Id="rId21" Type="http://schemas.openxmlformats.org/officeDocument/2006/relationships/oleObject" Target="embeddings/oleObject9.bin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emf"/><Relationship Id="rId17" Type="http://schemas.openxmlformats.org/officeDocument/2006/relationships/oleObject" Target="embeddings/oleObject7.bin"/><Relationship Id="rId16" Type="http://schemas.openxmlformats.org/officeDocument/2006/relationships/image" Target="media/image7.emf"/><Relationship Id="rId15" Type="http://schemas.openxmlformats.org/officeDocument/2006/relationships/oleObject" Target="embeddings/oleObject6.bin"/><Relationship Id="rId14" Type="http://schemas.openxmlformats.org/officeDocument/2006/relationships/image" Target="media/image6.emf"/><Relationship Id="rId13" Type="http://schemas.openxmlformats.org/officeDocument/2006/relationships/oleObject" Target="embeddings/oleObject5.bin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1359</Words>
  <Characters>1469</Characters>
  <Lines>0</Lines>
  <Paragraphs>0</Paragraphs>
  <TotalTime>6</TotalTime>
  <ScaleCrop>false</ScaleCrop>
  <LinksUpToDate>false</LinksUpToDate>
  <CharactersWithSpaces>1508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2026-07-13T07:14:00Z</dcterms:created>
  <dc:creator>linya</dc:creator>
  <cp:lastModifiedBy>FJ遥</cp:lastModifiedBy>
  <dcterms:modified xsi:type="dcterms:W3CDTF">2026-07-14T12:43:22Z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eyJoZGlkIjoiZGQ2MDUxMzM5YWZiZmI2MTllMWRhNGE1YzE2NTBiMjgiLCJ1c2VySWQiOiI1ODQxMjE1MjEifQ==</vt:lpwstr>
  </property>
  <property fmtid="{D5CDD505-2E9C-101B-9397-08002B2CF9AE}" pid="4" name="ICV">
    <vt:lpwstr>0D5B602BACFB4627A3D60EE35325197A_13</vt:lpwstr>
  </property>
</Properties>
</file>