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EMPOWERMENT </w:t>
      </w:r>
    </w:p>
    <w:p w:rsidR="00000000" w:rsidDel="00000000" w:rsidP="00000000" w:rsidRDefault="00000000" w:rsidRPr="00000000" w14:paraId="00000002">
      <w:pPr>
        <w:jc w:val="center"/>
        <w:rPr>
          <w:rFonts w:ascii="Times New Roman" w:cs="Times New Roman" w:eastAsia="Times New Roman" w:hAnsi="Times New Roman"/>
          <w:color w:val="666666"/>
          <w:sz w:val="28"/>
          <w:szCs w:val="28"/>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/ɛmˈpaʊəm(ə)nt/</w:t>
      </w:r>
    </w:p>
    <w:p w:rsidR="00000000" w:rsidDel="00000000" w:rsidP="00000000" w:rsidRDefault="00000000" w:rsidRPr="00000000" w14:paraId="00000003">
      <w:pPr>
        <w:jc w:val="center"/>
        <w:rPr>
          <w:rFonts w:ascii="Times New Roman" w:cs="Times New Roman" w:eastAsia="Times New Roman" w:hAnsi="Times New Roman"/>
          <w:color w:val="666666"/>
          <w:sz w:val="21"/>
          <w:szCs w:val="21"/>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color w:val="b7b7b7"/>
          <w:sz w:val="21"/>
          <w:szCs w:val="21"/>
          <w:highlight w:val="white"/>
        </w:rPr>
      </w:pPr>
      <w:r w:rsidDel="00000000" w:rsidR="00000000" w:rsidRPr="00000000">
        <w:rPr>
          <w:rFonts w:ascii="Times New Roman" w:cs="Times New Roman" w:eastAsia="Times New Roman" w:hAnsi="Times New Roman"/>
          <w:i w:val="1"/>
          <w:color w:val="b7b7b7"/>
          <w:sz w:val="21"/>
          <w:szCs w:val="21"/>
          <w:highlight w:val="white"/>
          <w:rtl w:val="0"/>
        </w:rPr>
        <w:t xml:space="preserve">Allowing others to take control of their environment, being participative without being opportunistic; something that is pro-active instead of re-active.  </w:t>
      </w:r>
    </w:p>
    <w:p w:rsidR="00000000" w:rsidDel="00000000" w:rsidP="00000000" w:rsidRDefault="00000000" w:rsidRPr="00000000" w14:paraId="00000005">
      <w:pPr>
        <w:jc w:val="both"/>
        <w:rPr>
          <w:rFonts w:ascii="Times New Roman" w:cs="Times New Roman" w:eastAsia="Times New Roman" w:hAnsi="Times New Roman"/>
          <w:color w:val="666666"/>
          <w:sz w:val="21"/>
          <w:szCs w:val="21"/>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An entrepreneurial hub for the people.  The concept of empowerment is targeted towards the entrepreneurial community of Maseru, Lesotho.  Through creating a hub that acts as a social catalyst, instigating </w:t>
      </w:r>
      <w:r w:rsidDel="00000000" w:rsidR="00000000" w:rsidRPr="00000000">
        <w:rPr>
          <w:rFonts w:ascii="Times New Roman" w:cs="Times New Roman" w:eastAsia="Times New Roman" w:hAnsi="Times New Roman"/>
          <w:b w:val="1"/>
          <w:color w:val="666666"/>
          <w:rtl w:val="0"/>
        </w:rPr>
        <w:t xml:space="preserve">experimentation</w:t>
      </w:r>
      <w:r w:rsidDel="00000000" w:rsidR="00000000" w:rsidRPr="00000000">
        <w:rPr>
          <w:rFonts w:ascii="Times New Roman" w:cs="Times New Roman" w:eastAsia="Times New Roman" w:hAnsi="Times New Roman"/>
          <w:color w:val="666666"/>
          <w:rtl w:val="0"/>
        </w:rPr>
        <w:t xml:space="preserve"> and </w:t>
      </w:r>
      <w:r w:rsidDel="00000000" w:rsidR="00000000" w:rsidRPr="00000000">
        <w:rPr>
          <w:rFonts w:ascii="Times New Roman" w:cs="Times New Roman" w:eastAsia="Times New Roman" w:hAnsi="Times New Roman"/>
          <w:b w:val="1"/>
          <w:color w:val="666666"/>
          <w:rtl w:val="0"/>
        </w:rPr>
        <w:t xml:space="preserve">knowledge exchange</w:t>
      </w:r>
      <w:r w:rsidDel="00000000" w:rsidR="00000000" w:rsidRPr="00000000">
        <w:rPr>
          <w:rFonts w:ascii="Times New Roman" w:cs="Times New Roman" w:eastAsia="Times New Roman" w:hAnsi="Times New Roman"/>
          <w:color w:val="666666"/>
          <w:rtl w:val="0"/>
        </w:rPr>
        <w:t xml:space="preserve">, it aims to </w:t>
      </w:r>
      <w:r w:rsidDel="00000000" w:rsidR="00000000" w:rsidRPr="00000000">
        <w:rPr>
          <w:rFonts w:ascii="Times New Roman" w:cs="Times New Roman" w:eastAsia="Times New Roman" w:hAnsi="Times New Roman"/>
          <w:b w:val="1"/>
          <w:color w:val="666666"/>
          <w:rtl w:val="0"/>
        </w:rPr>
        <w:t xml:space="preserve">unite </w:t>
      </w:r>
      <w:r w:rsidDel="00000000" w:rsidR="00000000" w:rsidRPr="00000000">
        <w:rPr>
          <w:rFonts w:ascii="Times New Roman" w:cs="Times New Roman" w:eastAsia="Times New Roman" w:hAnsi="Times New Roman"/>
          <w:color w:val="666666"/>
          <w:rtl w:val="0"/>
        </w:rPr>
        <w:t xml:space="preserve">people together and </w:t>
      </w:r>
      <w:r w:rsidDel="00000000" w:rsidR="00000000" w:rsidRPr="00000000">
        <w:rPr>
          <w:rFonts w:ascii="Times New Roman" w:cs="Times New Roman" w:eastAsia="Times New Roman" w:hAnsi="Times New Roman"/>
          <w:b w:val="1"/>
          <w:color w:val="666666"/>
          <w:rtl w:val="0"/>
        </w:rPr>
        <w:t xml:space="preserve">inspire </w:t>
      </w:r>
      <w:r w:rsidDel="00000000" w:rsidR="00000000" w:rsidRPr="00000000">
        <w:rPr>
          <w:rFonts w:ascii="Times New Roman" w:cs="Times New Roman" w:eastAsia="Times New Roman" w:hAnsi="Times New Roman"/>
          <w:color w:val="666666"/>
          <w:rtl w:val="0"/>
        </w:rPr>
        <w:t xml:space="preserve">each other, thus empowers them.  </w:t>
      </w:r>
    </w:p>
    <w:p w:rsidR="00000000" w:rsidDel="00000000" w:rsidP="00000000" w:rsidRDefault="00000000" w:rsidRPr="00000000" w14:paraId="00000007">
      <w:pPr>
        <w:jc w:val="both"/>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Upon further studying the context, it soon became prominent that the Basotho culture is oriented around men and rarely takes into consideration women, their perspectives and opinions, making them feel uncomfortable sharing their thoughts in front of men.  This is what was tackled, addressing </w:t>
      </w:r>
      <w:r w:rsidDel="00000000" w:rsidR="00000000" w:rsidRPr="00000000">
        <w:rPr>
          <w:rFonts w:ascii="Times New Roman" w:cs="Times New Roman" w:eastAsia="Times New Roman" w:hAnsi="Times New Roman"/>
          <w:b w:val="1"/>
          <w:color w:val="666666"/>
          <w:rtl w:val="0"/>
        </w:rPr>
        <w:t xml:space="preserve">both</w:t>
      </w:r>
      <w:r w:rsidDel="00000000" w:rsidR="00000000" w:rsidRPr="00000000">
        <w:rPr>
          <w:rFonts w:ascii="Times New Roman" w:cs="Times New Roman" w:eastAsia="Times New Roman" w:hAnsi="Times New Roman"/>
          <w:color w:val="666666"/>
          <w:rtl w:val="0"/>
        </w:rPr>
        <w:t xml:space="preserve"> men and women to provide them with </w:t>
      </w:r>
      <w:r w:rsidDel="00000000" w:rsidR="00000000" w:rsidRPr="00000000">
        <w:rPr>
          <w:rFonts w:ascii="Times New Roman" w:cs="Times New Roman" w:eastAsia="Times New Roman" w:hAnsi="Times New Roman"/>
          <w:b w:val="1"/>
          <w:color w:val="666666"/>
          <w:rtl w:val="0"/>
        </w:rPr>
        <w:t xml:space="preserve">equal opportunitie</w:t>
      </w:r>
      <w:r w:rsidDel="00000000" w:rsidR="00000000" w:rsidRPr="00000000">
        <w:rPr>
          <w:rFonts w:ascii="Times New Roman" w:cs="Times New Roman" w:eastAsia="Times New Roman" w:hAnsi="Times New Roman"/>
          <w:color w:val="666666"/>
          <w:rtl w:val="0"/>
        </w:rPr>
        <w:t xml:space="preserve">s.  </w:t>
      </w:r>
    </w:p>
    <w:p w:rsidR="00000000" w:rsidDel="00000000" w:rsidP="00000000" w:rsidRDefault="00000000" w:rsidRPr="00000000" w14:paraId="00000009">
      <w:pPr>
        <w:jc w:val="both"/>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The idea behind the hub was established through creating an architecture whose physical fabric constitutes a hug, </w:t>
      </w:r>
      <w:r w:rsidDel="00000000" w:rsidR="00000000" w:rsidRPr="00000000">
        <w:rPr>
          <w:rFonts w:ascii="Times New Roman" w:cs="Times New Roman" w:eastAsia="Times New Roman" w:hAnsi="Times New Roman"/>
          <w:b w:val="1"/>
          <w:color w:val="666666"/>
          <w:rtl w:val="0"/>
        </w:rPr>
        <w:t xml:space="preserve">protecting</w:t>
      </w:r>
      <w:r w:rsidDel="00000000" w:rsidR="00000000" w:rsidRPr="00000000">
        <w:rPr>
          <w:rFonts w:ascii="Times New Roman" w:cs="Times New Roman" w:eastAsia="Times New Roman" w:hAnsi="Times New Roman"/>
          <w:color w:val="666666"/>
          <w:rtl w:val="0"/>
        </w:rPr>
        <w:t xml:space="preserve"> the community it embraces whilst accepting them equally from who they are.  The hub becomes a node, exuberating empowerment to its users creating a space of tolerance. Like </w:t>
      </w:r>
      <w:r w:rsidDel="00000000" w:rsidR="00000000" w:rsidRPr="00000000">
        <w:rPr>
          <w:rFonts w:ascii="Times New Roman" w:cs="Times New Roman" w:eastAsia="Times New Roman" w:hAnsi="Times New Roman"/>
          <w:b w:val="1"/>
          <w:color w:val="666666"/>
          <w:rtl w:val="0"/>
        </w:rPr>
        <w:t xml:space="preserve">‘open arms’</w:t>
      </w:r>
      <w:r w:rsidDel="00000000" w:rsidR="00000000" w:rsidRPr="00000000">
        <w:rPr>
          <w:rFonts w:ascii="Times New Roman" w:cs="Times New Roman" w:eastAsia="Times New Roman" w:hAnsi="Times New Roman"/>
          <w:color w:val="666666"/>
          <w:rtl w:val="0"/>
        </w:rPr>
        <w:t xml:space="preserve"> it acts as an embrace, not only to the users but also to the context as the fluid walls that form the hub, safeguard the natural elements on site.  This allows for a direction connection between the spaces created and its surrounding environment.  The hub becomes one with its context.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